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4681" w14:textId="77777777" w:rsidR="00327E0F" w:rsidRDefault="00BF4CA1">
      <w:pPr>
        <w:spacing w:line="560" w:lineRule="exact"/>
        <w:ind w:firstLineChars="100" w:firstLine="320"/>
        <w:jc w:val="left"/>
        <w:rPr>
          <w:rFonts w:ascii="黑体" w:eastAsia="黑体" w:hAnsi="黑体" w:cs="仿宋_GB2312"/>
          <w:sz w:val="32"/>
          <w:szCs w:val="32"/>
        </w:rPr>
      </w:pPr>
      <w:r>
        <w:rPr>
          <w:rFonts w:ascii="黑体" w:eastAsia="黑体" w:hAnsi="黑体" w:cs="仿宋_GB2312" w:hint="eastAsia"/>
          <w:sz w:val="32"/>
          <w:szCs w:val="32"/>
        </w:rPr>
        <w:t>附件2</w:t>
      </w:r>
    </w:p>
    <w:p w14:paraId="7B76B49A" w14:textId="77777777" w:rsidR="00327E0F" w:rsidRDefault="00327E0F">
      <w:pPr>
        <w:spacing w:line="560" w:lineRule="exact"/>
        <w:jc w:val="left"/>
        <w:rPr>
          <w:rFonts w:ascii="仿宋_GB2312" w:eastAsia="仿宋_GB2312" w:hAnsi="仿宋_GB2312" w:cs="仿宋_GB2312"/>
          <w:sz w:val="32"/>
          <w:szCs w:val="32"/>
        </w:rPr>
      </w:pPr>
    </w:p>
    <w:p w14:paraId="13FB6DF6" w14:textId="706A2481" w:rsidR="00327E0F" w:rsidRDefault="00BF4CA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关于《深圳市深汕特别合作区产业项目建设用地控制标准》的编制说明</w:t>
      </w:r>
    </w:p>
    <w:p w14:paraId="5516009A" w14:textId="3AFD13BF" w:rsidR="002207AB" w:rsidRDefault="002207AB">
      <w:pPr>
        <w:spacing w:line="560" w:lineRule="exact"/>
        <w:jc w:val="center"/>
        <w:rPr>
          <w:rFonts w:ascii="仿宋_GB2312" w:eastAsia="仿宋_GB2312"/>
          <w:sz w:val="32"/>
          <w:szCs w:val="32"/>
        </w:rPr>
      </w:pPr>
      <w:r w:rsidRPr="002207AB">
        <w:rPr>
          <w:rFonts w:ascii="仿宋_GB2312" w:eastAsia="仿宋_GB2312" w:hint="eastAsia"/>
          <w:sz w:val="32"/>
          <w:szCs w:val="32"/>
        </w:rPr>
        <w:t>（征求意见稿）</w:t>
      </w:r>
    </w:p>
    <w:p w14:paraId="19EB5EE1" w14:textId="77777777" w:rsidR="002207AB" w:rsidRPr="002207AB" w:rsidRDefault="002207AB">
      <w:pPr>
        <w:spacing w:line="560" w:lineRule="exact"/>
        <w:jc w:val="center"/>
        <w:rPr>
          <w:rFonts w:ascii="仿宋_GB2312" w:eastAsia="仿宋_GB2312" w:hint="eastAsia"/>
          <w:sz w:val="32"/>
          <w:szCs w:val="32"/>
        </w:rPr>
      </w:pPr>
    </w:p>
    <w:p w14:paraId="7AEE8F72" w14:textId="77777777" w:rsidR="00327E0F" w:rsidRDefault="00BF4CA1">
      <w:pPr>
        <w:ind w:firstLineChars="200" w:firstLine="640"/>
        <w:rPr>
          <w:rFonts w:ascii="黑体" w:eastAsia="黑体" w:hAnsi="黑体"/>
          <w:b/>
          <w:bCs/>
          <w:sz w:val="32"/>
          <w:szCs w:val="32"/>
        </w:rPr>
      </w:pPr>
      <w:r>
        <w:rPr>
          <w:rFonts w:ascii="黑体" w:eastAsia="黑体" w:hAnsi="黑体" w:hint="eastAsia"/>
          <w:sz w:val="32"/>
          <w:szCs w:val="32"/>
        </w:rPr>
        <w:t>一、编制</w:t>
      </w:r>
      <w:r>
        <w:rPr>
          <w:rFonts w:ascii="黑体" w:eastAsia="黑体" w:hAnsi="黑体"/>
          <w:sz w:val="32"/>
          <w:szCs w:val="32"/>
        </w:rPr>
        <w:t>意义</w:t>
      </w:r>
    </w:p>
    <w:p w14:paraId="2D0212A9" w14:textId="64B91E56" w:rsidR="00327E0F" w:rsidRDefault="00BF4CA1">
      <w:pPr>
        <w:spacing w:line="560" w:lineRule="exact"/>
        <w:ind w:firstLineChars="200" w:firstLine="640"/>
        <w:rPr>
          <w:rFonts w:ascii="仿宋_GB2312" w:eastAsia="仿宋_GB2312"/>
          <w:sz w:val="32"/>
          <w:szCs w:val="32"/>
        </w:rPr>
      </w:pPr>
      <w:r>
        <w:rPr>
          <w:rFonts w:ascii="仿宋_GB2312" w:eastAsia="仿宋_GB2312" w:hint="eastAsia"/>
          <w:sz w:val="32"/>
          <w:szCs w:val="32"/>
        </w:rPr>
        <w:t>为加快推进深汕特别合作区的开发建设，提升招商引资质量，提高土地资源集约节约利用</w:t>
      </w:r>
      <w:r w:rsidR="00405C3A">
        <w:rPr>
          <w:rFonts w:ascii="仿宋_GB2312" w:eastAsia="仿宋_GB2312" w:hint="eastAsia"/>
          <w:sz w:val="32"/>
          <w:szCs w:val="32"/>
        </w:rPr>
        <w:t>水平</w:t>
      </w:r>
      <w:r>
        <w:rPr>
          <w:rFonts w:ascii="仿宋_GB2312" w:eastAsia="仿宋_GB2312" w:hint="eastAsia"/>
          <w:sz w:val="32"/>
          <w:szCs w:val="32"/>
        </w:rPr>
        <w:t>，优先保证深汕特别合作区引进重点发展产业项目，特制定《深圳市深汕特别合作区产业项目建设用地控制标准》（以下简称《控制标准》）。</w:t>
      </w:r>
    </w:p>
    <w:p w14:paraId="439295D1" w14:textId="77777777" w:rsidR="00327E0F" w:rsidRDefault="00BF4CA1">
      <w:pPr>
        <w:ind w:firstLineChars="200" w:firstLine="640"/>
        <w:rPr>
          <w:rFonts w:ascii="黑体" w:eastAsia="黑体" w:hAnsi="黑体"/>
          <w:sz w:val="32"/>
          <w:szCs w:val="32"/>
        </w:rPr>
      </w:pPr>
      <w:r>
        <w:rPr>
          <w:rFonts w:ascii="黑体" w:eastAsia="黑体" w:hAnsi="黑体" w:hint="eastAsia"/>
          <w:sz w:val="32"/>
          <w:szCs w:val="32"/>
        </w:rPr>
        <w:t>二、编制依据</w:t>
      </w:r>
    </w:p>
    <w:p w14:paraId="27BCC9D9" w14:textId="5DC0D6C6" w:rsidR="00327E0F" w:rsidRDefault="00786ADE" w:rsidP="00243FAE">
      <w:pPr>
        <w:spacing w:line="560" w:lineRule="exact"/>
        <w:ind w:firstLineChars="200" w:firstLine="640"/>
        <w:rPr>
          <w:rFonts w:ascii="仿宋_GB2312" w:eastAsia="仿宋_GB2312"/>
          <w:sz w:val="32"/>
          <w:szCs w:val="32"/>
        </w:rPr>
      </w:pPr>
      <w:r>
        <w:rPr>
          <w:rFonts w:ascii="仿宋_GB2312" w:eastAsia="仿宋_GB2312" w:hint="eastAsia"/>
          <w:sz w:val="32"/>
          <w:szCs w:val="32"/>
        </w:rPr>
        <w:t>根据自然资源部</w:t>
      </w:r>
      <w:r w:rsidR="00BF4CA1">
        <w:rPr>
          <w:rFonts w:ascii="仿宋_GB2312" w:eastAsia="仿宋_GB2312" w:hint="eastAsia"/>
          <w:sz w:val="32"/>
          <w:szCs w:val="32"/>
        </w:rPr>
        <w:t>《工业项目建设用地控制指标（征求意见稿）》（2021年）</w:t>
      </w:r>
      <w:r w:rsidR="00243FAE">
        <w:rPr>
          <w:rFonts w:ascii="仿宋_GB2312" w:eastAsia="仿宋_GB2312" w:hint="eastAsia"/>
          <w:sz w:val="32"/>
          <w:szCs w:val="32"/>
        </w:rPr>
        <w:t>、</w:t>
      </w:r>
      <w:r w:rsidR="00BF4CA1">
        <w:rPr>
          <w:rFonts w:ascii="仿宋_GB2312" w:eastAsia="仿宋_GB2312" w:hint="eastAsia"/>
          <w:sz w:val="32"/>
          <w:szCs w:val="32"/>
        </w:rPr>
        <w:t>《深圳市工业及其他产业用地供应管理办法（2019）》</w:t>
      </w:r>
      <w:r w:rsidR="00243FAE">
        <w:rPr>
          <w:rFonts w:ascii="仿宋_GB2312" w:eastAsia="仿宋_GB2312" w:hint="eastAsia"/>
          <w:sz w:val="32"/>
          <w:szCs w:val="32"/>
        </w:rPr>
        <w:t>、</w:t>
      </w:r>
      <w:r w:rsidR="00BF4CA1">
        <w:rPr>
          <w:rFonts w:ascii="仿宋_GB2312" w:eastAsia="仿宋_GB2312" w:hint="eastAsia"/>
          <w:sz w:val="32"/>
          <w:szCs w:val="32"/>
        </w:rPr>
        <w:t>《深圳市工业项目建设用地控制标准》</w:t>
      </w:r>
      <w:r>
        <w:rPr>
          <w:rFonts w:ascii="仿宋_GB2312" w:eastAsia="仿宋_GB2312" w:hint="eastAsia"/>
          <w:sz w:val="32"/>
          <w:szCs w:val="32"/>
        </w:rPr>
        <w:t>，</w:t>
      </w:r>
      <w:r w:rsidR="00D1704F">
        <w:rPr>
          <w:rFonts w:ascii="仿宋_GB2312" w:eastAsia="仿宋_GB2312" w:hint="eastAsia"/>
          <w:sz w:val="32"/>
          <w:szCs w:val="32"/>
        </w:rPr>
        <w:t>结合深圳市宝安区、坪山区等区以及合作区周边城市工业项目建设用地控制标准制定。</w:t>
      </w:r>
    </w:p>
    <w:p w14:paraId="10985729" w14:textId="77777777" w:rsidR="00327E0F" w:rsidRDefault="00BF4CA1">
      <w:pPr>
        <w:ind w:firstLineChars="200" w:firstLine="640"/>
        <w:rPr>
          <w:rFonts w:ascii="黑体" w:eastAsia="黑体" w:hAnsi="黑体"/>
          <w:sz w:val="32"/>
          <w:szCs w:val="32"/>
        </w:rPr>
      </w:pPr>
      <w:r>
        <w:rPr>
          <w:rFonts w:ascii="黑体" w:eastAsia="黑体" w:hAnsi="黑体" w:hint="eastAsia"/>
          <w:sz w:val="32"/>
          <w:szCs w:val="32"/>
        </w:rPr>
        <w:t>三、编制过程</w:t>
      </w:r>
    </w:p>
    <w:p w14:paraId="3F5484C1" w14:textId="77777777" w:rsidR="00327E0F" w:rsidRDefault="00BF4CA1">
      <w:pPr>
        <w:spacing w:line="560" w:lineRule="exact"/>
        <w:ind w:firstLineChars="200" w:firstLine="640"/>
        <w:rPr>
          <w:rFonts w:ascii="仿宋_GB2312" w:eastAsia="仿宋_GB2312"/>
          <w:sz w:val="32"/>
          <w:szCs w:val="32"/>
        </w:rPr>
      </w:pPr>
      <w:r>
        <w:rPr>
          <w:rFonts w:ascii="仿宋_GB2312" w:eastAsia="仿宋_GB2312" w:hint="eastAsia"/>
          <w:sz w:val="32"/>
          <w:szCs w:val="32"/>
        </w:rPr>
        <w:t>（一）2019年11月，深汕特别合作区科技创新和经济服务局委托综合开发研究院（中国·深圳）开展《控制标准》项目研究工作。</w:t>
      </w:r>
    </w:p>
    <w:p w14:paraId="2875B72F" w14:textId="77777777" w:rsidR="00327E0F" w:rsidRDefault="00BF4CA1">
      <w:pPr>
        <w:spacing w:line="560" w:lineRule="exact"/>
        <w:ind w:firstLineChars="200" w:firstLine="640"/>
        <w:rPr>
          <w:rFonts w:ascii="仿宋_GB2312" w:eastAsia="仿宋_GB2312"/>
          <w:sz w:val="32"/>
          <w:szCs w:val="32"/>
        </w:rPr>
      </w:pPr>
      <w:r>
        <w:rPr>
          <w:rFonts w:ascii="仿宋_GB2312" w:eastAsia="仿宋_GB2312" w:hint="eastAsia"/>
          <w:sz w:val="32"/>
          <w:szCs w:val="32"/>
        </w:rPr>
        <w:t>（二）2020年2月，编制小组完成《控制标准》初稿。</w:t>
      </w:r>
    </w:p>
    <w:p w14:paraId="47013C19" w14:textId="77777777" w:rsidR="00327E0F" w:rsidRDefault="00BF4CA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（三）2020年4月，</w:t>
      </w:r>
      <w:r>
        <w:rPr>
          <w:rFonts w:ascii="仿宋_GB2312" w:eastAsia="仿宋_GB2312" w:hAnsi="Calibri" w:hint="eastAsia"/>
          <w:sz w:val="32"/>
          <w:szCs w:val="32"/>
        </w:rPr>
        <w:t>根据吴曲波副书记对《</w:t>
      </w:r>
      <w:r>
        <w:rPr>
          <w:rFonts w:ascii="仿宋_GB2312" w:eastAsia="仿宋_GB2312" w:hint="eastAsia"/>
          <w:sz w:val="32"/>
          <w:szCs w:val="32"/>
        </w:rPr>
        <w:t>深圳市深汕特别合作区产业发展规划（2020-2035年）</w:t>
      </w:r>
      <w:r>
        <w:rPr>
          <w:rFonts w:ascii="仿宋_GB2312" w:eastAsia="仿宋_GB2312" w:hAnsi="Calibri" w:hint="eastAsia"/>
          <w:sz w:val="32"/>
          <w:szCs w:val="32"/>
        </w:rPr>
        <w:t>》的修改意见，结合</w:t>
      </w:r>
      <w:r>
        <w:rPr>
          <w:rFonts w:ascii="仿宋_GB2312" w:eastAsia="仿宋_GB2312" w:hint="eastAsia"/>
          <w:sz w:val="32"/>
          <w:szCs w:val="32"/>
        </w:rPr>
        <w:t>收集整理的反馈意见，对《控制标准》进行修改与完善。</w:t>
      </w:r>
    </w:p>
    <w:p w14:paraId="156B6380" w14:textId="77777777" w:rsidR="00327E0F" w:rsidRDefault="00BF4CA1">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（四）</w:t>
      </w:r>
      <w:r>
        <w:rPr>
          <w:rFonts w:ascii="仿宋_GB2312" w:eastAsia="仿宋_GB2312" w:hAnsi="Calibri" w:hint="eastAsia"/>
          <w:sz w:val="32"/>
          <w:szCs w:val="32"/>
        </w:rPr>
        <w:t>2020年12月，根据蔡转弯副主任对《</w:t>
      </w:r>
      <w:r>
        <w:rPr>
          <w:rFonts w:ascii="仿宋_GB2312" w:eastAsia="仿宋_GB2312" w:hint="eastAsia"/>
          <w:sz w:val="32"/>
          <w:szCs w:val="32"/>
        </w:rPr>
        <w:t>深圳市深汕特别合作区产业发展规划（2020-2035年）</w:t>
      </w:r>
      <w:r>
        <w:rPr>
          <w:rFonts w:ascii="仿宋_GB2312" w:eastAsia="仿宋_GB2312" w:hAnsi="Calibri" w:hint="eastAsia"/>
          <w:sz w:val="32"/>
          <w:szCs w:val="32"/>
        </w:rPr>
        <w:t>》的修改意见，结合《深圳市深汕特别合作区产业导向目录（202</w:t>
      </w:r>
      <w:r>
        <w:rPr>
          <w:rFonts w:ascii="仿宋_GB2312" w:eastAsia="仿宋_GB2312" w:hAnsi="Calibri"/>
          <w:sz w:val="32"/>
          <w:szCs w:val="32"/>
        </w:rPr>
        <w:t>1</w:t>
      </w:r>
      <w:r>
        <w:rPr>
          <w:rFonts w:ascii="仿宋_GB2312" w:eastAsia="仿宋_GB2312" w:hAnsi="Calibri" w:hint="eastAsia"/>
          <w:sz w:val="32"/>
          <w:szCs w:val="32"/>
        </w:rPr>
        <w:t>年版）》编制小组对《控制标准》进行修改完善，形成了《控制标准》（修改稿）。</w:t>
      </w:r>
    </w:p>
    <w:p w14:paraId="53D4E5DD" w14:textId="579A1694" w:rsidR="00327E0F" w:rsidRDefault="00BF4CA1">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（五）</w:t>
      </w:r>
      <w:r>
        <w:rPr>
          <w:rFonts w:ascii="仿宋_GB2312" w:eastAsia="仿宋_GB2312" w:hAnsi="Calibri" w:hint="eastAsia"/>
          <w:sz w:val="32"/>
          <w:szCs w:val="32"/>
        </w:rPr>
        <w:t>2021年3月，区科技创新和经济服务局</w:t>
      </w:r>
      <w:r w:rsidR="00C70DE2">
        <w:rPr>
          <w:rFonts w:ascii="仿宋_GB2312" w:eastAsia="仿宋_GB2312" w:hAnsi="Calibri" w:hint="eastAsia"/>
          <w:sz w:val="32"/>
          <w:szCs w:val="32"/>
        </w:rPr>
        <w:t>根据各单位第一轮</w:t>
      </w:r>
      <w:r>
        <w:rPr>
          <w:rFonts w:ascii="仿宋_GB2312" w:eastAsia="仿宋_GB2312" w:hAnsi="Calibri" w:hint="eastAsia"/>
          <w:sz w:val="32"/>
          <w:szCs w:val="32"/>
        </w:rPr>
        <w:t>修改意见形成了《控制标准》（征求意见稿）</w:t>
      </w:r>
      <w:r w:rsidR="00C70DE2">
        <w:rPr>
          <w:rFonts w:ascii="仿宋_GB2312" w:eastAsia="仿宋_GB2312" w:hAnsi="Calibri" w:hint="eastAsia"/>
          <w:sz w:val="32"/>
          <w:szCs w:val="32"/>
        </w:rPr>
        <w:t>，并征求第二轮意见。</w:t>
      </w:r>
    </w:p>
    <w:p w14:paraId="1C150AC1" w14:textId="2DFBFDCD" w:rsidR="00C70DE2" w:rsidRDefault="00C70DE2">
      <w:pPr>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（六）2021年</w:t>
      </w:r>
      <w:r>
        <w:rPr>
          <w:rFonts w:ascii="仿宋_GB2312" w:eastAsia="仿宋_GB2312" w:hAnsi="Calibri"/>
          <w:sz w:val="32"/>
          <w:szCs w:val="32"/>
        </w:rPr>
        <w:t>4</w:t>
      </w:r>
      <w:r>
        <w:rPr>
          <w:rFonts w:ascii="仿宋_GB2312" w:eastAsia="仿宋_GB2312" w:hAnsi="Calibri" w:hint="eastAsia"/>
          <w:sz w:val="32"/>
          <w:szCs w:val="32"/>
        </w:rPr>
        <w:t>月，区科技创新和经济服务局根据各单位第二轮修改意见完善《控制标准》，并征求法务意见。</w:t>
      </w:r>
    </w:p>
    <w:p w14:paraId="37447D30" w14:textId="333A8B72" w:rsidR="00C70DE2" w:rsidRDefault="00C70DE2">
      <w:pPr>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（七）2</w:t>
      </w:r>
      <w:r>
        <w:rPr>
          <w:rFonts w:ascii="仿宋_GB2312" w:eastAsia="仿宋_GB2312" w:hAnsi="Calibri"/>
          <w:sz w:val="32"/>
          <w:szCs w:val="32"/>
        </w:rPr>
        <w:t>021</w:t>
      </w:r>
      <w:r>
        <w:rPr>
          <w:rFonts w:ascii="仿宋_GB2312" w:eastAsia="仿宋_GB2312" w:hAnsi="Calibri" w:hint="eastAsia"/>
          <w:sz w:val="32"/>
          <w:szCs w:val="32"/>
        </w:rPr>
        <w:t>年5月，修改完善《控制标准》终稿并准备上会事宜。</w:t>
      </w:r>
    </w:p>
    <w:p w14:paraId="29832A40" w14:textId="77777777" w:rsidR="00327E0F" w:rsidRDefault="00BF4CA1">
      <w:pPr>
        <w:ind w:firstLineChars="200" w:firstLine="640"/>
        <w:rPr>
          <w:rFonts w:ascii="黑体" w:eastAsia="黑体" w:hAnsi="黑体"/>
          <w:sz w:val="32"/>
          <w:szCs w:val="32"/>
        </w:rPr>
      </w:pPr>
      <w:r>
        <w:rPr>
          <w:rFonts w:ascii="黑体" w:eastAsia="黑体" w:hAnsi="黑体" w:hint="eastAsia"/>
          <w:sz w:val="32"/>
          <w:szCs w:val="32"/>
        </w:rPr>
        <w:t>四、主要内容</w:t>
      </w:r>
    </w:p>
    <w:p w14:paraId="27F8A05C" w14:textId="77777777" w:rsidR="00327E0F" w:rsidRDefault="00BF4CA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（一）投资规模</w:t>
      </w:r>
    </w:p>
    <w:p w14:paraId="082CAB5D" w14:textId="77777777" w:rsidR="00327E0F" w:rsidRDefault="00BF4CA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落户项目投资规模原则上不少于1亿元,重点引进投资规模5亿元以上项目,优先引进世界500强、中国500强以及上市公司、拟上市公司、行业龙头企业项目。</w:t>
      </w:r>
    </w:p>
    <w:p w14:paraId="34B6BC45" w14:textId="77777777" w:rsidR="00327E0F" w:rsidRDefault="00BF4CA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（二）投资强度</w:t>
      </w:r>
    </w:p>
    <w:p w14:paraId="6161605B" w14:textId="77777777" w:rsidR="00327E0F" w:rsidRDefault="00BF4CA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落户项目投资强度原则上不低于10000元</w:t>
      </w:r>
      <w:r>
        <w:rPr>
          <w:rFonts w:ascii="仿宋_GB2312" w:eastAsia="仿宋_GB2312"/>
          <w:bCs/>
          <w:sz w:val="32"/>
          <w:szCs w:val="32"/>
        </w:rPr>
        <w:t>/</w:t>
      </w:r>
      <w:r>
        <w:rPr>
          <w:rFonts w:ascii="仿宋_GB2312" w:eastAsia="仿宋_GB2312" w:hint="eastAsia"/>
          <w:bCs/>
          <w:sz w:val="32"/>
          <w:szCs w:val="32"/>
        </w:rPr>
        <w:t>平米。</w:t>
      </w:r>
    </w:p>
    <w:p w14:paraId="6FBA7339" w14:textId="77777777" w:rsidR="00327E0F" w:rsidRDefault="00BF4CA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（三）税收贡献率</w:t>
      </w:r>
    </w:p>
    <w:p w14:paraId="0EB6321F" w14:textId="77777777" w:rsidR="006C6B41" w:rsidRDefault="00BF4CA1" w:rsidP="006C6B4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落户项目税收贡献率原则上不低于900元/平米。</w:t>
      </w:r>
    </w:p>
    <w:p w14:paraId="193A719F" w14:textId="7FE013C2" w:rsidR="006C6B41" w:rsidRPr="006C6B41" w:rsidRDefault="006C6B41" w:rsidP="006C6B4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w:t>
      </w:r>
      <w:r w:rsidRPr="006C6B41">
        <w:rPr>
          <w:rFonts w:ascii="楷体" w:eastAsia="楷体" w:hAnsi="楷体" w:hint="eastAsia"/>
          <w:bCs/>
          <w:sz w:val="32"/>
          <w:szCs w:val="32"/>
        </w:rPr>
        <w:t>四</w:t>
      </w:r>
      <w:r>
        <w:rPr>
          <w:rFonts w:ascii="楷体" w:eastAsia="楷体" w:hAnsi="楷体" w:hint="eastAsia"/>
          <w:bCs/>
          <w:sz w:val="32"/>
          <w:szCs w:val="32"/>
        </w:rPr>
        <w:t>）</w:t>
      </w:r>
      <w:r w:rsidRPr="006C6B41">
        <w:rPr>
          <w:rFonts w:ascii="楷体" w:eastAsia="楷体" w:hAnsi="楷体" w:hint="eastAsia"/>
          <w:bCs/>
          <w:sz w:val="32"/>
          <w:szCs w:val="32"/>
        </w:rPr>
        <w:t>土地产出率</w:t>
      </w:r>
    </w:p>
    <w:p w14:paraId="5EE34EB0" w14:textId="5262F6D5" w:rsidR="00327E0F" w:rsidRPr="006C6B41" w:rsidRDefault="006C6B41" w:rsidP="006C6B41">
      <w:pPr>
        <w:spacing w:line="560" w:lineRule="exact"/>
        <w:ind w:firstLineChars="200" w:firstLine="640"/>
        <w:rPr>
          <w:rFonts w:ascii="仿宋_GB2312" w:eastAsia="仿宋_GB2312"/>
          <w:bCs/>
          <w:sz w:val="32"/>
          <w:szCs w:val="32"/>
        </w:rPr>
      </w:pPr>
      <w:r w:rsidRPr="006C6B41">
        <w:rPr>
          <w:rFonts w:ascii="仿宋_GB2312" w:eastAsia="仿宋_GB2312" w:hint="eastAsia"/>
          <w:bCs/>
          <w:sz w:val="32"/>
          <w:szCs w:val="32"/>
        </w:rPr>
        <w:t>落户项目土地产出率原则上不低于1</w:t>
      </w:r>
      <w:r w:rsidRPr="006C6B41">
        <w:rPr>
          <w:rFonts w:ascii="仿宋_GB2312" w:eastAsia="仿宋_GB2312"/>
          <w:bCs/>
          <w:sz w:val="32"/>
          <w:szCs w:val="32"/>
        </w:rPr>
        <w:t>2000</w:t>
      </w:r>
      <w:r w:rsidRPr="006C6B41">
        <w:rPr>
          <w:rFonts w:ascii="仿宋_GB2312" w:eastAsia="仿宋_GB2312" w:hint="eastAsia"/>
          <w:bCs/>
          <w:sz w:val="32"/>
          <w:szCs w:val="32"/>
        </w:rPr>
        <w:t>元/平方米。</w:t>
      </w:r>
    </w:p>
    <w:p w14:paraId="514E8EE0" w14:textId="035AA60C" w:rsidR="00327E0F" w:rsidRDefault="00BF4CA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w:t>
      </w:r>
      <w:r w:rsidR="006C6B41">
        <w:rPr>
          <w:rFonts w:ascii="楷体" w:eastAsia="楷体" w:hAnsi="楷体" w:hint="eastAsia"/>
          <w:bCs/>
          <w:sz w:val="32"/>
          <w:szCs w:val="32"/>
        </w:rPr>
        <w:t>五</w:t>
      </w:r>
      <w:r>
        <w:rPr>
          <w:rFonts w:ascii="楷体" w:eastAsia="楷体" w:hAnsi="楷体" w:hint="eastAsia"/>
          <w:bCs/>
          <w:sz w:val="32"/>
          <w:szCs w:val="32"/>
        </w:rPr>
        <w:t>）其它控制标准</w:t>
      </w:r>
    </w:p>
    <w:p w14:paraId="4DCC1884"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落户项目容积率、行政办公及生活服务设施用地面积和建筑面积所占比重控制标准、土地出让年限等其它控制标准需符合国家相关规定的标准，并根据深圳市规划和自然资源局深汕管理局相关规定实施。</w:t>
      </w:r>
    </w:p>
    <w:p w14:paraId="29D5646F" w14:textId="7EDD1E39" w:rsidR="00327E0F" w:rsidRDefault="00BF4CA1">
      <w:pPr>
        <w:spacing w:line="560" w:lineRule="exact"/>
        <w:ind w:firstLineChars="200" w:firstLine="640"/>
        <w:rPr>
          <w:rFonts w:ascii="楷体" w:eastAsia="楷体" w:hAnsi="楷体"/>
          <w:bCs/>
          <w:sz w:val="32"/>
          <w:szCs w:val="32"/>
        </w:rPr>
      </w:pPr>
      <w:r>
        <w:rPr>
          <w:rFonts w:ascii="楷体" w:eastAsia="楷体" w:hAnsi="楷体" w:hint="eastAsia"/>
          <w:bCs/>
          <w:sz w:val="32"/>
          <w:szCs w:val="32"/>
        </w:rPr>
        <w:t>（</w:t>
      </w:r>
      <w:r w:rsidR="006C6B41">
        <w:rPr>
          <w:rFonts w:ascii="楷体" w:eastAsia="楷体" w:hAnsi="楷体" w:hint="eastAsia"/>
          <w:bCs/>
          <w:sz w:val="32"/>
          <w:szCs w:val="32"/>
        </w:rPr>
        <w:t>六</w:t>
      </w:r>
      <w:r>
        <w:rPr>
          <w:rFonts w:ascii="楷体" w:eastAsia="楷体" w:hAnsi="楷体" w:hint="eastAsia"/>
          <w:bCs/>
          <w:sz w:val="32"/>
          <w:szCs w:val="32"/>
        </w:rPr>
        <w:t>）其它说明</w:t>
      </w:r>
    </w:p>
    <w:p w14:paraId="7A7AC00D"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对符合相关要求企业项目的控制标准</w:t>
      </w:r>
      <w:r>
        <w:rPr>
          <w:rFonts w:ascii="仿宋_GB2312" w:eastAsia="仿宋_GB2312" w:hint="eastAsia"/>
          <w:sz w:val="32"/>
          <w:szCs w:val="32"/>
        </w:rPr>
        <w:t>可根据实际情况适当下浮</w:t>
      </w:r>
      <w:r>
        <w:rPr>
          <w:rFonts w:ascii="仿宋_GB2312" w:eastAsia="仿宋_GB2312" w:hAnsi="Calibri" w:hint="eastAsia"/>
          <w:sz w:val="32"/>
          <w:szCs w:val="32"/>
        </w:rPr>
        <w:t>。市级重点产业项目、市级总部项目及市政府同意开展遴选的其他项目不受本控制标准限制。</w:t>
      </w:r>
    </w:p>
    <w:p w14:paraId="5226A8BC" w14:textId="77777777" w:rsidR="00327E0F" w:rsidRDefault="00BF4CA1">
      <w:pPr>
        <w:ind w:firstLineChars="200" w:firstLine="640"/>
        <w:rPr>
          <w:rFonts w:ascii="黑体" w:eastAsia="黑体" w:hAnsi="黑体"/>
          <w:sz w:val="32"/>
          <w:szCs w:val="32"/>
        </w:rPr>
      </w:pPr>
      <w:r>
        <w:rPr>
          <w:rFonts w:ascii="黑体" w:eastAsia="黑体" w:hAnsi="黑体" w:hint="eastAsia"/>
          <w:sz w:val="32"/>
          <w:szCs w:val="32"/>
        </w:rPr>
        <w:t>五、相关市区控制标准对比</w:t>
      </w:r>
    </w:p>
    <w:tbl>
      <w:tblPr>
        <w:tblStyle w:val="aa"/>
        <w:tblW w:w="0" w:type="auto"/>
        <w:tblLook w:val="04A0" w:firstRow="1" w:lastRow="0" w:firstColumn="1" w:lastColumn="0" w:noHBand="0" w:noVBand="1"/>
      </w:tblPr>
      <w:tblGrid>
        <w:gridCol w:w="779"/>
        <w:gridCol w:w="2455"/>
        <w:gridCol w:w="1694"/>
        <w:gridCol w:w="1984"/>
        <w:gridCol w:w="1701"/>
      </w:tblGrid>
      <w:tr w:rsidR="006553F1" w14:paraId="47C5890D" w14:textId="77777777" w:rsidTr="006553F1">
        <w:trPr>
          <w:trHeight w:val="415"/>
        </w:trPr>
        <w:tc>
          <w:tcPr>
            <w:tcW w:w="779" w:type="dxa"/>
          </w:tcPr>
          <w:p w14:paraId="3024116F" w14:textId="77777777" w:rsidR="006553F1" w:rsidRDefault="006553F1">
            <w:pPr>
              <w:jc w:val="center"/>
              <w:rPr>
                <w:rFonts w:ascii="黑体" w:eastAsia="黑体" w:hAnsi="黑体"/>
                <w:sz w:val="24"/>
              </w:rPr>
            </w:pPr>
            <w:r>
              <w:rPr>
                <w:rFonts w:ascii="黑体" w:eastAsia="黑体" w:hAnsi="黑体" w:hint="eastAsia"/>
                <w:sz w:val="24"/>
              </w:rPr>
              <w:t>地区</w:t>
            </w:r>
          </w:p>
        </w:tc>
        <w:tc>
          <w:tcPr>
            <w:tcW w:w="2455" w:type="dxa"/>
          </w:tcPr>
          <w:p w14:paraId="72BDA0B2" w14:textId="77777777" w:rsidR="006553F1" w:rsidRDefault="006553F1">
            <w:pPr>
              <w:jc w:val="center"/>
              <w:rPr>
                <w:rFonts w:ascii="黑体" w:eastAsia="黑体" w:hAnsi="黑体"/>
                <w:sz w:val="24"/>
              </w:rPr>
            </w:pPr>
            <w:r>
              <w:rPr>
                <w:rFonts w:ascii="黑体" w:eastAsia="黑体" w:hAnsi="黑体" w:hint="eastAsia"/>
                <w:sz w:val="24"/>
              </w:rPr>
              <w:t>文件</w:t>
            </w:r>
          </w:p>
        </w:tc>
        <w:tc>
          <w:tcPr>
            <w:tcW w:w="1694" w:type="dxa"/>
          </w:tcPr>
          <w:p w14:paraId="4DE3A348" w14:textId="77777777" w:rsidR="006553F1" w:rsidRDefault="006553F1">
            <w:pPr>
              <w:jc w:val="center"/>
              <w:rPr>
                <w:rFonts w:ascii="黑体" w:eastAsia="黑体" w:hAnsi="黑体"/>
                <w:sz w:val="24"/>
              </w:rPr>
            </w:pPr>
            <w:r>
              <w:rPr>
                <w:rFonts w:ascii="黑体" w:eastAsia="黑体" w:hAnsi="黑体" w:hint="eastAsia"/>
                <w:sz w:val="24"/>
              </w:rPr>
              <w:t>投资强度（元/平米）</w:t>
            </w:r>
          </w:p>
        </w:tc>
        <w:tc>
          <w:tcPr>
            <w:tcW w:w="1984" w:type="dxa"/>
          </w:tcPr>
          <w:p w14:paraId="050AA295" w14:textId="59C13BB3" w:rsidR="006553F1" w:rsidRDefault="006553F1">
            <w:pPr>
              <w:jc w:val="center"/>
              <w:rPr>
                <w:rFonts w:ascii="黑体" w:eastAsia="黑体" w:hAnsi="黑体"/>
                <w:sz w:val="24"/>
              </w:rPr>
            </w:pPr>
            <w:r>
              <w:rPr>
                <w:rFonts w:ascii="黑体" w:eastAsia="黑体" w:hAnsi="黑体" w:hint="eastAsia"/>
                <w:sz w:val="24"/>
              </w:rPr>
              <w:t>土地产出率（元/平方米）</w:t>
            </w:r>
          </w:p>
        </w:tc>
        <w:tc>
          <w:tcPr>
            <w:tcW w:w="1701" w:type="dxa"/>
          </w:tcPr>
          <w:p w14:paraId="30FBD274" w14:textId="5059186B" w:rsidR="006553F1" w:rsidRDefault="006553F1">
            <w:pPr>
              <w:jc w:val="center"/>
              <w:rPr>
                <w:rFonts w:ascii="黑体" w:eastAsia="黑体" w:hAnsi="黑体"/>
                <w:sz w:val="24"/>
              </w:rPr>
            </w:pPr>
            <w:r>
              <w:rPr>
                <w:rFonts w:ascii="黑体" w:eastAsia="黑体" w:hAnsi="黑体" w:hint="eastAsia"/>
                <w:sz w:val="24"/>
              </w:rPr>
              <w:t>税收贡献（元/平米）</w:t>
            </w:r>
          </w:p>
        </w:tc>
      </w:tr>
      <w:tr w:rsidR="006553F1" w14:paraId="111CED96" w14:textId="77777777" w:rsidTr="006553F1">
        <w:tc>
          <w:tcPr>
            <w:tcW w:w="779" w:type="dxa"/>
            <w:vMerge w:val="restart"/>
          </w:tcPr>
          <w:p w14:paraId="00279A8F" w14:textId="77777777" w:rsidR="006553F1" w:rsidRDefault="006553F1">
            <w:pPr>
              <w:jc w:val="center"/>
              <w:rPr>
                <w:rFonts w:ascii="仿宋_GB2312" w:eastAsia="仿宋_GB2312"/>
                <w:sz w:val="24"/>
              </w:rPr>
            </w:pPr>
          </w:p>
          <w:p w14:paraId="0A610378" w14:textId="77777777" w:rsidR="006553F1" w:rsidRDefault="006553F1">
            <w:pPr>
              <w:jc w:val="center"/>
              <w:rPr>
                <w:rFonts w:ascii="仿宋_GB2312" w:eastAsia="仿宋_GB2312"/>
                <w:sz w:val="24"/>
              </w:rPr>
            </w:pPr>
          </w:p>
          <w:p w14:paraId="46CEC9D1" w14:textId="77777777" w:rsidR="006553F1" w:rsidRDefault="006553F1">
            <w:pPr>
              <w:jc w:val="center"/>
              <w:rPr>
                <w:rFonts w:ascii="仿宋_GB2312" w:eastAsia="仿宋_GB2312"/>
                <w:sz w:val="24"/>
              </w:rPr>
            </w:pPr>
          </w:p>
          <w:p w14:paraId="06213A20" w14:textId="77777777" w:rsidR="006553F1" w:rsidRDefault="006553F1">
            <w:pPr>
              <w:jc w:val="center"/>
              <w:rPr>
                <w:rFonts w:ascii="仿宋_GB2312" w:eastAsia="仿宋_GB2312"/>
                <w:sz w:val="24"/>
              </w:rPr>
            </w:pPr>
          </w:p>
          <w:p w14:paraId="43BF94B3" w14:textId="77777777" w:rsidR="006553F1" w:rsidRDefault="006553F1">
            <w:pPr>
              <w:jc w:val="center"/>
              <w:rPr>
                <w:rFonts w:ascii="仿宋_GB2312" w:eastAsia="仿宋_GB2312"/>
                <w:sz w:val="24"/>
              </w:rPr>
            </w:pPr>
            <w:r>
              <w:rPr>
                <w:rFonts w:ascii="仿宋_GB2312" w:eastAsia="仿宋_GB2312" w:hint="eastAsia"/>
                <w:sz w:val="24"/>
              </w:rPr>
              <w:t>深圳市</w:t>
            </w:r>
          </w:p>
        </w:tc>
        <w:tc>
          <w:tcPr>
            <w:tcW w:w="2455" w:type="dxa"/>
          </w:tcPr>
          <w:p w14:paraId="27B85DE9" w14:textId="77777777" w:rsidR="006553F1" w:rsidRPr="00BF4CA1" w:rsidRDefault="006553F1">
            <w:pPr>
              <w:jc w:val="center"/>
              <w:rPr>
                <w:rFonts w:ascii="仿宋_GB2312" w:eastAsia="仿宋_GB2312"/>
                <w:sz w:val="24"/>
              </w:rPr>
            </w:pPr>
            <w:r w:rsidRPr="00BF4CA1">
              <w:rPr>
                <w:rFonts w:ascii="仿宋_GB2312" w:eastAsia="仿宋_GB2312" w:hint="eastAsia"/>
                <w:sz w:val="24"/>
              </w:rPr>
              <w:t>深汕特别合作区（2021年）</w:t>
            </w:r>
          </w:p>
        </w:tc>
        <w:tc>
          <w:tcPr>
            <w:tcW w:w="1694" w:type="dxa"/>
          </w:tcPr>
          <w:p w14:paraId="41046AD7" w14:textId="77777777" w:rsidR="006553F1" w:rsidRPr="00BF4CA1" w:rsidRDefault="006553F1">
            <w:pPr>
              <w:jc w:val="center"/>
              <w:rPr>
                <w:rFonts w:ascii="仿宋_GB2312" w:eastAsia="仿宋_GB2312"/>
                <w:sz w:val="24"/>
              </w:rPr>
            </w:pPr>
            <w:r w:rsidRPr="00BF4CA1">
              <w:rPr>
                <w:rFonts w:ascii="仿宋_GB2312" w:eastAsia="仿宋_GB2312" w:hint="eastAsia"/>
                <w:sz w:val="24"/>
              </w:rPr>
              <w:t>1</w:t>
            </w:r>
            <w:r w:rsidRPr="00BF4CA1">
              <w:rPr>
                <w:rFonts w:ascii="仿宋_GB2312" w:eastAsia="仿宋_GB2312"/>
                <w:sz w:val="24"/>
              </w:rPr>
              <w:t>0000</w:t>
            </w:r>
          </w:p>
        </w:tc>
        <w:tc>
          <w:tcPr>
            <w:tcW w:w="1984" w:type="dxa"/>
          </w:tcPr>
          <w:p w14:paraId="560BD24A" w14:textId="67E72964" w:rsidR="006553F1" w:rsidRPr="00BF4CA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2000</w:t>
            </w:r>
          </w:p>
        </w:tc>
        <w:tc>
          <w:tcPr>
            <w:tcW w:w="1701" w:type="dxa"/>
          </w:tcPr>
          <w:p w14:paraId="61839CA2" w14:textId="040BDC37" w:rsidR="006553F1" w:rsidRPr="00BF4CA1" w:rsidRDefault="006553F1">
            <w:pPr>
              <w:jc w:val="center"/>
              <w:rPr>
                <w:rFonts w:ascii="仿宋_GB2312" w:eastAsia="仿宋_GB2312"/>
                <w:sz w:val="24"/>
              </w:rPr>
            </w:pPr>
            <w:r w:rsidRPr="00BF4CA1">
              <w:rPr>
                <w:rFonts w:ascii="仿宋_GB2312" w:eastAsia="仿宋_GB2312" w:hint="eastAsia"/>
                <w:sz w:val="24"/>
              </w:rPr>
              <w:t>9</w:t>
            </w:r>
            <w:r w:rsidRPr="00BF4CA1">
              <w:rPr>
                <w:rFonts w:ascii="仿宋_GB2312" w:eastAsia="仿宋_GB2312"/>
                <w:sz w:val="24"/>
              </w:rPr>
              <w:t>00</w:t>
            </w:r>
          </w:p>
        </w:tc>
      </w:tr>
      <w:tr w:rsidR="006553F1" w14:paraId="327D5957" w14:textId="77777777" w:rsidTr="006553F1">
        <w:tc>
          <w:tcPr>
            <w:tcW w:w="779" w:type="dxa"/>
            <w:vMerge/>
          </w:tcPr>
          <w:p w14:paraId="1DD35B33" w14:textId="77777777" w:rsidR="006553F1" w:rsidRDefault="006553F1">
            <w:pPr>
              <w:jc w:val="center"/>
              <w:rPr>
                <w:rFonts w:ascii="仿宋_GB2312" w:eastAsia="仿宋_GB2312"/>
                <w:sz w:val="24"/>
              </w:rPr>
            </w:pPr>
          </w:p>
        </w:tc>
        <w:tc>
          <w:tcPr>
            <w:tcW w:w="2455" w:type="dxa"/>
          </w:tcPr>
          <w:p w14:paraId="505E86D9" w14:textId="059924C1" w:rsidR="006553F1" w:rsidRDefault="006553F1">
            <w:pPr>
              <w:jc w:val="center"/>
              <w:rPr>
                <w:rFonts w:ascii="仿宋_GB2312" w:eastAsia="仿宋_GB2312"/>
                <w:sz w:val="24"/>
              </w:rPr>
            </w:pPr>
            <w:r w:rsidRPr="000127F8">
              <w:rPr>
                <w:rFonts w:ascii="仿宋_GB2312" w:eastAsia="仿宋_GB2312" w:hint="eastAsia"/>
                <w:sz w:val="24"/>
              </w:rPr>
              <w:t>深圳市工业项目建设用地控制标准</w:t>
            </w:r>
          </w:p>
        </w:tc>
        <w:tc>
          <w:tcPr>
            <w:tcW w:w="1694" w:type="dxa"/>
          </w:tcPr>
          <w:p w14:paraId="13A3F532" w14:textId="5A5DCDD5" w:rsidR="006553F1" w:rsidRDefault="006553F1">
            <w:pPr>
              <w:jc w:val="center"/>
              <w:rPr>
                <w:rFonts w:ascii="仿宋_GB2312" w:eastAsia="仿宋_GB2312"/>
                <w:sz w:val="24"/>
              </w:rPr>
            </w:pPr>
            <w:r>
              <w:rPr>
                <w:rFonts w:ascii="仿宋_GB2312" w:eastAsia="仿宋_GB2312" w:hint="eastAsia"/>
                <w:sz w:val="24"/>
              </w:rPr>
              <w:t>2</w:t>
            </w:r>
            <w:r>
              <w:rPr>
                <w:rFonts w:ascii="仿宋_GB2312" w:eastAsia="仿宋_GB2312"/>
                <w:sz w:val="24"/>
              </w:rPr>
              <w:t>150</w:t>
            </w:r>
            <w:r>
              <w:rPr>
                <w:rFonts w:ascii="仿宋_GB2312" w:eastAsia="仿宋_GB2312" w:hint="eastAsia"/>
                <w:sz w:val="24"/>
              </w:rPr>
              <w:t>-</w:t>
            </w:r>
            <w:r>
              <w:rPr>
                <w:rFonts w:ascii="仿宋_GB2312" w:eastAsia="仿宋_GB2312"/>
                <w:sz w:val="24"/>
              </w:rPr>
              <w:t>18000</w:t>
            </w:r>
          </w:p>
        </w:tc>
        <w:tc>
          <w:tcPr>
            <w:tcW w:w="1984" w:type="dxa"/>
          </w:tcPr>
          <w:p w14:paraId="7BF42D06" w14:textId="1A1DF403"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000</w:t>
            </w:r>
            <w:r>
              <w:rPr>
                <w:rFonts w:ascii="仿宋_GB2312" w:eastAsia="仿宋_GB2312" w:hint="eastAsia"/>
                <w:sz w:val="24"/>
              </w:rPr>
              <w:t>-</w:t>
            </w:r>
            <w:r>
              <w:rPr>
                <w:rFonts w:ascii="仿宋_GB2312" w:eastAsia="仿宋_GB2312"/>
                <w:sz w:val="24"/>
              </w:rPr>
              <w:t>17400</w:t>
            </w:r>
          </w:p>
        </w:tc>
        <w:tc>
          <w:tcPr>
            <w:tcW w:w="1701" w:type="dxa"/>
          </w:tcPr>
          <w:p w14:paraId="14022CCC" w14:textId="3EB73460" w:rsidR="006553F1" w:rsidRDefault="006553F1">
            <w:pPr>
              <w:jc w:val="center"/>
              <w:rPr>
                <w:rFonts w:ascii="仿宋_GB2312" w:eastAsia="仿宋_GB2312"/>
                <w:sz w:val="24"/>
              </w:rPr>
            </w:pPr>
            <w:r>
              <w:rPr>
                <w:rFonts w:ascii="仿宋_GB2312" w:eastAsia="仿宋_GB2312" w:hint="eastAsia"/>
                <w:sz w:val="24"/>
              </w:rPr>
              <w:t>3</w:t>
            </w:r>
            <w:r>
              <w:rPr>
                <w:rFonts w:ascii="仿宋_GB2312" w:eastAsia="仿宋_GB2312"/>
                <w:sz w:val="24"/>
              </w:rPr>
              <w:t>00</w:t>
            </w:r>
            <w:r>
              <w:rPr>
                <w:rFonts w:ascii="仿宋_GB2312" w:eastAsia="仿宋_GB2312" w:hint="eastAsia"/>
                <w:sz w:val="24"/>
              </w:rPr>
              <w:t>-</w:t>
            </w:r>
            <w:r>
              <w:rPr>
                <w:rFonts w:ascii="仿宋_GB2312" w:eastAsia="仿宋_GB2312"/>
                <w:sz w:val="24"/>
              </w:rPr>
              <w:t>6000</w:t>
            </w:r>
          </w:p>
        </w:tc>
      </w:tr>
      <w:tr w:rsidR="006553F1" w14:paraId="62F840DB" w14:textId="77777777" w:rsidTr="006553F1">
        <w:tc>
          <w:tcPr>
            <w:tcW w:w="779" w:type="dxa"/>
            <w:vMerge/>
          </w:tcPr>
          <w:p w14:paraId="0DD9202C" w14:textId="77777777" w:rsidR="006553F1" w:rsidRDefault="006553F1">
            <w:pPr>
              <w:jc w:val="center"/>
              <w:rPr>
                <w:rFonts w:ascii="仿宋_GB2312" w:eastAsia="仿宋_GB2312"/>
                <w:sz w:val="24"/>
              </w:rPr>
            </w:pPr>
          </w:p>
        </w:tc>
        <w:tc>
          <w:tcPr>
            <w:tcW w:w="2455" w:type="dxa"/>
          </w:tcPr>
          <w:p w14:paraId="5DB3E8FC" w14:textId="77777777" w:rsidR="006553F1" w:rsidRDefault="006553F1">
            <w:pPr>
              <w:jc w:val="center"/>
              <w:rPr>
                <w:rFonts w:ascii="仿宋_GB2312" w:eastAsia="仿宋_GB2312"/>
                <w:sz w:val="24"/>
              </w:rPr>
            </w:pPr>
            <w:r>
              <w:rPr>
                <w:rFonts w:ascii="仿宋_GB2312" w:eastAsia="仿宋_GB2312" w:hint="eastAsia"/>
                <w:sz w:val="24"/>
              </w:rPr>
              <w:t>宝安区重点产业项目和总部项目遴选及用地保障实施细则（2019年）</w:t>
            </w:r>
          </w:p>
        </w:tc>
        <w:tc>
          <w:tcPr>
            <w:tcW w:w="1694" w:type="dxa"/>
          </w:tcPr>
          <w:p w14:paraId="00E4E422" w14:textId="77777777" w:rsidR="006553F1" w:rsidRDefault="006553F1">
            <w:pPr>
              <w:jc w:val="center"/>
              <w:rPr>
                <w:rFonts w:ascii="仿宋_GB2312" w:eastAsia="仿宋_GB2312"/>
                <w:sz w:val="24"/>
              </w:rPr>
            </w:pPr>
            <w:r>
              <w:rPr>
                <w:rFonts w:ascii="仿宋_GB2312" w:eastAsia="仿宋_GB2312" w:hint="eastAsia"/>
                <w:sz w:val="24"/>
              </w:rPr>
              <w:t>2</w:t>
            </w:r>
            <w:r>
              <w:rPr>
                <w:rFonts w:ascii="仿宋_GB2312" w:eastAsia="仿宋_GB2312"/>
                <w:sz w:val="24"/>
              </w:rPr>
              <w:t>0000</w:t>
            </w:r>
          </w:p>
        </w:tc>
        <w:tc>
          <w:tcPr>
            <w:tcW w:w="1984" w:type="dxa"/>
          </w:tcPr>
          <w:p w14:paraId="2BA0D450" w14:textId="6AB053FA" w:rsidR="006553F1" w:rsidRDefault="006553F1">
            <w:pPr>
              <w:jc w:val="center"/>
              <w:rPr>
                <w:rFonts w:ascii="仿宋_GB2312" w:eastAsia="仿宋_GB2312"/>
                <w:sz w:val="24"/>
              </w:rPr>
            </w:pPr>
            <w:r>
              <w:rPr>
                <w:rFonts w:ascii="仿宋_GB2312" w:eastAsia="仿宋_GB2312" w:hint="eastAsia"/>
                <w:sz w:val="24"/>
              </w:rPr>
              <w:t>2</w:t>
            </w:r>
            <w:r>
              <w:rPr>
                <w:rFonts w:ascii="仿宋_GB2312" w:eastAsia="仿宋_GB2312"/>
                <w:sz w:val="24"/>
              </w:rPr>
              <w:t>0000</w:t>
            </w:r>
          </w:p>
        </w:tc>
        <w:tc>
          <w:tcPr>
            <w:tcW w:w="1701" w:type="dxa"/>
          </w:tcPr>
          <w:p w14:paraId="6810AE36" w14:textId="617048AC"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400</w:t>
            </w:r>
          </w:p>
        </w:tc>
      </w:tr>
      <w:tr w:rsidR="006553F1" w14:paraId="76F1DC03" w14:textId="77777777" w:rsidTr="006553F1">
        <w:tc>
          <w:tcPr>
            <w:tcW w:w="779" w:type="dxa"/>
            <w:vMerge/>
          </w:tcPr>
          <w:p w14:paraId="68DD04CC" w14:textId="77777777" w:rsidR="006553F1" w:rsidRDefault="006553F1">
            <w:pPr>
              <w:jc w:val="center"/>
              <w:rPr>
                <w:rFonts w:ascii="仿宋_GB2312" w:eastAsia="仿宋_GB2312"/>
                <w:sz w:val="24"/>
              </w:rPr>
            </w:pPr>
          </w:p>
        </w:tc>
        <w:tc>
          <w:tcPr>
            <w:tcW w:w="2455" w:type="dxa"/>
          </w:tcPr>
          <w:p w14:paraId="020DEDE4" w14:textId="77777777" w:rsidR="006553F1" w:rsidRDefault="006553F1">
            <w:pPr>
              <w:jc w:val="center"/>
              <w:rPr>
                <w:rFonts w:ascii="仿宋_GB2312" w:eastAsia="仿宋_GB2312"/>
                <w:sz w:val="24"/>
              </w:rPr>
            </w:pPr>
            <w:r>
              <w:rPr>
                <w:rFonts w:ascii="仿宋_GB2312" w:eastAsia="仿宋_GB2312" w:hint="eastAsia"/>
                <w:sz w:val="24"/>
              </w:rPr>
              <w:t>坪山区重点产业项目建设用地控制标准（2020）</w:t>
            </w:r>
          </w:p>
        </w:tc>
        <w:tc>
          <w:tcPr>
            <w:tcW w:w="1694" w:type="dxa"/>
          </w:tcPr>
          <w:p w14:paraId="2585B956" w14:textId="77777777"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5000</w:t>
            </w:r>
          </w:p>
        </w:tc>
        <w:tc>
          <w:tcPr>
            <w:tcW w:w="1984" w:type="dxa"/>
          </w:tcPr>
          <w:p w14:paraId="4BE64B8C" w14:textId="0CCC54A2" w:rsidR="006553F1" w:rsidRDefault="006553F1">
            <w:pPr>
              <w:jc w:val="center"/>
              <w:rPr>
                <w:rFonts w:ascii="仿宋_GB2312" w:eastAsia="仿宋_GB2312"/>
                <w:sz w:val="24"/>
              </w:rPr>
            </w:pPr>
            <w:r>
              <w:rPr>
                <w:rFonts w:ascii="仿宋_GB2312" w:eastAsia="仿宋_GB2312" w:hint="eastAsia"/>
                <w:sz w:val="24"/>
              </w:rPr>
              <w:t>2</w:t>
            </w:r>
            <w:r>
              <w:rPr>
                <w:rFonts w:ascii="仿宋_GB2312" w:eastAsia="仿宋_GB2312"/>
                <w:sz w:val="24"/>
              </w:rPr>
              <w:t>0000</w:t>
            </w:r>
          </w:p>
        </w:tc>
        <w:tc>
          <w:tcPr>
            <w:tcW w:w="1701" w:type="dxa"/>
          </w:tcPr>
          <w:p w14:paraId="1623D011" w14:textId="53FDD522"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200</w:t>
            </w:r>
          </w:p>
        </w:tc>
      </w:tr>
      <w:tr w:rsidR="006553F1" w14:paraId="5C57213F" w14:textId="77777777" w:rsidTr="006553F1">
        <w:tc>
          <w:tcPr>
            <w:tcW w:w="779" w:type="dxa"/>
            <w:vMerge w:val="restart"/>
          </w:tcPr>
          <w:p w14:paraId="37925600" w14:textId="77777777" w:rsidR="006553F1" w:rsidRDefault="006553F1">
            <w:pPr>
              <w:jc w:val="center"/>
              <w:rPr>
                <w:rFonts w:ascii="仿宋_GB2312" w:eastAsia="仿宋_GB2312"/>
                <w:sz w:val="24"/>
              </w:rPr>
            </w:pPr>
          </w:p>
          <w:p w14:paraId="03FA2209" w14:textId="77777777" w:rsidR="006553F1" w:rsidRDefault="006553F1">
            <w:pPr>
              <w:jc w:val="center"/>
              <w:rPr>
                <w:rFonts w:ascii="仿宋_GB2312" w:eastAsia="仿宋_GB2312"/>
                <w:sz w:val="24"/>
              </w:rPr>
            </w:pPr>
          </w:p>
          <w:p w14:paraId="2DF85331" w14:textId="77777777" w:rsidR="006553F1" w:rsidRDefault="006553F1">
            <w:pPr>
              <w:jc w:val="center"/>
              <w:rPr>
                <w:rFonts w:ascii="仿宋_GB2312" w:eastAsia="仿宋_GB2312"/>
                <w:sz w:val="24"/>
              </w:rPr>
            </w:pPr>
            <w:r>
              <w:rPr>
                <w:rFonts w:ascii="仿宋_GB2312" w:eastAsia="仿宋_GB2312" w:hint="eastAsia"/>
                <w:sz w:val="24"/>
              </w:rPr>
              <w:t>惠州市</w:t>
            </w:r>
          </w:p>
        </w:tc>
        <w:tc>
          <w:tcPr>
            <w:tcW w:w="2455" w:type="dxa"/>
          </w:tcPr>
          <w:p w14:paraId="2A9C40D0" w14:textId="77777777" w:rsidR="006553F1" w:rsidRDefault="006553F1">
            <w:pPr>
              <w:jc w:val="center"/>
              <w:rPr>
                <w:rFonts w:ascii="仿宋_GB2312" w:eastAsia="仿宋_GB2312"/>
                <w:sz w:val="24"/>
              </w:rPr>
            </w:pPr>
            <w:r>
              <w:rPr>
                <w:rFonts w:ascii="仿宋_GB2312" w:eastAsia="仿宋_GB2312" w:hint="eastAsia"/>
                <w:sz w:val="24"/>
              </w:rPr>
              <w:t>惠阳区产业投资项目管理实施意见（2019）</w:t>
            </w:r>
          </w:p>
        </w:tc>
        <w:tc>
          <w:tcPr>
            <w:tcW w:w="1694" w:type="dxa"/>
          </w:tcPr>
          <w:p w14:paraId="12EBB069" w14:textId="77777777" w:rsidR="006553F1" w:rsidRDefault="006553F1">
            <w:pPr>
              <w:jc w:val="center"/>
              <w:rPr>
                <w:rFonts w:ascii="仿宋_GB2312" w:eastAsia="仿宋_GB2312"/>
                <w:sz w:val="24"/>
              </w:rPr>
            </w:pPr>
            <w:r>
              <w:rPr>
                <w:rFonts w:ascii="仿宋_GB2312" w:eastAsia="仿宋_GB2312" w:hint="eastAsia"/>
                <w:sz w:val="24"/>
              </w:rPr>
              <w:t>5</w:t>
            </w:r>
            <w:r>
              <w:rPr>
                <w:rFonts w:ascii="仿宋_GB2312" w:eastAsia="仿宋_GB2312"/>
                <w:sz w:val="24"/>
              </w:rPr>
              <w:t>500</w:t>
            </w:r>
          </w:p>
        </w:tc>
        <w:tc>
          <w:tcPr>
            <w:tcW w:w="1984" w:type="dxa"/>
          </w:tcPr>
          <w:p w14:paraId="0F97DA81" w14:textId="64E2DD79"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2000</w:t>
            </w:r>
          </w:p>
        </w:tc>
        <w:tc>
          <w:tcPr>
            <w:tcW w:w="1701" w:type="dxa"/>
          </w:tcPr>
          <w:p w14:paraId="76DB7652" w14:textId="5CED1DAA"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000</w:t>
            </w:r>
          </w:p>
        </w:tc>
      </w:tr>
      <w:tr w:rsidR="006553F1" w14:paraId="32E5050F" w14:textId="77777777" w:rsidTr="006553F1">
        <w:tc>
          <w:tcPr>
            <w:tcW w:w="779" w:type="dxa"/>
            <w:vMerge/>
          </w:tcPr>
          <w:p w14:paraId="15A358AA" w14:textId="77777777" w:rsidR="006553F1" w:rsidRDefault="006553F1">
            <w:pPr>
              <w:jc w:val="center"/>
              <w:rPr>
                <w:rFonts w:ascii="仿宋_GB2312" w:eastAsia="仿宋_GB2312"/>
                <w:sz w:val="24"/>
              </w:rPr>
            </w:pPr>
          </w:p>
        </w:tc>
        <w:tc>
          <w:tcPr>
            <w:tcW w:w="2455" w:type="dxa"/>
          </w:tcPr>
          <w:p w14:paraId="368D1F04" w14:textId="77777777" w:rsidR="006553F1" w:rsidRDefault="006553F1">
            <w:pPr>
              <w:jc w:val="center"/>
              <w:rPr>
                <w:rFonts w:ascii="仿宋_GB2312" w:eastAsia="仿宋_GB2312"/>
                <w:sz w:val="24"/>
              </w:rPr>
            </w:pPr>
            <w:r>
              <w:rPr>
                <w:rFonts w:ascii="仿宋_GB2312" w:eastAsia="仿宋_GB2312" w:hint="eastAsia"/>
                <w:sz w:val="24"/>
              </w:rPr>
              <w:t>中韩（惠州）产业园起步区工业项目准入</w:t>
            </w:r>
            <w:r>
              <w:rPr>
                <w:rFonts w:ascii="仿宋_GB2312" w:eastAsia="仿宋_GB2312" w:hint="eastAsia"/>
                <w:sz w:val="24"/>
              </w:rPr>
              <w:lastRenderedPageBreak/>
              <w:t>条件（2020-2021年）</w:t>
            </w:r>
          </w:p>
        </w:tc>
        <w:tc>
          <w:tcPr>
            <w:tcW w:w="1694" w:type="dxa"/>
          </w:tcPr>
          <w:p w14:paraId="1213C010" w14:textId="77777777" w:rsidR="006553F1" w:rsidRDefault="006553F1">
            <w:pPr>
              <w:jc w:val="center"/>
              <w:rPr>
                <w:rFonts w:ascii="仿宋_GB2312" w:eastAsia="仿宋_GB2312"/>
                <w:sz w:val="24"/>
              </w:rPr>
            </w:pPr>
            <w:r>
              <w:rPr>
                <w:rFonts w:ascii="仿宋_GB2312" w:eastAsia="仿宋_GB2312" w:hint="eastAsia"/>
                <w:sz w:val="24"/>
              </w:rPr>
              <w:lastRenderedPageBreak/>
              <w:t>9</w:t>
            </w:r>
            <w:r>
              <w:rPr>
                <w:rFonts w:ascii="仿宋_GB2312" w:eastAsia="仿宋_GB2312"/>
                <w:sz w:val="24"/>
              </w:rPr>
              <w:t>000</w:t>
            </w:r>
          </w:p>
        </w:tc>
        <w:tc>
          <w:tcPr>
            <w:tcW w:w="1984" w:type="dxa"/>
          </w:tcPr>
          <w:p w14:paraId="35612111" w14:textId="11821757" w:rsidR="006553F1" w:rsidRDefault="006553F1">
            <w:pPr>
              <w:jc w:val="center"/>
              <w:rPr>
                <w:rFonts w:ascii="仿宋_GB2312" w:eastAsia="仿宋_GB2312"/>
                <w:sz w:val="24"/>
              </w:rPr>
            </w:pPr>
            <w:r>
              <w:rPr>
                <w:rFonts w:ascii="仿宋_GB2312" w:eastAsia="仿宋_GB2312" w:hint="eastAsia"/>
                <w:sz w:val="24"/>
              </w:rPr>
              <w:t>1</w:t>
            </w:r>
            <w:r>
              <w:rPr>
                <w:rFonts w:ascii="仿宋_GB2312" w:eastAsia="仿宋_GB2312"/>
                <w:sz w:val="24"/>
              </w:rPr>
              <w:t>8000</w:t>
            </w:r>
          </w:p>
        </w:tc>
        <w:tc>
          <w:tcPr>
            <w:tcW w:w="1701" w:type="dxa"/>
          </w:tcPr>
          <w:p w14:paraId="1ABBD4F2" w14:textId="4FA62EE0" w:rsidR="006553F1" w:rsidRDefault="006553F1">
            <w:pPr>
              <w:jc w:val="center"/>
              <w:rPr>
                <w:rFonts w:ascii="仿宋_GB2312" w:eastAsia="仿宋_GB2312"/>
                <w:sz w:val="24"/>
              </w:rPr>
            </w:pPr>
            <w:r>
              <w:rPr>
                <w:rFonts w:ascii="仿宋_GB2312" w:eastAsia="仿宋_GB2312" w:hint="eastAsia"/>
                <w:sz w:val="24"/>
              </w:rPr>
              <w:t>8</w:t>
            </w:r>
            <w:r>
              <w:rPr>
                <w:rFonts w:ascii="仿宋_GB2312" w:eastAsia="仿宋_GB2312"/>
                <w:sz w:val="24"/>
              </w:rPr>
              <w:t>25</w:t>
            </w:r>
          </w:p>
        </w:tc>
      </w:tr>
      <w:tr w:rsidR="006553F1" w14:paraId="3C7F1BE5" w14:textId="77777777" w:rsidTr="006553F1">
        <w:tc>
          <w:tcPr>
            <w:tcW w:w="779" w:type="dxa"/>
          </w:tcPr>
          <w:p w14:paraId="16FFCC52" w14:textId="77777777" w:rsidR="006553F1" w:rsidRDefault="006553F1">
            <w:pPr>
              <w:jc w:val="center"/>
              <w:rPr>
                <w:rFonts w:ascii="仿宋_GB2312" w:eastAsia="仿宋_GB2312"/>
                <w:sz w:val="24"/>
              </w:rPr>
            </w:pPr>
          </w:p>
          <w:p w14:paraId="6E4E1E48" w14:textId="77777777" w:rsidR="006553F1" w:rsidRDefault="006553F1">
            <w:pPr>
              <w:jc w:val="center"/>
              <w:rPr>
                <w:rFonts w:ascii="仿宋_GB2312" w:eastAsia="仿宋_GB2312"/>
                <w:sz w:val="24"/>
              </w:rPr>
            </w:pPr>
            <w:r>
              <w:rPr>
                <w:rFonts w:ascii="仿宋_GB2312" w:eastAsia="仿宋_GB2312" w:hint="eastAsia"/>
                <w:sz w:val="24"/>
              </w:rPr>
              <w:t>汕尾市</w:t>
            </w:r>
          </w:p>
        </w:tc>
        <w:tc>
          <w:tcPr>
            <w:tcW w:w="2455" w:type="dxa"/>
          </w:tcPr>
          <w:p w14:paraId="45ECAEB6" w14:textId="77777777" w:rsidR="006553F1" w:rsidRDefault="006553F1">
            <w:pPr>
              <w:jc w:val="center"/>
              <w:rPr>
                <w:rFonts w:ascii="仿宋_GB2312" w:eastAsia="仿宋_GB2312"/>
                <w:sz w:val="24"/>
              </w:rPr>
            </w:pPr>
            <w:r>
              <w:rPr>
                <w:rFonts w:ascii="仿宋_GB2312" w:eastAsia="仿宋_GB2312" w:hint="eastAsia"/>
                <w:sz w:val="24"/>
              </w:rPr>
              <w:t>汕尾高新技术产业开发区红草园区项目准入条件(试行)（2019）</w:t>
            </w:r>
          </w:p>
        </w:tc>
        <w:tc>
          <w:tcPr>
            <w:tcW w:w="1694" w:type="dxa"/>
          </w:tcPr>
          <w:p w14:paraId="6178B762" w14:textId="77777777" w:rsidR="006553F1" w:rsidRDefault="006553F1">
            <w:pPr>
              <w:jc w:val="center"/>
              <w:rPr>
                <w:rFonts w:ascii="仿宋_GB2312" w:eastAsia="仿宋_GB2312"/>
                <w:sz w:val="24"/>
              </w:rPr>
            </w:pPr>
            <w:r>
              <w:rPr>
                <w:rFonts w:ascii="仿宋_GB2312" w:eastAsia="仿宋_GB2312" w:hint="eastAsia"/>
                <w:sz w:val="24"/>
              </w:rPr>
              <w:t>9</w:t>
            </w:r>
            <w:r>
              <w:rPr>
                <w:rFonts w:ascii="仿宋_GB2312" w:eastAsia="仿宋_GB2312"/>
                <w:sz w:val="24"/>
              </w:rPr>
              <w:t>000</w:t>
            </w:r>
          </w:p>
        </w:tc>
        <w:tc>
          <w:tcPr>
            <w:tcW w:w="1984" w:type="dxa"/>
          </w:tcPr>
          <w:p w14:paraId="73196846" w14:textId="43C114D8" w:rsidR="006553F1" w:rsidRDefault="006553F1">
            <w:pPr>
              <w:jc w:val="center"/>
              <w:rPr>
                <w:rFonts w:ascii="仿宋_GB2312" w:eastAsia="仿宋_GB2312"/>
                <w:sz w:val="24"/>
              </w:rPr>
            </w:pPr>
            <w:r>
              <w:rPr>
                <w:rFonts w:ascii="仿宋_GB2312" w:eastAsia="仿宋_GB2312" w:hint="eastAsia"/>
                <w:sz w:val="24"/>
              </w:rPr>
              <w:t>7</w:t>
            </w:r>
            <w:r w:rsidR="00B55537">
              <w:rPr>
                <w:rFonts w:ascii="仿宋_GB2312" w:eastAsia="仿宋_GB2312"/>
                <w:sz w:val="24"/>
              </w:rPr>
              <w:t>5</w:t>
            </w:r>
            <w:r>
              <w:rPr>
                <w:rFonts w:ascii="仿宋_GB2312" w:eastAsia="仿宋_GB2312"/>
                <w:sz w:val="24"/>
              </w:rPr>
              <w:t>00</w:t>
            </w:r>
          </w:p>
        </w:tc>
        <w:tc>
          <w:tcPr>
            <w:tcW w:w="1701" w:type="dxa"/>
          </w:tcPr>
          <w:p w14:paraId="6F2012D3" w14:textId="6A3E4CE9" w:rsidR="006553F1" w:rsidRDefault="006553F1">
            <w:pPr>
              <w:jc w:val="center"/>
              <w:rPr>
                <w:rFonts w:ascii="仿宋_GB2312" w:eastAsia="仿宋_GB2312"/>
                <w:sz w:val="24"/>
              </w:rPr>
            </w:pPr>
            <w:r>
              <w:rPr>
                <w:rFonts w:ascii="仿宋_GB2312" w:eastAsia="仿宋_GB2312" w:hint="eastAsia"/>
                <w:sz w:val="24"/>
              </w:rPr>
              <w:t>4</w:t>
            </w:r>
            <w:r>
              <w:rPr>
                <w:rFonts w:ascii="仿宋_GB2312" w:eastAsia="仿宋_GB2312"/>
                <w:sz w:val="24"/>
              </w:rPr>
              <w:t>50</w:t>
            </w:r>
          </w:p>
        </w:tc>
      </w:tr>
      <w:tr w:rsidR="006553F1" w14:paraId="49E029D0" w14:textId="77777777" w:rsidTr="006553F1">
        <w:tc>
          <w:tcPr>
            <w:tcW w:w="779" w:type="dxa"/>
            <w:vMerge w:val="restart"/>
          </w:tcPr>
          <w:p w14:paraId="735DE1C0" w14:textId="77777777" w:rsidR="006553F1" w:rsidRDefault="006553F1">
            <w:pPr>
              <w:jc w:val="center"/>
              <w:rPr>
                <w:rFonts w:ascii="仿宋_GB2312" w:eastAsia="仿宋_GB2312"/>
                <w:sz w:val="24"/>
              </w:rPr>
            </w:pPr>
          </w:p>
          <w:p w14:paraId="73AA807A" w14:textId="77777777" w:rsidR="006553F1" w:rsidRDefault="006553F1">
            <w:pPr>
              <w:rPr>
                <w:rFonts w:ascii="仿宋_GB2312" w:eastAsia="仿宋_GB2312"/>
                <w:sz w:val="24"/>
              </w:rPr>
            </w:pPr>
            <w:r>
              <w:rPr>
                <w:rFonts w:ascii="仿宋_GB2312" w:eastAsia="仿宋_GB2312" w:hint="eastAsia"/>
                <w:sz w:val="24"/>
              </w:rPr>
              <w:t>河源市</w:t>
            </w:r>
          </w:p>
        </w:tc>
        <w:tc>
          <w:tcPr>
            <w:tcW w:w="2455" w:type="dxa"/>
          </w:tcPr>
          <w:p w14:paraId="6F0FC0BA" w14:textId="77777777" w:rsidR="006553F1" w:rsidRDefault="006553F1">
            <w:pPr>
              <w:jc w:val="center"/>
              <w:rPr>
                <w:rFonts w:ascii="仿宋_GB2312" w:eastAsia="仿宋_GB2312"/>
                <w:sz w:val="24"/>
              </w:rPr>
            </w:pPr>
            <w:r>
              <w:rPr>
                <w:rFonts w:ascii="仿宋_GB2312" w:eastAsia="仿宋_GB2312" w:hint="eastAsia"/>
                <w:sz w:val="24"/>
              </w:rPr>
              <w:t>河源市高新区工业项目准入条件（2020年）</w:t>
            </w:r>
          </w:p>
        </w:tc>
        <w:tc>
          <w:tcPr>
            <w:tcW w:w="1694" w:type="dxa"/>
          </w:tcPr>
          <w:p w14:paraId="1DA5C767" w14:textId="77777777" w:rsidR="006553F1" w:rsidRDefault="006553F1">
            <w:pPr>
              <w:jc w:val="center"/>
              <w:rPr>
                <w:rFonts w:ascii="仿宋_GB2312" w:eastAsia="仿宋_GB2312"/>
                <w:sz w:val="24"/>
              </w:rPr>
            </w:pPr>
            <w:r>
              <w:rPr>
                <w:rFonts w:ascii="仿宋_GB2312" w:eastAsia="仿宋_GB2312" w:hint="eastAsia"/>
                <w:sz w:val="24"/>
              </w:rPr>
              <w:t>6</w:t>
            </w:r>
            <w:r>
              <w:rPr>
                <w:rFonts w:ascii="仿宋_GB2312" w:eastAsia="仿宋_GB2312"/>
                <w:sz w:val="24"/>
              </w:rPr>
              <w:t>000</w:t>
            </w:r>
          </w:p>
        </w:tc>
        <w:tc>
          <w:tcPr>
            <w:tcW w:w="1984" w:type="dxa"/>
          </w:tcPr>
          <w:p w14:paraId="261BDF04" w14:textId="5CE7A0B6" w:rsidR="006553F1" w:rsidRDefault="006553F1">
            <w:pPr>
              <w:jc w:val="center"/>
              <w:rPr>
                <w:rFonts w:ascii="仿宋_GB2312" w:eastAsia="仿宋_GB2312"/>
                <w:sz w:val="24"/>
              </w:rPr>
            </w:pPr>
            <w:r>
              <w:rPr>
                <w:rFonts w:ascii="仿宋_GB2312" w:eastAsia="仿宋_GB2312" w:hint="eastAsia"/>
                <w:sz w:val="24"/>
              </w:rPr>
              <w:t>7</w:t>
            </w:r>
            <w:r w:rsidR="00B55537">
              <w:rPr>
                <w:rFonts w:ascii="仿宋_GB2312" w:eastAsia="仿宋_GB2312"/>
                <w:sz w:val="24"/>
              </w:rPr>
              <w:t>5</w:t>
            </w:r>
            <w:r>
              <w:rPr>
                <w:rFonts w:ascii="仿宋_GB2312" w:eastAsia="仿宋_GB2312"/>
                <w:sz w:val="24"/>
              </w:rPr>
              <w:t>00</w:t>
            </w:r>
          </w:p>
        </w:tc>
        <w:tc>
          <w:tcPr>
            <w:tcW w:w="1701" w:type="dxa"/>
          </w:tcPr>
          <w:p w14:paraId="7BDF8AE3" w14:textId="30C23945" w:rsidR="006553F1" w:rsidRDefault="006553F1">
            <w:pPr>
              <w:jc w:val="center"/>
              <w:rPr>
                <w:rFonts w:ascii="仿宋_GB2312" w:eastAsia="仿宋_GB2312"/>
                <w:sz w:val="24"/>
              </w:rPr>
            </w:pPr>
            <w:r>
              <w:rPr>
                <w:rFonts w:ascii="仿宋_GB2312" w:eastAsia="仿宋_GB2312" w:hint="eastAsia"/>
                <w:sz w:val="24"/>
              </w:rPr>
              <w:t>4</w:t>
            </w:r>
            <w:r>
              <w:rPr>
                <w:rFonts w:ascii="仿宋_GB2312" w:eastAsia="仿宋_GB2312"/>
                <w:sz w:val="24"/>
              </w:rPr>
              <w:t>50</w:t>
            </w:r>
          </w:p>
        </w:tc>
      </w:tr>
      <w:tr w:rsidR="006553F1" w14:paraId="56C6886A" w14:textId="77777777" w:rsidTr="006553F1">
        <w:tc>
          <w:tcPr>
            <w:tcW w:w="779" w:type="dxa"/>
            <w:vMerge/>
          </w:tcPr>
          <w:p w14:paraId="37B0FA70" w14:textId="77777777" w:rsidR="006553F1" w:rsidRDefault="006553F1">
            <w:pPr>
              <w:jc w:val="center"/>
              <w:rPr>
                <w:rFonts w:ascii="仿宋_GB2312" w:eastAsia="仿宋_GB2312"/>
                <w:sz w:val="24"/>
              </w:rPr>
            </w:pPr>
          </w:p>
        </w:tc>
        <w:tc>
          <w:tcPr>
            <w:tcW w:w="2455" w:type="dxa"/>
          </w:tcPr>
          <w:p w14:paraId="1B84676B" w14:textId="77777777" w:rsidR="006553F1" w:rsidRDefault="006553F1">
            <w:pPr>
              <w:jc w:val="center"/>
              <w:rPr>
                <w:rFonts w:ascii="仿宋_GB2312" w:eastAsia="仿宋_GB2312"/>
                <w:sz w:val="24"/>
              </w:rPr>
            </w:pPr>
            <w:r>
              <w:rPr>
                <w:rFonts w:ascii="仿宋_GB2312" w:eastAsia="仿宋_GB2312" w:hint="eastAsia"/>
                <w:sz w:val="24"/>
              </w:rPr>
              <w:t>河源江东新区新引进项目准入管理办法（试行）（2017）</w:t>
            </w:r>
          </w:p>
        </w:tc>
        <w:tc>
          <w:tcPr>
            <w:tcW w:w="1694" w:type="dxa"/>
          </w:tcPr>
          <w:p w14:paraId="6C725300" w14:textId="77777777" w:rsidR="006553F1" w:rsidRDefault="006553F1">
            <w:pPr>
              <w:jc w:val="center"/>
              <w:rPr>
                <w:rFonts w:ascii="仿宋_GB2312" w:eastAsia="仿宋_GB2312"/>
                <w:sz w:val="24"/>
              </w:rPr>
            </w:pPr>
            <w:r>
              <w:rPr>
                <w:rFonts w:ascii="仿宋_GB2312" w:eastAsia="仿宋_GB2312" w:hint="eastAsia"/>
                <w:sz w:val="24"/>
              </w:rPr>
              <w:t>3</w:t>
            </w:r>
            <w:r>
              <w:rPr>
                <w:rFonts w:ascii="仿宋_GB2312" w:eastAsia="仿宋_GB2312"/>
                <w:sz w:val="24"/>
              </w:rPr>
              <w:t>750</w:t>
            </w:r>
          </w:p>
        </w:tc>
        <w:tc>
          <w:tcPr>
            <w:tcW w:w="1984" w:type="dxa"/>
          </w:tcPr>
          <w:p w14:paraId="49424A17" w14:textId="71E0A19B" w:rsidR="006553F1" w:rsidRDefault="006553F1">
            <w:pPr>
              <w:jc w:val="center"/>
              <w:rPr>
                <w:rFonts w:ascii="仿宋_GB2312" w:eastAsia="仿宋_GB2312"/>
                <w:sz w:val="24"/>
              </w:rPr>
            </w:pPr>
            <w:r>
              <w:rPr>
                <w:rFonts w:ascii="仿宋_GB2312" w:eastAsia="仿宋_GB2312" w:hint="eastAsia"/>
                <w:sz w:val="24"/>
              </w:rPr>
              <w:t>6</w:t>
            </w:r>
            <w:r>
              <w:rPr>
                <w:rFonts w:ascii="仿宋_GB2312" w:eastAsia="仿宋_GB2312"/>
                <w:sz w:val="24"/>
              </w:rPr>
              <w:t>000</w:t>
            </w:r>
          </w:p>
        </w:tc>
        <w:tc>
          <w:tcPr>
            <w:tcW w:w="1701" w:type="dxa"/>
          </w:tcPr>
          <w:p w14:paraId="78E726C0" w14:textId="164752DB" w:rsidR="006553F1" w:rsidRDefault="006553F1">
            <w:pPr>
              <w:jc w:val="center"/>
              <w:rPr>
                <w:rFonts w:ascii="仿宋_GB2312" w:eastAsia="仿宋_GB2312"/>
                <w:sz w:val="24"/>
              </w:rPr>
            </w:pPr>
            <w:r>
              <w:rPr>
                <w:rFonts w:ascii="仿宋_GB2312" w:eastAsia="仿宋_GB2312" w:hint="eastAsia"/>
                <w:sz w:val="24"/>
              </w:rPr>
              <w:t>3</w:t>
            </w:r>
            <w:r>
              <w:rPr>
                <w:rFonts w:ascii="仿宋_GB2312" w:eastAsia="仿宋_GB2312"/>
                <w:sz w:val="24"/>
              </w:rPr>
              <w:t>00</w:t>
            </w:r>
          </w:p>
        </w:tc>
      </w:tr>
    </w:tbl>
    <w:p w14:paraId="196C1D4E" w14:textId="5CB1683C" w:rsidR="00327E0F" w:rsidRDefault="00BF4CA1">
      <w:pPr>
        <w:spacing w:line="560" w:lineRule="exact"/>
        <w:rPr>
          <w:rFonts w:ascii="仿宋_GB2312" w:eastAsia="仿宋_GB2312"/>
          <w:sz w:val="24"/>
        </w:rPr>
      </w:pPr>
      <w:r>
        <w:rPr>
          <w:rFonts w:ascii="仿宋_GB2312" w:eastAsia="仿宋_GB2312" w:hint="eastAsia"/>
          <w:sz w:val="24"/>
        </w:rPr>
        <w:t>注：相关市区控制标准详见附件</w:t>
      </w:r>
    </w:p>
    <w:p w14:paraId="1CF8AACD" w14:textId="0ABD4E9F" w:rsidR="00BF4CA1" w:rsidRDefault="00BF4CA1">
      <w:pPr>
        <w:spacing w:line="560" w:lineRule="exact"/>
        <w:rPr>
          <w:rFonts w:ascii="仿宋_GB2312" w:eastAsia="仿宋_GB2312"/>
          <w:sz w:val="24"/>
        </w:rPr>
      </w:pPr>
    </w:p>
    <w:p w14:paraId="1B7DDC91" w14:textId="46835FFF" w:rsidR="00BF4CA1" w:rsidRDefault="00BF4CA1">
      <w:pPr>
        <w:spacing w:line="560" w:lineRule="exact"/>
        <w:rPr>
          <w:rFonts w:ascii="仿宋_GB2312" w:eastAsia="仿宋_GB2312"/>
          <w:sz w:val="24"/>
        </w:rPr>
      </w:pPr>
    </w:p>
    <w:p w14:paraId="390691C1" w14:textId="4C1263F7" w:rsidR="00BF4CA1" w:rsidRDefault="00BF4CA1">
      <w:pPr>
        <w:spacing w:line="560" w:lineRule="exact"/>
        <w:rPr>
          <w:rFonts w:ascii="仿宋_GB2312" w:eastAsia="仿宋_GB2312"/>
          <w:sz w:val="24"/>
        </w:rPr>
      </w:pPr>
    </w:p>
    <w:p w14:paraId="7891E62D" w14:textId="10383853" w:rsidR="00BF4CA1" w:rsidRDefault="00BF4CA1">
      <w:pPr>
        <w:spacing w:line="560" w:lineRule="exact"/>
        <w:rPr>
          <w:rFonts w:ascii="仿宋_GB2312" w:eastAsia="仿宋_GB2312"/>
          <w:sz w:val="24"/>
        </w:rPr>
      </w:pPr>
    </w:p>
    <w:p w14:paraId="57D571E3" w14:textId="327EF1F9" w:rsidR="00BF4CA1" w:rsidRDefault="00BF4CA1">
      <w:pPr>
        <w:spacing w:line="560" w:lineRule="exact"/>
        <w:rPr>
          <w:rFonts w:ascii="仿宋_GB2312" w:eastAsia="仿宋_GB2312"/>
          <w:sz w:val="24"/>
        </w:rPr>
      </w:pPr>
    </w:p>
    <w:p w14:paraId="4B15B57F" w14:textId="1AE0B363" w:rsidR="00BF4CA1" w:rsidRDefault="00BF4CA1">
      <w:pPr>
        <w:spacing w:line="560" w:lineRule="exact"/>
        <w:rPr>
          <w:rFonts w:ascii="仿宋_GB2312" w:eastAsia="仿宋_GB2312"/>
          <w:sz w:val="24"/>
        </w:rPr>
      </w:pPr>
    </w:p>
    <w:p w14:paraId="394EA62C" w14:textId="1949AB39" w:rsidR="00BF4CA1" w:rsidRDefault="00BF4CA1">
      <w:pPr>
        <w:spacing w:line="560" w:lineRule="exact"/>
        <w:rPr>
          <w:rFonts w:ascii="仿宋_GB2312" w:eastAsia="仿宋_GB2312"/>
          <w:sz w:val="24"/>
        </w:rPr>
      </w:pPr>
    </w:p>
    <w:p w14:paraId="3A3A56E4" w14:textId="6B24309B" w:rsidR="00BF4CA1" w:rsidRDefault="00BF4CA1">
      <w:pPr>
        <w:spacing w:line="560" w:lineRule="exact"/>
        <w:rPr>
          <w:rFonts w:ascii="仿宋_GB2312" w:eastAsia="仿宋_GB2312"/>
          <w:sz w:val="24"/>
        </w:rPr>
      </w:pPr>
    </w:p>
    <w:p w14:paraId="6669AAF5" w14:textId="7ED0748F" w:rsidR="00BF4CA1" w:rsidRDefault="00BF4CA1">
      <w:pPr>
        <w:spacing w:line="560" w:lineRule="exact"/>
        <w:rPr>
          <w:rFonts w:ascii="仿宋_GB2312" w:eastAsia="仿宋_GB2312"/>
          <w:sz w:val="24"/>
        </w:rPr>
      </w:pPr>
    </w:p>
    <w:p w14:paraId="1E147FF2" w14:textId="137D3345" w:rsidR="00BF4CA1" w:rsidRDefault="00BF4CA1">
      <w:pPr>
        <w:spacing w:line="560" w:lineRule="exact"/>
        <w:rPr>
          <w:rFonts w:ascii="仿宋_GB2312" w:eastAsia="仿宋_GB2312"/>
          <w:sz w:val="24"/>
        </w:rPr>
      </w:pPr>
    </w:p>
    <w:p w14:paraId="45249510" w14:textId="27776D17" w:rsidR="00BF4CA1" w:rsidRDefault="00BF4CA1">
      <w:pPr>
        <w:spacing w:line="560" w:lineRule="exact"/>
        <w:rPr>
          <w:rFonts w:ascii="仿宋_GB2312" w:eastAsia="仿宋_GB2312"/>
          <w:sz w:val="24"/>
        </w:rPr>
      </w:pPr>
    </w:p>
    <w:p w14:paraId="2BA0E2E0" w14:textId="562C64D8" w:rsidR="00BF4CA1" w:rsidRDefault="00BF4CA1">
      <w:pPr>
        <w:spacing w:line="560" w:lineRule="exact"/>
        <w:rPr>
          <w:rFonts w:ascii="仿宋_GB2312" w:eastAsia="仿宋_GB2312"/>
          <w:sz w:val="24"/>
        </w:rPr>
      </w:pPr>
    </w:p>
    <w:p w14:paraId="00259886" w14:textId="3D590F4B" w:rsidR="00BF4CA1" w:rsidRDefault="00BF4CA1">
      <w:pPr>
        <w:spacing w:line="560" w:lineRule="exact"/>
        <w:rPr>
          <w:rFonts w:ascii="仿宋_GB2312" w:eastAsia="仿宋_GB2312"/>
          <w:sz w:val="24"/>
        </w:rPr>
      </w:pPr>
    </w:p>
    <w:p w14:paraId="1CAC7615" w14:textId="1F3AD095" w:rsidR="00BF4CA1" w:rsidRDefault="00BF4CA1">
      <w:pPr>
        <w:spacing w:line="560" w:lineRule="exact"/>
        <w:rPr>
          <w:rFonts w:ascii="仿宋_GB2312" w:eastAsia="仿宋_GB2312"/>
          <w:sz w:val="24"/>
        </w:rPr>
      </w:pPr>
    </w:p>
    <w:p w14:paraId="1FD65680" w14:textId="1B3A96C6" w:rsidR="00BF4CA1" w:rsidRDefault="00BF4CA1">
      <w:pPr>
        <w:spacing w:line="560" w:lineRule="exact"/>
        <w:rPr>
          <w:rFonts w:ascii="仿宋_GB2312" w:eastAsia="仿宋_GB2312"/>
          <w:sz w:val="24"/>
        </w:rPr>
      </w:pPr>
    </w:p>
    <w:p w14:paraId="3EF2C982" w14:textId="77777777" w:rsidR="007D2EC6" w:rsidRDefault="007D2EC6">
      <w:pPr>
        <w:spacing w:line="560" w:lineRule="exact"/>
        <w:rPr>
          <w:rFonts w:ascii="仿宋_GB2312" w:eastAsia="仿宋_GB2312" w:hint="eastAsia"/>
          <w:sz w:val="24"/>
        </w:rPr>
      </w:pPr>
    </w:p>
    <w:p w14:paraId="63AD0829"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lastRenderedPageBreak/>
        <w:t>附件</w:t>
      </w:r>
    </w:p>
    <w:p w14:paraId="001EEA09"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一、国家相关标准</w:t>
      </w:r>
    </w:p>
    <w:p w14:paraId="3D050647" w14:textId="77777777" w:rsidR="00327E0F" w:rsidRDefault="00BF4CA1">
      <w:pPr>
        <w:spacing w:line="560" w:lineRule="exact"/>
        <w:ind w:firstLineChars="200" w:firstLine="643"/>
        <w:rPr>
          <w:rFonts w:ascii="仿宋_GB2312" w:eastAsia="仿宋_GB2312" w:hAnsi="Calibri"/>
          <w:sz w:val="32"/>
          <w:szCs w:val="22"/>
        </w:rPr>
      </w:pPr>
      <w:r w:rsidRPr="00BF4CA1">
        <w:rPr>
          <w:rFonts w:ascii="仿宋_GB2312" w:eastAsia="仿宋_GB2312" w:hAnsi="Calibri" w:hint="eastAsia"/>
          <w:b/>
          <w:bCs/>
          <w:sz w:val="32"/>
          <w:szCs w:val="22"/>
        </w:rPr>
        <w:t>（一）《工业项目建设用地控制指标》（国土资发〔</w:t>
      </w:r>
      <w:r w:rsidRPr="00BF4CA1">
        <w:rPr>
          <w:rFonts w:ascii="仿宋_GB2312" w:eastAsia="仿宋_GB2312" w:hAnsi="Calibri"/>
          <w:b/>
          <w:bCs/>
          <w:sz w:val="32"/>
          <w:szCs w:val="22"/>
        </w:rPr>
        <w:t>2008</w:t>
      </w:r>
      <w:r w:rsidRPr="00BF4CA1">
        <w:rPr>
          <w:rFonts w:ascii="仿宋_GB2312" w:eastAsia="仿宋_GB2312" w:hAnsi="Calibri" w:hint="eastAsia"/>
          <w:b/>
          <w:bCs/>
          <w:sz w:val="32"/>
          <w:szCs w:val="22"/>
        </w:rPr>
        <w:t>〕</w:t>
      </w:r>
      <w:r w:rsidRPr="00BF4CA1">
        <w:rPr>
          <w:rFonts w:ascii="仿宋_GB2312" w:eastAsia="仿宋_GB2312" w:hAnsi="Calibri"/>
          <w:b/>
          <w:bCs/>
          <w:sz w:val="32"/>
          <w:szCs w:val="22"/>
        </w:rPr>
        <w:t>24</w:t>
      </w:r>
      <w:r w:rsidRPr="00BF4CA1">
        <w:rPr>
          <w:rFonts w:ascii="仿宋_GB2312" w:eastAsia="仿宋_GB2312" w:hAnsi="Calibri" w:hint="eastAsia"/>
          <w:b/>
          <w:bCs/>
          <w:sz w:val="32"/>
          <w:szCs w:val="22"/>
        </w:rPr>
        <w:t>号）</w:t>
      </w:r>
    </w:p>
    <w:p w14:paraId="04CEB5AE"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2008年，国家出台《工业项目建设用地控制指标》（国土资发〔</w:t>
      </w:r>
      <w:r>
        <w:rPr>
          <w:rFonts w:ascii="仿宋_GB2312" w:eastAsia="仿宋_GB2312" w:hAnsi="Calibri"/>
          <w:sz w:val="32"/>
          <w:szCs w:val="22"/>
        </w:rPr>
        <w:t>2008</w:t>
      </w:r>
      <w:r>
        <w:rPr>
          <w:rFonts w:ascii="仿宋_GB2312" w:eastAsia="仿宋_GB2312" w:hAnsi="Calibri" w:hint="eastAsia"/>
          <w:sz w:val="32"/>
          <w:szCs w:val="22"/>
        </w:rPr>
        <w:t>〕</w:t>
      </w:r>
      <w:r>
        <w:rPr>
          <w:rFonts w:ascii="仿宋_GB2312" w:eastAsia="仿宋_GB2312" w:hAnsi="Calibri"/>
          <w:sz w:val="32"/>
          <w:szCs w:val="22"/>
        </w:rPr>
        <w:t>24</w:t>
      </w:r>
      <w:r>
        <w:rPr>
          <w:rFonts w:ascii="仿宋_GB2312" w:eastAsia="仿宋_GB2312" w:hAnsi="Calibri" w:hint="eastAsia"/>
          <w:sz w:val="32"/>
          <w:szCs w:val="22"/>
        </w:rPr>
        <w:t>号）文件，对工业用地项目的投资强度、容积率、建筑系数、行政办公及生活服务设施用地所占比重、绿地率等土地利用控制性指标进行了明确说明。</w:t>
      </w:r>
    </w:p>
    <w:p w14:paraId="091C7495"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文件把全国各地土地分成了十五等，每个等级按照不同的投资强度等指标进行指导，等级越低指标越高。其中深圳市（福田区、罗湖区、南山区、盐田区）为第三等；深圳市宝安区为第四等；深圳市龙岗区为第五等；汕尾城区为第八等；海丰县为第十等。</w:t>
      </w:r>
    </w:p>
    <w:p w14:paraId="23B13D97"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就投资强度而言，三等、四等地区的标准为八等地区的1.7倍、十等地区的2.5倍。五等地区的标准为八等地区的1.4倍、十等地区的2.0倍。</w:t>
      </w:r>
    </w:p>
    <w:p w14:paraId="61948BF1" w14:textId="77777777" w:rsidR="00327E0F" w:rsidRDefault="00BF4CA1">
      <w:pPr>
        <w:spacing w:line="560" w:lineRule="exact"/>
        <w:ind w:firstLineChars="200" w:firstLine="643"/>
        <w:rPr>
          <w:rFonts w:ascii="仿宋_GB2312" w:eastAsia="仿宋_GB2312" w:hAnsi="Calibri"/>
          <w:sz w:val="32"/>
          <w:szCs w:val="22"/>
        </w:rPr>
      </w:pPr>
      <w:r>
        <w:rPr>
          <w:rFonts w:ascii="仿宋_GB2312" w:eastAsia="仿宋_GB2312" w:hAnsi="Calibri" w:hint="eastAsia"/>
          <w:b/>
          <w:bCs/>
          <w:sz w:val="32"/>
          <w:szCs w:val="22"/>
        </w:rPr>
        <w:t>（二）《工业项目建设用地控制指标（征求意见稿）》（2021年版本）</w:t>
      </w:r>
    </w:p>
    <w:p w14:paraId="1AC97E56"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2021年3月，国家自然资源部修订了《工业项目建设用地控制指标》（国土资发〔</w:t>
      </w:r>
      <w:r>
        <w:rPr>
          <w:rFonts w:ascii="仿宋_GB2312" w:eastAsia="仿宋_GB2312" w:hAnsi="Calibri"/>
          <w:sz w:val="32"/>
          <w:szCs w:val="22"/>
        </w:rPr>
        <w:t>2008</w:t>
      </w:r>
      <w:r>
        <w:rPr>
          <w:rFonts w:ascii="仿宋_GB2312" w:eastAsia="仿宋_GB2312" w:hAnsi="Calibri" w:hint="eastAsia"/>
          <w:sz w:val="32"/>
          <w:szCs w:val="22"/>
        </w:rPr>
        <w:t>〕</w:t>
      </w:r>
      <w:r>
        <w:rPr>
          <w:rFonts w:ascii="仿宋_GB2312" w:eastAsia="仿宋_GB2312" w:hAnsi="Calibri"/>
          <w:sz w:val="32"/>
          <w:szCs w:val="22"/>
        </w:rPr>
        <w:t>24</w:t>
      </w:r>
      <w:r>
        <w:rPr>
          <w:rFonts w:ascii="仿宋_GB2312" w:eastAsia="仿宋_GB2312" w:hAnsi="Calibri" w:hint="eastAsia"/>
          <w:sz w:val="32"/>
          <w:szCs w:val="22"/>
        </w:rPr>
        <w:t>号）文件，形成了《工业项目建设用地控制指标（征求意见稿）》（2021年版本）向社会公开征求意见。并对工业行业分类、战略性新兴产业分类、先进</w:t>
      </w:r>
      <w:r>
        <w:rPr>
          <w:rFonts w:ascii="仿宋_GB2312" w:eastAsia="仿宋_GB2312" w:hAnsi="Calibri" w:hint="eastAsia"/>
          <w:sz w:val="32"/>
          <w:szCs w:val="22"/>
        </w:rPr>
        <w:lastRenderedPageBreak/>
        <w:t>制造业分类以及城镇土地等别等进行的更新调整和完善。</w:t>
      </w:r>
    </w:p>
    <w:p w14:paraId="3F005E4B"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第一，工业行业分类按《国民经济行业分类》（GB/T4754-2017）执行；战略性新兴产业分类按《战略性新兴产业分类（2018）》（国家统计局令第23号）执行，先进制造业分类按《新产业新业态新商业模式统计分类（2018）》（国统字〔2018〕111号）执行。土地等别按照依据《城镇土地分等定级规程》（GB/T18507-2014）制定的城镇土地等别执行。</w:t>
      </w:r>
    </w:p>
    <w:p w14:paraId="0C2E2DCE"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第二，关于投资强度指标，土地等级仍然是十五等，每个等级之间的投资强度指标在缩小，而且行业不同倍数关系也不同；增加的</w:t>
      </w:r>
      <w:r>
        <w:rPr>
          <w:rFonts w:ascii="仿宋_GB2312" w:eastAsia="仿宋_GB2312" w:hAnsi="Calibri"/>
          <w:sz w:val="32"/>
          <w:szCs w:val="22"/>
        </w:rPr>
        <w:t>战略性新兴产业、先进制造业项目</w:t>
      </w:r>
      <w:r>
        <w:rPr>
          <w:rFonts w:ascii="仿宋_GB2312" w:eastAsia="仿宋_GB2312" w:hAnsi="Calibri" w:hint="eastAsia"/>
          <w:sz w:val="32"/>
          <w:szCs w:val="22"/>
        </w:rPr>
        <w:t>固定资产投资强度的标准，</w:t>
      </w:r>
      <w:r>
        <w:rPr>
          <w:rFonts w:ascii="仿宋_GB2312" w:eastAsia="仿宋_GB2312" w:hAnsi="Calibri"/>
          <w:sz w:val="32"/>
          <w:szCs w:val="22"/>
        </w:rPr>
        <w:t>在工业项目基础上按照对应的行业整体上浮5%-10%。</w:t>
      </w:r>
    </w:p>
    <w:p w14:paraId="629FE10B"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第三，关于</w:t>
      </w:r>
      <w:r>
        <w:rPr>
          <w:rFonts w:ascii="仿宋_GB2312" w:eastAsia="仿宋_GB2312" w:hAnsi="Calibri"/>
          <w:sz w:val="32"/>
          <w:szCs w:val="22"/>
        </w:rPr>
        <w:t>行政办公及生活服务设施用地所占比重</w:t>
      </w:r>
      <w:r>
        <w:rPr>
          <w:rFonts w:ascii="仿宋_GB2312" w:eastAsia="仿宋_GB2312" w:hAnsi="Calibri" w:hint="eastAsia"/>
          <w:sz w:val="32"/>
          <w:szCs w:val="22"/>
        </w:rPr>
        <w:t>指标，在工业项目用地范围内必须严格执行用地面积≤工业项目总用地面积的7%，且建筑面积≤工业项目总建筑面积的15%；单体大型工业项目，按照工业用地落实用途的战略性新兴产业、先进制造业项目，项目用地范围内可以增加研发、创意、设计、检测、中试设施，增加的建筑面积≤工业项目总建筑面积的15%。</w:t>
      </w:r>
    </w:p>
    <w:p w14:paraId="2A895F74" w14:textId="77777777" w:rsidR="00327E0F" w:rsidRDefault="00BF4CA1">
      <w:pPr>
        <w:ind w:firstLineChars="300" w:firstLine="960"/>
        <w:rPr>
          <w:rFonts w:ascii="黑体" w:eastAsia="黑体" w:hAnsi="黑体"/>
          <w:bCs/>
          <w:sz w:val="32"/>
          <w:szCs w:val="32"/>
        </w:rPr>
      </w:pPr>
      <w:r>
        <w:rPr>
          <w:rFonts w:ascii="黑体" w:eastAsia="黑体" w:hAnsi="黑体" w:hint="eastAsia"/>
          <w:bCs/>
          <w:sz w:val="32"/>
          <w:szCs w:val="32"/>
        </w:rPr>
        <w:t>二、深圳市产业投资强度</w:t>
      </w:r>
    </w:p>
    <w:p w14:paraId="731FB3AA"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深圳市工业项目建设用地控制标准（2012版）》将深圳市分为两类地区：一类地区标准适用于罗湖区、福田区、南山区、盐田区，以及深圳高新区各园区；二类地区标准适用于宝安区、龙岗区、光明新区、坪山新区、龙华新区和大鹏新区，不含深圳</w:t>
      </w:r>
      <w:r>
        <w:rPr>
          <w:rFonts w:ascii="仿宋_GB2312" w:eastAsia="仿宋_GB2312" w:hAnsi="Calibri" w:hint="eastAsia"/>
          <w:sz w:val="32"/>
          <w:szCs w:val="22"/>
        </w:rPr>
        <w:lastRenderedPageBreak/>
        <w:t>高新区各园区。</w:t>
      </w:r>
    </w:p>
    <w:p w14:paraId="4D5D97CA"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三、宝安区相关标准</w:t>
      </w:r>
    </w:p>
    <w:p w14:paraId="1A9507B6"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《宝安区重点产业项目和总部项目遴选及用地保障实施细则（2019年）》，重点产业项目产业监管协议中应当明确各项监管指标，具体包括：</w:t>
      </w:r>
    </w:p>
    <w:p w14:paraId="62559719"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22"/>
        </w:rPr>
        <w:t>1.</w:t>
      </w:r>
      <w:r>
        <w:rPr>
          <w:rFonts w:ascii="仿宋_GB2312" w:eastAsia="仿宋_GB2312" w:hAnsi="Calibri" w:hint="eastAsia"/>
          <w:sz w:val="32"/>
          <w:szCs w:val="32"/>
        </w:rPr>
        <w:t>项目承诺投资强度（投资总额/占地面积）不少于20000元/平方米；</w:t>
      </w:r>
    </w:p>
    <w:p w14:paraId="08928CF3"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2.项目承诺土地产出率（单个监管期内年均营业收入/占地面积）不少于20000元/平方米；</w:t>
      </w:r>
    </w:p>
    <w:p w14:paraId="79360B35"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3.项目承诺税收强度（单个监管期内年均实缴纳税额/占地面积）不少于1400元/平方米；</w:t>
      </w:r>
    </w:p>
    <w:p w14:paraId="2958F4A7" w14:textId="77777777" w:rsidR="00327E0F" w:rsidRDefault="00BF4CA1">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4.项目承诺单位增加值能耗，符合深圳市节能标准。</w:t>
      </w:r>
    </w:p>
    <w:p w14:paraId="54AE8302"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四、龙岗区相关标准</w:t>
      </w:r>
    </w:p>
    <w:p w14:paraId="45E4C37C"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2019年龙岗区出台《龙岗区工业项目建设用地控制标准（试行）》对行政辖区内工业项目建设用地规划及建设划定了明确的标准。按照工业园区的规模分类，可分为中小型园区（小于10万平方米）和大型园区（大于等于10万平方米）：</w:t>
      </w:r>
    </w:p>
    <w:p w14:paraId="742C4B21"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投资强度（因考虑M1和M0因素，投资强度指标未包含地价）、产值能耗指标不区分大小园区。</w:t>
      </w:r>
    </w:p>
    <w:p w14:paraId="624B1E15"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土地产出率（增加值/占地面积）、地均纳税额、容积率等三大指标，中小型园区是大型园区的1.18倍。</w:t>
      </w:r>
    </w:p>
    <w:p w14:paraId="76CDF773"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土地产出率和地均纳税额两类指标，可根据不同区域乘以不</w:t>
      </w:r>
      <w:r>
        <w:rPr>
          <w:rFonts w:ascii="仿宋_GB2312" w:eastAsia="仿宋_GB2312" w:hAnsi="Calibri" w:hint="eastAsia"/>
          <w:sz w:val="32"/>
          <w:szCs w:val="22"/>
        </w:rPr>
        <w:lastRenderedPageBreak/>
        <w:t>同的系数进行修正。</w:t>
      </w:r>
    </w:p>
    <w:tbl>
      <w:tblPr>
        <w:tblW w:w="7219" w:type="dxa"/>
        <w:jc w:val="center"/>
        <w:tblCellSpacing w:w="0" w:type="dxa"/>
        <w:tblCellMar>
          <w:left w:w="0" w:type="dxa"/>
          <w:right w:w="0" w:type="dxa"/>
        </w:tblCellMar>
        <w:tblLook w:val="04A0" w:firstRow="1" w:lastRow="0" w:firstColumn="1" w:lastColumn="0" w:noHBand="0" w:noVBand="1"/>
      </w:tblPr>
      <w:tblGrid>
        <w:gridCol w:w="4173"/>
        <w:gridCol w:w="3046"/>
      </w:tblGrid>
      <w:tr w:rsidR="00327E0F" w14:paraId="5CF16759" w14:textId="77777777">
        <w:trPr>
          <w:trHeight w:val="254"/>
          <w:tblCellSpacing w:w="0" w:type="dxa"/>
          <w:jc w:val="center"/>
        </w:trPr>
        <w:tc>
          <w:tcPr>
            <w:tcW w:w="4173" w:type="dxa"/>
            <w:tcBorders>
              <w:top w:val="single" w:sz="6" w:space="0" w:color="000000"/>
              <w:left w:val="single" w:sz="6" w:space="0" w:color="000000"/>
              <w:bottom w:val="single" w:sz="6" w:space="0" w:color="080000"/>
              <w:right w:val="single" w:sz="6" w:space="0" w:color="000000"/>
            </w:tcBorders>
            <w:shd w:val="clear" w:color="auto" w:fill="5B9BD5"/>
            <w:tcMar>
              <w:top w:w="15" w:type="dxa"/>
              <w:left w:w="15" w:type="dxa"/>
              <w:bottom w:w="15" w:type="dxa"/>
              <w:right w:w="15" w:type="dxa"/>
            </w:tcMar>
            <w:vAlign w:val="center"/>
          </w:tcPr>
          <w:p w14:paraId="569ADF3A" w14:textId="77777777" w:rsidR="00327E0F" w:rsidRDefault="00BF4CA1">
            <w:pPr>
              <w:widowControl/>
              <w:spacing w:beforeAutospacing="1" w:afterAutospacing="1" w:line="560" w:lineRule="exact"/>
              <w:jc w:val="center"/>
              <w:rPr>
                <w:rFonts w:ascii="Calibri" w:hAnsi="Calibri"/>
                <w:bCs/>
                <w:kern w:val="0"/>
                <w:sz w:val="24"/>
                <w:szCs w:val="22"/>
              </w:rPr>
            </w:pPr>
            <w:r>
              <w:rPr>
                <w:rFonts w:ascii="黑体" w:eastAsia="黑体" w:hAnsi="宋体" w:cs="黑体"/>
                <w:bCs/>
                <w:color w:val="000000"/>
                <w:kern w:val="0"/>
                <w:sz w:val="28"/>
                <w:szCs w:val="28"/>
              </w:rPr>
              <w:t>区域</w:t>
            </w:r>
          </w:p>
        </w:tc>
        <w:tc>
          <w:tcPr>
            <w:tcW w:w="3046" w:type="dxa"/>
            <w:tcBorders>
              <w:top w:val="single" w:sz="6" w:space="0" w:color="000000"/>
              <w:left w:val="single" w:sz="6" w:space="0" w:color="000000"/>
              <w:bottom w:val="single" w:sz="6" w:space="0" w:color="080000"/>
              <w:right w:val="single" w:sz="6" w:space="0" w:color="000000"/>
            </w:tcBorders>
            <w:shd w:val="clear" w:color="auto" w:fill="5B9BD5"/>
            <w:tcMar>
              <w:top w:w="15" w:type="dxa"/>
              <w:left w:w="15" w:type="dxa"/>
              <w:bottom w:w="15" w:type="dxa"/>
              <w:right w:w="15" w:type="dxa"/>
            </w:tcMar>
            <w:vAlign w:val="center"/>
          </w:tcPr>
          <w:p w14:paraId="0E729601" w14:textId="77777777" w:rsidR="00327E0F" w:rsidRDefault="00BF4CA1">
            <w:pPr>
              <w:widowControl/>
              <w:spacing w:beforeAutospacing="1" w:afterAutospacing="1" w:line="560" w:lineRule="exact"/>
              <w:jc w:val="center"/>
              <w:rPr>
                <w:rFonts w:ascii="Calibri" w:hAnsi="Calibri"/>
                <w:bCs/>
                <w:kern w:val="0"/>
                <w:sz w:val="24"/>
                <w:szCs w:val="22"/>
              </w:rPr>
            </w:pPr>
            <w:r>
              <w:rPr>
                <w:rFonts w:ascii="黑体" w:eastAsia="黑体" w:hAnsi="宋体" w:cs="黑体" w:hint="eastAsia"/>
                <w:bCs/>
                <w:color w:val="000000"/>
                <w:kern w:val="0"/>
                <w:sz w:val="28"/>
                <w:szCs w:val="28"/>
              </w:rPr>
              <w:t>修正系数</w:t>
            </w:r>
          </w:p>
        </w:tc>
      </w:tr>
      <w:tr w:rsidR="00327E0F" w14:paraId="586DC4C5" w14:textId="77777777">
        <w:trPr>
          <w:trHeight w:val="481"/>
          <w:tblCellSpacing w:w="0" w:type="dxa"/>
          <w:jc w:val="center"/>
        </w:trPr>
        <w:tc>
          <w:tcPr>
            <w:tcW w:w="4173"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3416AA02" w14:textId="77777777" w:rsidR="00327E0F" w:rsidRDefault="00BF4CA1">
            <w:pPr>
              <w:widowControl/>
              <w:spacing w:beforeAutospacing="1" w:afterAutospacing="1" w:line="560" w:lineRule="exact"/>
              <w:jc w:val="left"/>
              <w:rPr>
                <w:rFonts w:ascii="Calibri" w:hAnsi="Calibri"/>
                <w:kern w:val="0"/>
                <w:sz w:val="22"/>
                <w:szCs w:val="21"/>
              </w:rPr>
            </w:pPr>
            <w:r>
              <w:rPr>
                <w:rFonts w:ascii="黑体" w:eastAsia="黑体" w:hAnsi="宋体" w:cs="黑体" w:hint="eastAsia"/>
                <w:color w:val="000000"/>
                <w:kern w:val="0"/>
                <w:sz w:val="24"/>
              </w:rPr>
              <w:t>园山、坪地</w:t>
            </w:r>
          </w:p>
        </w:tc>
        <w:tc>
          <w:tcPr>
            <w:tcW w:w="3046"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6484DF0C" w14:textId="77777777" w:rsidR="00327E0F" w:rsidRDefault="00BF4CA1">
            <w:pPr>
              <w:widowControl/>
              <w:spacing w:beforeAutospacing="1" w:afterAutospacing="1" w:line="560" w:lineRule="exact"/>
              <w:jc w:val="center"/>
              <w:rPr>
                <w:rFonts w:ascii="Calibri" w:hAnsi="Calibri"/>
                <w:kern w:val="0"/>
                <w:sz w:val="22"/>
                <w:szCs w:val="21"/>
              </w:rPr>
            </w:pPr>
            <w:r>
              <w:rPr>
                <w:rFonts w:ascii="黑体" w:eastAsia="黑体" w:hAnsi="宋体" w:cs="黑体" w:hint="eastAsia"/>
                <w:color w:val="000000"/>
                <w:kern w:val="0"/>
                <w:sz w:val="24"/>
              </w:rPr>
              <w:t>1.0</w:t>
            </w:r>
          </w:p>
        </w:tc>
      </w:tr>
      <w:tr w:rsidR="00327E0F" w14:paraId="533DAC37" w14:textId="77777777">
        <w:trPr>
          <w:trHeight w:val="481"/>
          <w:tblCellSpacing w:w="0" w:type="dxa"/>
          <w:jc w:val="center"/>
        </w:trPr>
        <w:tc>
          <w:tcPr>
            <w:tcW w:w="4173"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0622AB9C" w14:textId="77777777" w:rsidR="00327E0F" w:rsidRDefault="00BF4CA1">
            <w:pPr>
              <w:widowControl/>
              <w:spacing w:beforeAutospacing="1" w:afterAutospacing="1" w:line="560" w:lineRule="exact"/>
              <w:jc w:val="left"/>
              <w:rPr>
                <w:rFonts w:ascii="Calibri" w:hAnsi="Calibri"/>
                <w:kern w:val="0"/>
                <w:sz w:val="22"/>
                <w:szCs w:val="21"/>
              </w:rPr>
            </w:pPr>
            <w:r>
              <w:rPr>
                <w:rFonts w:ascii="黑体" w:eastAsia="黑体" w:hAnsi="宋体" w:cs="黑体" w:hint="eastAsia"/>
                <w:color w:val="000000"/>
                <w:kern w:val="0"/>
                <w:sz w:val="24"/>
              </w:rPr>
              <w:t>横岗、龙岗、宝龙</w:t>
            </w:r>
          </w:p>
        </w:tc>
        <w:tc>
          <w:tcPr>
            <w:tcW w:w="3046"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7B1E44AD" w14:textId="77777777" w:rsidR="00327E0F" w:rsidRDefault="00BF4CA1">
            <w:pPr>
              <w:widowControl/>
              <w:spacing w:beforeAutospacing="1" w:afterAutospacing="1" w:line="560" w:lineRule="exact"/>
              <w:jc w:val="center"/>
              <w:rPr>
                <w:rFonts w:ascii="Calibri" w:hAnsi="Calibri"/>
                <w:kern w:val="0"/>
                <w:sz w:val="22"/>
                <w:szCs w:val="21"/>
              </w:rPr>
            </w:pPr>
            <w:r>
              <w:rPr>
                <w:rFonts w:ascii="黑体" w:eastAsia="黑体" w:hAnsi="宋体" w:cs="黑体" w:hint="eastAsia"/>
                <w:color w:val="000000"/>
                <w:kern w:val="0"/>
                <w:sz w:val="24"/>
              </w:rPr>
              <w:t>1.5</w:t>
            </w:r>
          </w:p>
        </w:tc>
      </w:tr>
      <w:tr w:rsidR="00327E0F" w14:paraId="61553711" w14:textId="77777777">
        <w:trPr>
          <w:trHeight w:val="481"/>
          <w:tblCellSpacing w:w="0" w:type="dxa"/>
          <w:jc w:val="center"/>
        </w:trPr>
        <w:tc>
          <w:tcPr>
            <w:tcW w:w="4173"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00048E21" w14:textId="77777777" w:rsidR="00327E0F" w:rsidRDefault="00BF4CA1">
            <w:pPr>
              <w:widowControl/>
              <w:spacing w:beforeAutospacing="1" w:afterAutospacing="1" w:line="560" w:lineRule="exact"/>
              <w:jc w:val="left"/>
              <w:rPr>
                <w:rFonts w:ascii="Calibri" w:hAnsi="Calibri"/>
                <w:kern w:val="0"/>
                <w:sz w:val="22"/>
                <w:szCs w:val="21"/>
              </w:rPr>
            </w:pPr>
            <w:r>
              <w:rPr>
                <w:rFonts w:ascii="黑体" w:eastAsia="黑体" w:hAnsi="宋体" w:cs="黑体" w:hint="eastAsia"/>
                <w:color w:val="000000"/>
                <w:kern w:val="0"/>
                <w:sz w:val="24"/>
              </w:rPr>
              <w:t>平湖、布吉、吉华、南湾、龙城</w:t>
            </w:r>
          </w:p>
        </w:tc>
        <w:tc>
          <w:tcPr>
            <w:tcW w:w="3046"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49CD3ACA" w14:textId="77777777" w:rsidR="00327E0F" w:rsidRDefault="00BF4CA1">
            <w:pPr>
              <w:widowControl/>
              <w:spacing w:beforeAutospacing="1" w:afterAutospacing="1" w:line="560" w:lineRule="exact"/>
              <w:jc w:val="center"/>
              <w:rPr>
                <w:rFonts w:ascii="Calibri" w:hAnsi="Calibri"/>
                <w:kern w:val="0"/>
                <w:sz w:val="22"/>
                <w:szCs w:val="21"/>
              </w:rPr>
            </w:pPr>
            <w:r>
              <w:rPr>
                <w:rFonts w:ascii="黑体" w:eastAsia="黑体" w:hAnsi="宋体" w:cs="黑体" w:hint="eastAsia"/>
                <w:color w:val="000000"/>
                <w:kern w:val="0"/>
                <w:sz w:val="24"/>
              </w:rPr>
              <w:t>2.0</w:t>
            </w:r>
          </w:p>
        </w:tc>
      </w:tr>
      <w:tr w:rsidR="00327E0F" w14:paraId="3B69AF4D" w14:textId="77777777">
        <w:trPr>
          <w:trHeight w:val="481"/>
          <w:tblCellSpacing w:w="0" w:type="dxa"/>
          <w:jc w:val="center"/>
        </w:trPr>
        <w:tc>
          <w:tcPr>
            <w:tcW w:w="4173"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1D2E6D28" w14:textId="77777777" w:rsidR="00327E0F" w:rsidRDefault="00BF4CA1">
            <w:pPr>
              <w:widowControl/>
              <w:spacing w:beforeAutospacing="1" w:afterAutospacing="1" w:line="560" w:lineRule="exact"/>
              <w:jc w:val="left"/>
              <w:rPr>
                <w:rFonts w:ascii="Calibri" w:hAnsi="Calibri"/>
                <w:kern w:val="0"/>
                <w:sz w:val="22"/>
                <w:szCs w:val="21"/>
              </w:rPr>
            </w:pPr>
            <w:r>
              <w:rPr>
                <w:rFonts w:ascii="黑体" w:eastAsia="黑体" w:hAnsi="宋体" w:cs="黑体" w:hint="eastAsia"/>
                <w:color w:val="000000"/>
                <w:kern w:val="0"/>
                <w:sz w:val="24"/>
              </w:rPr>
              <w:t>坂田</w:t>
            </w:r>
          </w:p>
        </w:tc>
        <w:tc>
          <w:tcPr>
            <w:tcW w:w="3046" w:type="dxa"/>
            <w:tcBorders>
              <w:top w:val="single" w:sz="6" w:space="0" w:color="000000"/>
              <w:left w:val="single" w:sz="6" w:space="0" w:color="000000"/>
              <w:bottom w:val="single" w:sz="6" w:space="0" w:color="080000"/>
              <w:right w:val="single" w:sz="6" w:space="0" w:color="000000"/>
            </w:tcBorders>
            <w:shd w:val="clear" w:color="auto" w:fill="auto"/>
            <w:tcMar>
              <w:top w:w="15" w:type="dxa"/>
              <w:left w:w="15" w:type="dxa"/>
              <w:bottom w:w="15" w:type="dxa"/>
              <w:right w:w="15" w:type="dxa"/>
            </w:tcMar>
            <w:vAlign w:val="center"/>
          </w:tcPr>
          <w:p w14:paraId="191E532D" w14:textId="77777777" w:rsidR="00327E0F" w:rsidRDefault="00BF4CA1">
            <w:pPr>
              <w:widowControl/>
              <w:spacing w:beforeAutospacing="1" w:afterAutospacing="1" w:line="560" w:lineRule="exact"/>
              <w:jc w:val="center"/>
              <w:rPr>
                <w:rFonts w:ascii="Calibri" w:hAnsi="Calibri"/>
                <w:kern w:val="0"/>
                <w:sz w:val="22"/>
                <w:szCs w:val="21"/>
              </w:rPr>
            </w:pPr>
            <w:r>
              <w:rPr>
                <w:rFonts w:ascii="黑体" w:eastAsia="黑体" w:hAnsi="宋体" w:cs="黑体" w:hint="eastAsia"/>
                <w:color w:val="000000"/>
                <w:kern w:val="0"/>
                <w:sz w:val="24"/>
              </w:rPr>
              <w:t>3.0</w:t>
            </w:r>
          </w:p>
        </w:tc>
      </w:tr>
    </w:tbl>
    <w:p w14:paraId="60770186"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五、坪山区相关标准</w:t>
      </w:r>
    </w:p>
    <w:p w14:paraId="508268BD"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《坪山区重点产业项目建设用地控制标准（2020）》</w:t>
      </w:r>
    </w:p>
    <w:p w14:paraId="35F90C8D"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本控制标准适用于区级重点产业项目，项目的投资强度、税收贡献率、土地产出率原则上应不低于本控制标准，并在遴选方案和产业监管协议中予以明确。市级重点产业项目、市级总部项目及市政府同意开展遴选的其他项目不受本控制标准限制。</w:t>
      </w:r>
    </w:p>
    <w:p w14:paraId="2E635AA9" w14:textId="25C1549E"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制造业标准：①投资强度≥15000元/平方米，②税收贡献率≥</w:t>
      </w:r>
      <w:r>
        <w:rPr>
          <w:rFonts w:ascii="仿宋_GB2312" w:eastAsia="仿宋_GB2312" w:hAnsi="Calibri"/>
          <w:sz w:val="32"/>
          <w:szCs w:val="22"/>
        </w:rPr>
        <w:t>1200</w:t>
      </w:r>
      <w:r>
        <w:rPr>
          <w:rFonts w:ascii="仿宋_GB2312" w:eastAsia="仿宋_GB2312" w:hAnsi="Calibri" w:hint="eastAsia"/>
          <w:sz w:val="32"/>
          <w:szCs w:val="22"/>
        </w:rPr>
        <w:t>元/平方米</w:t>
      </w:r>
      <w:r w:rsidR="0011208E">
        <w:rPr>
          <w:rFonts w:ascii="仿宋_GB2312" w:eastAsia="仿宋_GB2312" w:hAnsi="Calibri" w:hint="eastAsia"/>
          <w:sz w:val="32"/>
          <w:szCs w:val="22"/>
        </w:rPr>
        <w:t>，③</w:t>
      </w:r>
      <w:r w:rsidR="0011208E" w:rsidRPr="0011208E">
        <w:rPr>
          <w:rFonts w:ascii="仿宋_GB2312" w:eastAsia="仿宋_GB2312" w:hAnsi="Calibri" w:hint="eastAsia"/>
          <w:sz w:val="32"/>
          <w:szCs w:val="22"/>
        </w:rPr>
        <w:t>土地产出率≥20000元/平方米</w:t>
      </w:r>
      <w:r>
        <w:rPr>
          <w:rFonts w:ascii="仿宋_GB2312" w:eastAsia="仿宋_GB2312" w:hAnsi="Calibri"/>
          <w:sz w:val="32"/>
          <w:szCs w:val="22"/>
        </w:rPr>
        <w:t xml:space="preserve"> </w:t>
      </w:r>
      <w:r>
        <w:rPr>
          <w:rFonts w:ascii="仿宋_GB2312" w:eastAsia="仿宋_GB2312" w:hAnsi="Calibri" w:hint="eastAsia"/>
          <w:sz w:val="32"/>
          <w:szCs w:val="22"/>
        </w:rPr>
        <w:t>。</w:t>
      </w:r>
    </w:p>
    <w:p w14:paraId="3499CC47" w14:textId="4FAB9CC4"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生产性服务业控制标准：①投资强度≥</w:t>
      </w:r>
      <w:r>
        <w:rPr>
          <w:rFonts w:ascii="仿宋_GB2312" w:eastAsia="仿宋_GB2312" w:hAnsi="Calibri"/>
          <w:sz w:val="32"/>
          <w:szCs w:val="22"/>
        </w:rPr>
        <w:t>12</w:t>
      </w:r>
      <w:r>
        <w:rPr>
          <w:rFonts w:ascii="仿宋_GB2312" w:eastAsia="仿宋_GB2312" w:hAnsi="Calibri" w:hint="eastAsia"/>
          <w:sz w:val="32"/>
          <w:szCs w:val="22"/>
        </w:rPr>
        <w:t>000元/平方米，②税收贡献率≥</w:t>
      </w:r>
      <w:r>
        <w:rPr>
          <w:rFonts w:ascii="仿宋_GB2312" w:eastAsia="仿宋_GB2312" w:hAnsi="Calibri"/>
          <w:sz w:val="32"/>
          <w:szCs w:val="22"/>
        </w:rPr>
        <w:t>1200</w:t>
      </w:r>
      <w:r>
        <w:rPr>
          <w:rFonts w:ascii="仿宋_GB2312" w:eastAsia="仿宋_GB2312" w:hAnsi="Calibri" w:hint="eastAsia"/>
          <w:sz w:val="32"/>
          <w:szCs w:val="22"/>
        </w:rPr>
        <w:t>元/平方米</w:t>
      </w:r>
      <w:r w:rsidR="0011208E">
        <w:rPr>
          <w:rFonts w:ascii="仿宋_GB2312" w:eastAsia="仿宋_GB2312" w:hAnsi="Calibri" w:hint="eastAsia"/>
          <w:sz w:val="32"/>
          <w:szCs w:val="22"/>
        </w:rPr>
        <w:t>，</w:t>
      </w:r>
      <w:r w:rsidR="0011208E" w:rsidRPr="0011208E">
        <w:rPr>
          <w:rFonts w:ascii="仿宋_GB2312" w:eastAsia="仿宋_GB2312" w:hAnsi="Calibri" w:hint="eastAsia"/>
          <w:sz w:val="32"/>
          <w:szCs w:val="22"/>
        </w:rPr>
        <w:t>土地产出率≥20000元/平方米</w:t>
      </w:r>
      <w:r>
        <w:rPr>
          <w:rFonts w:ascii="仿宋_GB2312" w:eastAsia="仿宋_GB2312" w:hAnsi="Calibri" w:hint="eastAsia"/>
          <w:sz w:val="32"/>
          <w:szCs w:val="22"/>
        </w:rPr>
        <w:t>。</w:t>
      </w:r>
    </w:p>
    <w:p w14:paraId="0B3E9331"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六、惠州惠阳区相关标准</w:t>
      </w:r>
    </w:p>
    <w:p w14:paraId="7AA178A4"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《惠州市惠阳区产业投资项目管理实施意见2019》</w:t>
      </w:r>
    </w:p>
    <w:p w14:paraId="1F9E3479"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1.投资强度：精细化工业不低于4000元/平方米；汽车零部件及装备制造业不低于5500元/平方米；电子信息业及其他类型工业不低于5500元/平方米。</w:t>
      </w:r>
    </w:p>
    <w:p w14:paraId="134FDA67"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lastRenderedPageBreak/>
        <w:t>2.单位产值：精细化工业不低于15000元/平方米；汽车零部件及装备制造业不低于12000元/平方米；电子信息业及其他类型工业不低于15000元/平方米。</w:t>
      </w:r>
    </w:p>
    <w:p w14:paraId="797A7017"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3.单位税贡：落户永湖镇、良井镇、平潭镇的项目不低于1000元/平方米；落户沙田镇、镇隆镇的项目不低于1100元/平方米；落户淡水街道、秋长街道、三和街道、新圩镇的项目不低于1200元/平方米。</w:t>
      </w:r>
    </w:p>
    <w:p w14:paraId="692B17EA"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七、惠州中韩（惠州）产业园相关标准</w:t>
      </w:r>
    </w:p>
    <w:p w14:paraId="35416C10"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《中韩（惠州）产业园起步区工业项目准入条件（2020-2021年）》</w:t>
      </w:r>
    </w:p>
    <w:p w14:paraId="29DB658D"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1.投资强度（单位土地面积上的固定资产投资额，主要包括厂房、设备和地价款）：原则上不低于9000元/平方米。</w:t>
      </w:r>
    </w:p>
    <w:p w14:paraId="60D38D7D"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2.产值（工业企业在一定时期内生产的工业最终产品和提供工业性劳务活动的总价值量）：原则上不低于18000元/平方米，按照项目投产后3年内最高年度核算。</w:t>
      </w:r>
    </w:p>
    <w:p w14:paraId="2EE7E840"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3.税收贡献（单位土地面积上的企业纳税额，主要包括企业所得税、增值税、个人所得税、城市维护建设税等，含出口免抵税额，不含进口环节的关税及增值税）：原则上不低于825元/平方米。</w:t>
      </w:r>
    </w:p>
    <w:p w14:paraId="11C5B20D"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4.容积率：2.0-3.5。</w:t>
      </w:r>
    </w:p>
    <w:p w14:paraId="684C452F"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5.项目自不动产权证证载之日起计，承诺3年内须获得国家高新技术企业证书。</w:t>
      </w:r>
    </w:p>
    <w:p w14:paraId="5106F936"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lastRenderedPageBreak/>
        <w:t>八、汕尾高新区红草园区相关标准</w:t>
      </w:r>
    </w:p>
    <w:p w14:paraId="13935DFE"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《汕尾高新技术产业开发区红草园区项目准入条件(试行)（2019）》</w:t>
      </w:r>
    </w:p>
    <w:p w14:paraId="178996CB"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1.投资规模：新引进项目投资规模原则上不少于1亿元，重点引进投资规模5亿元以上的项目，优先引进世界500强、中国500强及上市公司、拟上市公司、行业龙头企业、高新技术企业项目。</w:t>
      </w:r>
    </w:p>
    <w:p w14:paraId="146AA218"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2.投资强度：入园工业生产性项目投资强度一般不低于约6000元/平方米。新兴战略性产业投资强度一般不低于9000元/平方米。</w:t>
      </w:r>
    </w:p>
    <w:p w14:paraId="59D93CF9"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3.效益要求：入园项目产值原则上一般工业生产性项目要求量产后年产值不低于7500元/平方米，新兴战略性产业项目不低于10500元/平方米；年创税总额不低于450元/平方米。</w:t>
      </w:r>
    </w:p>
    <w:p w14:paraId="7E04F684"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4.容积率：工业项目容积率控制在2.0以上。</w:t>
      </w:r>
    </w:p>
    <w:p w14:paraId="1F7232E5"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5.节能环保：产值综合能耗原则上不大于0.15吨标煤/万元。</w:t>
      </w:r>
    </w:p>
    <w:p w14:paraId="7B17484A"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九、河源高新区相关标准</w:t>
      </w:r>
    </w:p>
    <w:p w14:paraId="473D3B90" w14:textId="77777777" w:rsidR="00327E0F" w:rsidRDefault="00BF4CA1">
      <w:pPr>
        <w:spacing w:line="560" w:lineRule="exact"/>
        <w:ind w:firstLine="640"/>
        <w:rPr>
          <w:rFonts w:ascii="仿宋_GB2312" w:eastAsia="仿宋_GB2312" w:hAnsi="Calibri"/>
          <w:sz w:val="32"/>
          <w:szCs w:val="22"/>
        </w:rPr>
      </w:pPr>
      <w:r>
        <w:rPr>
          <w:rFonts w:ascii="仿宋_GB2312" w:eastAsia="仿宋_GB2312" w:hAnsi="Calibri" w:hint="eastAsia"/>
          <w:sz w:val="32"/>
          <w:szCs w:val="22"/>
        </w:rPr>
        <w:t>《河源市高新区工业项目准入条件（2020年）》：</w:t>
      </w:r>
    </w:p>
    <w:p w14:paraId="1322E6BF"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1.项目符合国家、省、市、区有关环境保护等方面的要求及规定。</w:t>
      </w:r>
    </w:p>
    <w:p w14:paraId="3CFAE249"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2.符合高新区产业发展目录及重点发展产业方向，主要是电子信息、精密机械制造、先进制造、智能装备、军民融合、新能</w:t>
      </w:r>
      <w:r>
        <w:rPr>
          <w:rFonts w:ascii="仿宋_GB2312" w:eastAsia="仿宋_GB2312" w:hAnsi="Calibri" w:hint="eastAsia"/>
          <w:sz w:val="32"/>
          <w:szCs w:val="22"/>
        </w:rPr>
        <w:lastRenderedPageBreak/>
        <w:t>源、新材料等。</w:t>
      </w:r>
    </w:p>
    <w:p w14:paraId="7FC7ED7F"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3.须在高新区注册设立独立法人公司，并在市市场监管局高新区分局、高新区税务局等部门注册登记。</w:t>
      </w:r>
    </w:p>
    <w:p w14:paraId="33EF1F51"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 </w:t>
      </w:r>
      <w:r>
        <w:rPr>
          <w:rFonts w:ascii="仿宋_GB2312" w:eastAsia="仿宋_GB2312" w:hAnsi="Calibri" w:hint="eastAsia"/>
          <w:sz w:val="32"/>
          <w:szCs w:val="22"/>
        </w:rPr>
        <w:t>4.购买工业用地的项目，在符合以上3个条件的基础上，且经济效益指标须达到：投资强度6000元/平方米以上、产出强度7500元/平方米以上、税收强度450元/平方米以上。</w:t>
      </w:r>
    </w:p>
    <w:p w14:paraId="77913BC4" w14:textId="77777777" w:rsidR="00327E0F" w:rsidRDefault="00BF4CA1">
      <w:pPr>
        <w:ind w:firstLineChars="200" w:firstLine="640"/>
        <w:rPr>
          <w:rFonts w:ascii="黑体" w:eastAsia="黑体" w:hAnsi="黑体"/>
          <w:bCs/>
          <w:sz w:val="32"/>
          <w:szCs w:val="32"/>
        </w:rPr>
      </w:pPr>
      <w:r>
        <w:rPr>
          <w:rFonts w:ascii="黑体" w:eastAsia="黑体" w:hAnsi="黑体" w:hint="eastAsia"/>
          <w:bCs/>
          <w:sz w:val="32"/>
          <w:szCs w:val="32"/>
        </w:rPr>
        <w:t>十、河源江东新区相关标准</w:t>
      </w:r>
    </w:p>
    <w:p w14:paraId="19AECA23"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《河源江东新区新引进项目准入管理办法（试行）2017》</w:t>
      </w:r>
    </w:p>
    <w:p w14:paraId="618D64F9"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1.工业项目建筑容积率为1.4—1.8，重型设备、模具、机械制造企业可放宽到1.0；建筑密度40—50%；绿化率不超过约20%，项目开发建设的各项经济技术指标应符合片区城市规划的要求。所需行政办公及生活服务设施用地面积不得超过工业项目总用地面积的7%。</w:t>
      </w:r>
    </w:p>
    <w:p w14:paraId="08679082" w14:textId="37734882"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2.落户工业项目投资强度原则上不低于3750元/平方米，对成长性强、效益好、税收贡献大的项目可放宽到3000元/平方米。</w:t>
      </w:r>
    </w:p>
    <w:p w14:paraId="081F7BDC" w14:textId="77777777" w:rsidR="00327E0F" w:rsidRDefault="00BF4CA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3.项目投产后每亩工业用地年产值需达到6000元/平方米以上。</w:t>
      </w:r>
    </w:p>
    <w:p w14:paraId="0AFF37C9" w14:textId="06B09455" w:rsidR="00327E0F" w:rsidRPr="00611131" w:rsidRDefault="00BF4CA1" w:rsidP="00611131">
      <w:pPr>
        <w:spacing w:line="560" w:lineRule="exact"/>
        <w:ind w:firstLineChars="200" w:firstLine="640"/>
        <w:rPr>
          <w:rFonts w:ascii="仿宋_GB2312" w:eastAsia="仿宋_GB2312" w:hAnsi="Calibri"/>
          <w:sz w:val="32"/>
          <w:szCs w:val="22"/>
        </w:rPr>
      </w:pPr>
      <w:r>
        <w:rPr>
          <w:rFonts w:ascii="仿宋_GB2312" w:eastAsia="仿宋_GB2312" w:hAnsi="Calibri" w:hint="eastAsia"/>
          <w:sz w:val="32"/>
          <w:szCs w:val="22"/>
        </w:rPr>
        <w:t>4.项目投产后每亩工业用地年产出各类税收需达到300元/平方米。</w:t>
      </w:r>
    </w:p>
    <w:sectPr w:rsidR="00327E0F" w:rsidRPr="00611131">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Neue">
    <w:altName w:val="Segoe UI"/>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9BE"/>
    <w:rsid w:val="000127F8"/>
    <w:rsid w:val="000226D7"/>
    <w:rsid w:val="000353A5"/>
    <w:rsid w:val="00073786"/>
    <w:rsid w:val="000928CB"/>
    <w:rsid w:val="000A1DF0"/>
    <w:rsid w:val="000A59BE"/>
    <w:rsid w:val="000B31F0"/>
    <w:rsid w:val="00106D20"/>
    <w:rsid w:val="0011208E"/>
    <w:rsid w:val="00117829"/>
    <w:rsid w:val="0019008D"/>
    <w:rsid w:val="001A0A3E"/>
    <w:rsid w:val="001A19E5"/>
    <w:rsid w:val="001B2B1F"/>
    <w:rsid w:val="001D3353"/>
    <w:rsid w:val="001E52AA"/>
    <w:rsid w:val="00206611"/>
    <w:rsid w:val="00216AAC"/>
    <w:rsid w:val="002207AB"/>
    <w:rsid w:val="002317CC"/>
    <w:rsid w:val="00243FAE"/>
    <w:rsid w:val="00283714"/>
    <w:rsid w:val="00283D36"/>
    <w:rsid w:val="00295A65"/>
    <w:rsid w:val="002A3214"/>
    <w:rsid w:val="002D6718"/>
    <w:rsid w:val="002E1DBE"/>
    <w:rsid w:val="0031314C"/>
    <w:rsid w:val="00320D8D"/>
    <w:rsid w:val="00327E0F"/>
    <w:rsid w:val="00350662"/>
    <w:rsid w:val="00354C07"/>
    <w:rsid w:val="00365FBA"/>
    <w:rsid w:val="00383887"/>
    <w:rsid w:val="00392D15"/>
    <w:rsid w:val="003D0CC7"/>
    <w:rsid w:val="003D0F53"/>
    <w:rsid w:val="00405C3A"/>
    <w:rsid w:val="0041286A"/>
    <w:rsid w:val="0041559E"/>
    <w:rsid w:val="00464D82"/>
    <w:rsid w:val="00470038"/>
    <w:rsid w:val="00473F25"/>
    <w:rsid w:val="004852AE"/>
    <w:rsid w:val="004A4179"/>
    <w:rsid w:val="004D13F0"/>
    <w:rsid w:val="00540037"/>
    <w:rsid w:val="00547792"/>
    <w:rsid w:val="00550B16"/>
    <w:rsid w:val="00570C20"/>
    <w:rsid w:val="00590F65"/>
    <w:rsid w:val="005974BB"/>
    <w:rsid w:val="005C6CB1"/>
    <w:rsid w:val="005F23E2"/>
    <w:rsid w:val="0060111F"/>
    <w:rsid w:val="00611131"/>
    <w:rsid w:val="00613F69"/>
    <w:rsid w:val="00622549"/>
    <w:rsid w:val="00630695"/>
    <w:rsid w:val="00633DE6"/>
    <w:rsid w:val="006553F1"/>
    <w:rsid w:val="00680DA9"/>
    <w:rsid w:val="006C2C3E"/>
    <w:rsid w:val="006C38F3"/>
    <w:rsid w:val="006C6B41"/>
    <w:rsid w:val="00700777"/>
    <w:rsid w:val="0072134E"/>
    <w:rsid w:val="007221B0"/>
    <w:rsid w:val="0072429D"/>
    <w:rsid w:val="00727B32"/>
    <w:rsid w:val="007436FE"/>
    <w:rsid w:val="00775E86"/>
    <w:rsid w:val="00786ADE"/>
    <w:rsid w:val="007A0587"/>
    <w:rsid w:val="007D15D5"/>
    <w:rsid w:val="007D2EC6"/>
    <w:rsid w:val="00804CAA"/>
    <w:rsid w:val="00876B8B"/>
    <w:rsid w:val="0088379E"/>
    <w:rsid w:val="008925D7"/>
    <w:rsid w:val="008B52FB"/>
    <w:rsid w:val="008C3D08"/>
    <w:rsid w:val="008D39F4"/>
    <w:rsid w:val="008F77CE"/>
    <w:rsid w:val="00905378"/>
    <w:rsid w:val="00907D13"/>
    <w:rsid w:val="0091095E"/>
    <w:rsid w:val="0095002D"/>
    <w:rsid w:val="00953EBE"/>
    <w:rsid w:val="00A13BE3"/>
    <w:rsid w:val="00A14F14"/>
    <w:rsid w:val="00A23E1D"/>
    <w:rsid w:val="00A50F9D"/>
    <w:rsid w:val="00A706BD"/>
    <w:rsid w:val="00A71897"/>
    <w:rsid w:val="00AB09BC"/>
    <w:rsid w:val="00AC33D2"/>
    <w:rsid w:val="00AC5212"/>
    <w:rsid w:val="00AD03E9"/>
    <w:rsid w:val="00AD4AD0"/>
    <w:rsid w:val="00AE3E76"/>
    <w:rsid w:val="00B55537"/>
    <w:rsid w:val="00B57B5F"/>
    <w:rsid w:val="00B64CAE"/>
    <w:rsid w:val="00B81495"/>
    <w:rsid w:val="00BA0F31"/>
    <w:rsid w:val="00BB0B65"/>
    <w:rsid w:val="00BD614C"/>
    <w:rsid w:val="00BE2881"/>
    <w:rsid w:val="00BF4CA1"/>
    <w:rsid w:val="00C06E70"/>
    <w:rsid w:val="00C208C6"/>
    <w:rsid w:val="00C70DE2"/>
    <w:rsid w:val="00C7744C"/>
    <w:rsid w:val="00C91129"/>
    <w:rsid w:val="00C930B7"/>
    <w:rsid w:val="00CD1E9C"/>
    <w:rsid w:val="00CD587B"/>
    <w:rsid w:val="00CE62A7"/>
    <w:rsid w:val="00D1704F"/>
    <w:rsid w:val="00D349FA"/>
    <w:rsid w:val="00D43697"/>
    <w:rsid w:val="00D9104C"/>
    <w:rsid w:val="00D959CB"/>
    <w:rsid w:val="00DB0785"/>
    <w:rsid w:val="00DC2087"/>
    <w:rsid w:val="00DD02D9"/>
    <w:rsid w:val="00DE4E6E"/>
    <w:rsid w:val="00E06A45"/>
    <w:rsid w:val="00E17B99"/>
    <w:rsid w:val="00E22047"/>
    <w:rsid w:val="00E24087"/>
    <w:rsid w:val="00E35205"/>
    <w:rsid w:val="00E56A8F"/>
    <w:rsid w:val="00E663D5"/>
    <w:rsid w:val="00E73096"/>
    <w:rsid w:val="00E9049B"/>
    <w:rsid w:val="00EA00D8"/>
    <w:rsid w:val="00EA2C39"/>
    <w:rsid w:val="00EA60AE"/>
    <w:rsid w:val="00ED001A"/>
    <w:rsid w:val="00EF5E1A"/>
    <w:rsid w:val="00F348C5"/>
    <w:rsid w:val="00F45832"/>
    <w:rsid w:val="00F50E03"/>
    <w:rsid w:val="00F646BD"/>
    <w:rsid w:val="00F72646"/>
    <w:rsid w:val="00F91901"/>
    <w:rsid w:val="00F91D77"/>
    <w:rsid w:val="00FB4D91"/>
    <w:rsid w:val="00FC4CBB"/>
    <w:rsid w:val="00FE5343"/>
    <w:rsid w:val="05042FF9"/>
    <w:rsid w:val="06B85095"/>
    <w:rsid w:val="0A130967"/>
    <w:rsid w:val="0A463368"/>
    <w:rsid w:val="0E71423B"/>
    <w:rsid w:val="10F07480"/>
    <w:rsid w:val="12680A9F"/>
    <w:rsid w:val="16704AF4"/>
    <w:rsid w:val="189E5B2F"/>
    <w:rsid w:val="18B40260"/>
    <w:rsid w:val="196907BD"/>
    <w:rsid w:val="1D3E7A18"/>
    <w:rsid w:val="1E63130E"/>
    <w:rsid w:val="1F3B61EE"/>
    <w:rsid w:val="2BBA61FC"/>
    <w:rsid w:val="2E805BDC"/>
    <w:rsid w:val="375D7260"/>
    <w:rsid w:val="38C07AB9"/>
    <w:rsid w:val="39EE08FC"/>
    <w:rsid w:val="41D602E7"/>
    <w:rsid w:val="428447A0"/>
    <w:rsid w:val="42BD03CB"/>
    <w:rsid w:val="42FD416A"/>
    <w:rsid w:val="4457330C"/>
    <w:rsid w:val="448932AD"/>
    <w:rsid w:val="4781421E"/>
    <w:rsid w:val="51D5327F"/>
    <w:rsid w:val="5D9302A3"/>
    <w:rsid w:val="5EE931E7"/>
    <w:rsid w:val="67687050"/>
    <w:rsid w:val="6D085FD6"/>
    <w:rsid w:val="6D591674"/>
    <w:rsid w:val="6D657E05"/>
    <w:rsid w:val="6E0011B7"/>
    <w:rsid w:val="702B56C5"/>
    <w:rsid w:val="726B2DE6"/>
    <w:rsid w:val="742D542C"/>
    <w:rsid w:val="765111DC"/>
    <w:rsid w:val="7A254841"/>
    <w:rsid w:val="7A57697E"/>
    <w:rsid w:val="7CFD7785"/>
    <w:rsid w:val="7EBE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C454D"/>
  <w15:docId w15:val="{19F9D93F-CF73-4876-BD2D-94C61881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tLeast"/>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character" w:customStyle="1" w:styleId="10">
    <w:name w:val="标题 1 字符"/>
    <w:basedOn w:val="a0"/>
    <w:link w:val="1"/>
    <w:uiPriority w:val="9"/>
    <w:qFormat/>
    <w:rPr>
      <w:rFonts w:asciiTheme="minorHAnsi" w:eastAsia="方正小标宋简体" w:hAnsiTheme="minorHAnsi" w:cstheme="minorBidi"/>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515274-222B-45D9-80E9-7D24DB27F1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喻伊文</cp:lastModifiedBy>
  <cp:revision>252</cp:revision>
  <cp:lastPrinted>2021-03-16T09:33:00Z</cp:lastPrinted>
  <dcterms:created xsi:type="dcterms:W3CDTF">2021-02-25T08:51:00Z</dcterms:created>
  <dcterms:modified xsi:type="dcterms:W3CDTF">2021-09-28T07:34:00Z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87364C7A5DDC43CDBAAF09583F32435C</vt:lpwstr>
  </property>
</Properties>
</file>