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黑体"/>
          <w:b/>
          <w:sz w:val="44"/>
          <w:szCs w:val="36"/>
        </w:rPr>
      </w:pPr>
    </w:p>
    <w:p>
      <w:pPr>
        <w:rPr>
          <w:rFonts w:eastAsia="黑体"/>
          <w:b/>
          <w:sz w:val="44"/>
          <w:szCs w:val="36"/>
        </w:rPr>
      </w:pPr>
    </w:p>
    <w:p>
      <w:pPr>
        <w:spacing w:line="700" w:lineRule="exact"/>
        <w:rPr>
          <w:rFonts w:eastAsia="黑体"/>
          <w:sz w:val="48"/>
          <w:szCs w:val="36"/>
        </w:rPr>
      </w:pPr>
      <w:r>
        <w:rPr>
          <w:rFonts w:hint="eastAsia" w:eastAsia="黑体"/>
          <w:sz w:val="48"/>
          <w:szCs w:val="36"/>
        </w:rPr>
        <w:t>深圳市深汕特别合作区2022年度</w:t>
      </w:r>
    </w:p>
    <w:p>
      <w:pPr>
        <w:spacing w:line="700" w:lineRule="exact"/>
        <w:rPr>
          <w:rFonts w:eastAsia="黑体"/>
          <w:sz w:val="48"/>
          <w:szCs w:val="36"/>
        </w:rPr>
      </w:pPr>
      <w:r>
        <w:rPr>
          <w:rFonts w:hint="eastAsia" w:eastAsia="黑体"/>
          <w:sz w:val="48"/>
          <w:szCs w:val="36"/>
        </w:rPr>
        <w:t>土地征收成片开发方案</w:t>
      </w:r>
    </w:p>
    <w:p>
      <w:pPr>
        <w:spacing w:line="700" w:lineRule="exact"/>
        <w:rPr>
          <w:rFonts w:eastAsia="黑体"/>
          <w:sz w:val="48"/>
          <w:szCs w:val="36"/>
        </w:rPr>
      </w:pPr>
      <w:r>
        <w:rPr>
          <w:rFonts w:hint="eastAsia" w:eastAsia="黑体"/>
          <w:sz w:val="48"/>
          <w:szCs w:val="36"/>
        </w:rPr>
        <w:t>（征求意见稿）</w:t>
      </w:r>
    </w:p>
    <w:p>
      <w:pPr>
        <w:pStyle w:val="11"/>
        <w:ind w:firstLine="560"/>
        <w:rPr>
          <w:rFonts w:hAnsi="Times New Roman"/>
        </w:rPr>
      </w:pPr>
    </w:p>
    <w:p>
      <w:pPr>
        <w:pStyle w:val="11"/>
        <w:ind w:firstLine="560"/>
        <w:rPr>
          <w:rFonts w:hAnsi="Times New Roman"/>
        </w:rPr>
      </w:pPr>
    </w:p>
    <w:p>
      <w:pPr>
        <w:pStyle w:val="11"/>
        <w:ind w:firstLine="560"/>
        <w:rPr>
          <w:rFonts w:hAnsi="Times New Roman"/>
        </w:rPr>
      </w:pPr>
    </w:p>
    <w:p>
      <w:pPr>
        <w:pStyle w:val="11"/>
        <w:ind w:firstLine="560"/>
        <w:rPr>
          <w:rFonts w:hAnsi="Times New Roman"/>
        </w:rPr>
      </w:pPr>
    </w:p>
    <w:p>
      <w:pPr>
        <w:pStyle w:val="11"/>
        <w:ind w:firstLine="560"/>
        <w:rPr>
          <w:rFonts w:hAnsi="Times New Roman"/>
        </w:rPr>
      </w:pPr>
    </w:p>
    <w:p>
      <w:pPr>
        <w:pStyle w:val="11"/>
        <w:ind w:firstLine="560"/>
        <w:rPr>
          <w:rFonts w:hAnsi="Times New Roman"/>
        </w:rPr>
      </w:pPr>
    </w:p>
    <w:p>
      <w:pPr>
        <w:pStyle w:val="11"/>
        <w:ind w:firstLine="560"/>
        <w:rPr>
          <w:rFonts w:hAnsi="Times New Roman"/>
        </w:rPr>
      </w:pPr>
    </w:p>
    <w:p>
      <w:pPr>
        <w:pStyle w:val="11"/>
        <w:ind w:firstLine="560"/>
        <w:rPr>
          <w:rFonts w:hAnsi="Times New Roman"/>
        </w:rPr>
      </w:pPr>
    </w:p>
    <w:p>
      <w:pPr>
        <w:pStyle w:val="11"/>
        <w:ind w:firstLine="560"/>
        <w:rPr>
          <w:rFonts w:hAnsi="Times New Roman"/>
        </w:rPr>
      </w:pPr>
    </w:p>
    <w:p>
      <w:pPr>
        <w:pStyle w:val="11"/>
        <w:ind w:firstLine="560"/>
        <w:rPr>
          <w:rFonts w:hAnsi="Times New Roman"/>
        </w:rPr>
      </w:pPr>
    </w:p>
    <w:p>
      <w:pPr>
        <w:pStyle w:val="11"/>
        <w:ind w:firstLine="560"/>
        <w:rPr>
          <w:rFonts w:hAnsi="Times New Roman"/>
        </w:rPr>
      </w:pPr>
    </w:p>
    <w:p>
      <w:pPr>
        <w:pStyle w:val="11"/>
        <w:ind w:firstLine="560"/>
        <w:rPr>
          <w:rFonts w:hAnsi="Times New Roman"/>
        </w:rPr>
      </w:pPr>
    </w:p>
    <w:p>
      <w:pPr>
        <w:pStyle w:val="11"/>
        <w:ind w:firstLine="560"/>
        <w:rPr>
          <w:rFonts w:hAnsi="Times New Roman"/>
        </w:rPr>
      </w:pPr>
    </w:p>
    <w:p>
      <w:pPr>
        <w:pStyle w:val="11"/>
        <w:ind w:firstLine="0" w:firstLineChars="0"/>
        <w:rPr>
          <w:rFonts w:hAnsi="Times New Roman"/>
        </w:rPr>
      </w:pPr>
    </w:p>
    <w:p/>
    <w:p>
      <w:pPr>
        <w:rPr>
          <w:rFonts w:eastAsia="宋体"/>
          <w:b/>
          <w:sz w:val="32"/>
        </w:rPr>
      </w:pPr>
      <w:r>
        <w:rPr>
          <w:rFonts w:hint="eastAsia" w:eastAsia="宋体"/>
          <w:b/>
          <w:sz w:val="32"/>
        </w:rPr>
        <w:t>深圳市深汕特别合作区管理委员会</w:t>
      </w:r>
    </w:p>
    <w:p>
      <w:pPr>
        <w:rPr>
          <w:rFonts w:eastAsia="黑体"/>
          <w:sz w:val="32"/>
        </w:rPr>
      </w:pPr>
      <w:r>
        <w:rPr>
          <w:rFonts w:hint="eastAsia" w:eastAsia="宋体"/>
          <w:b/>
          <w:sz w:val="32"/>
        </w:rPr>
        <w:t>2022年2月</w:t>
      </w:r>
    </w:p>
    <w:p>
      <w:pPr>
        <w:jc w:val="both"/>
        <w:rPr>
          <w:rFonts w:eastAsia="黑体"/>
          <w:sz w:val="32"/>
        </w:rPr>
        <w:sectPr>
          <w:pgSz w:w="11906" w:h="16838"/>
          <w:pgMar w:top="1418" w:right="1588" w:bottom="1418" w:left="1588" w:header="851" w:footer="851" w:gutter="0"/>
          <w:cols w:space="425" w:num="1"/>
          <w:docGrid w:type="lines" w:linePitch="312" w:charSpace="0"/>
        </w:sectPr>
      </w:pPr>
    </w:p>
    <w:sdt>
      <w:sdtPr>
        <w:rPr>
          <w:rFonts w:ascii="Times New Roman" w:hAnsi="Times New Roman" w:eastAsia="仿宋_GB2312" w:cstheme="minorBidi"/>
          <w:b w:val="0"/>
          <w:bCs w:val="0"/>
          <w:color w:val="auto"/>
          <w:kern w:val="2"/>
          <w:sz w:val="22"/>
          <w:szCs w:val="24"/>
          <w:lang w:val="zh-CN"/>
        </w:rPr>
        <w:id w:val="-706948876"/>
        <w:docPartObj>
          <w:docPartGallery w:val="Table of Contents"/>
          <w:docPartUnique/>
        </w:docPartObj>
      </w:sdtPr>
      <w:sdtEndPr>
        <w:rPr>
          <w:rFonts w:ascii="Times New Roman" w:hAnsi="Times New Roman" w:eastAsia="仿宋_GB2312" w:cstheme="minorBidi"/>
          <w:b w:val="0"/>
          <w:bCs w:val="0"/>
          <w:color w:val="auto"/>
          <w:kern w:val="2"/>
          <w:sz w:val="22"/>
          <w:szCs w:val="24"/>
          <w:lang w:val="zh-CN"/>
        </w:rPr>
      </w:sdtEndPr>
      <w:sdtContent>
        <w:p>
          <w:pPr>
            <w:pStyle w:val="31"/>
            <w:jc w:val="center"/>
            <w:rPr>
              <w:rFonts w:ascii="Times New Roman" w:hAnsi="Times New Roman" w:eastAsia="黑体"/>
              <w:b w:val="0"/>
              <w:color w:val="auto"/>
              <w:sz w:val="40"/>
            </w:rPr>
          </w:pPr>
          <w:r>
            <w:rPr>
              <w:rFonts w:ascii="Times New Roman" w:hAnsi="Times New Roman" w:eastAsia="黑体"/>
              <w:b w:val="0"/>
              <w:color w:val="auto"/>
              <w:sz w:val="40"/>
              <w:lang w:val="zh-CN"/>
            </w:rPr>
            <w:t>目</w:t>
          </w:r>
          <w:r>
            <w:rPr>
              <w:rFonts w:hint="eastAsia" w:ascii="Times New Roman" w:hAnsi="Times New Roman" w:eastAsia="黑体"/>
              <w:b w:val="0"/>
              <w:color w:val="auto"/>
              <w:sz w:val="40"/>
              <w:lang w:val="zh-CN"/>
            </w:rPr>
            <w:t xml:space="preserve">  </w:t>
          </w:r>
          <w:r>
            <w:rPr>
              <w:rFonts w:ascii="Times New Roman" w:hAnsi="Times New Roman" w:eastAsia="黑体"/>
              <w:b w:val="0"/>
              <w:color w:val="auto"/>
              <w:sz w:val="40"/>
              <w:lang w:val="zh-CN"/>
            </w:rPr>
            <w:t>录</w:t>
          </w:r>
        </w:p>
        <w:p>
          <w:pPr>
            <w:pStyle w:val="10"/>
            <w:tabs>
              <w:tab w:val="right" w:leader="dot" w:pos="8720"/>
            </w:tabs>
            <w:rPr>
              <w:rFonts w:asciiTheme="minorHAnsi" w:hAnsiTheme="minorHAnsi" w:eastAsiaTheme="minorEastAsia"/>
              <w:sz w:val="21"/>
              <w:szCs w:val="22"/>
            </w:rPr>
          </w:pPr>
          <w:r>
            <w:rPr>
              <w:szCs w:val="28"/>
            </w:rPr>
            <w:fldChar w:fldCharType="begin"/>
          </w:r>
          <w:r>
            <w:rPr>
              <w:szCs w:val="28"/>
            </w:rPr>
            <w:instrText xml:space="preserve"> TOC \o "1-2" \h \z \u </w:instrText>
          </w:r>
          <w:r>
            <w:rPr>
              <w:szCs w:val="28"/>
            </w:rPr>
            <w:fldChar w:fldCharType="separate"/>
          </w:r>
          <w:r>
            <w:fldChar w:fldCharType="begin"/>
          </w:r>
          <w:r>
            <w:instrText xml:space="preserve"> HYPERLINK \l "_Toc96938913" </w:instrText>
          </w:r>
          <w:r>
            <w:fldChar w:fldCharType="separate"/>
          </w:r>
          <w:r>
            <w:rPr>
              <w:rStyle w:val="18"/>
            </w:rPr>
            <w:t>一、概述</w:t>
          </w:r>
          <w:r>
            <w:tab/>
          </w:r>
          <w:r>
            <w:fldChar w:fldCharType="begin"/>
          </w:r>
          <w:r>
            <w:instrText xml:space="preserve"> PAGEREF _Toc96938913 \h </w:instrText>
          </w:r>
          <w:r>
            <w:fldChar w:fldCharType="separate"/>
          </w:r>
          <w:r>
            <w:t>1</w:t>
          </w:r>
          <w:r>
            <w:fldChar w:fldCharType="end"/>
          </w:r>
          <w:r>
            <w:fldChar w:fldCharType="end"/>
          </w:r>
        </w:p>
        <w:p>
          <w:pPr>
            <w:pStyle w:val="12"/>
            <w:tabs>
              <w:tab w:val="right" w:leader="dot" w:pos="8720"/>
            </w:tabs>
            <w:ind w:left="440"/>
            <w:rPr>
              <w:rFonts w:asciiTheme="minorHAnsi" w:hAnsiTheme="minorHAnsi" w:eastAsiaTheme="minorEastAsia"/>
              <w:sz w:val="21"/>
              <w:szCs w:val="22"/>
            </w:rPr>
          </w:pPr>
          <w:r>
            <w:fldChar w:fldCharType="begin"/>
          </w:r>
          <w:r>
            <w:instrText xml:space="preserve"> HYPERLINK \l "_Toc96938914" </w:instrText>
          </w:r>
          <w:r>
            <w:fldChar w:fldCharType="separate"/>
          </w:r>
          <w:r>
            <w:rPr>
              <w:rStyle w:val="18"/>
            </w:rPr>
            <w:t>（一）编制背景</w:t>
          </w:r>
          <w:r>
            <w:tab/>
          </w:r>
          <w:r>
            <w:fldChar w:fldCharType="begin"/>
          </w:r>
          <w:r>
            <w:instrText xml:space="preserve"> PAGEREF _Toc96938914 \h </w:instrText>
          </w:r>
          <w:r>
            <w:fldChar w:fldCharType="separate"/>
          </w:r>
          <w:r>
            <w:t>1</w:t>
          </w:r>
          <w:r>
            <w:fldChar w:fldCharType="end"/>
          </w:r>
          <w:r>
            <w:fldChar w:fldCharType="end"/>
          </w:r>
        </w:p>
        <w:p>
          <w:pPr>
            <w:pStyle w:val="12"/>
            <w:tabs>
              <w:tab w:val="right" w:leader="dot" w:pos="8720"/>
            </w:tabs>
            <w:ind w:left="440"/>
            <w:rPr>
              <w:rFonts w:asciiTheme="minorHAnsi" w:hAnsiTheme="minorHAnsi" w:eastAsiaTheme="minorEastAsia"/>
              <w:sz w:val="21"/>
              <w:szCs w:val="22"/>
            </w:rPr>
          </w:pPr>
          <w:r>
            <w:fldChar w:fldCharType="begin"/>
          </w:r>
          <w:r>
            <w:instrText xml:space="preserve"> HYPERLINK \l "_Toc96938915" </w:instrText>
          </w:r>
          <w:r>
            <w:fldChar w:fldCharType="separate"/>
          </w:r>
          <w:r>
            <w:rPr>
              <w:rStyle w:val="18"/>
            </w:rPr>
            <w:t>（二）编制原则</w:t>
          </w:r>
          <w:r>
            <w:tab/>
          </w:r>
          <w:r>
            <w:fldChar w:fldCharType="begin"/>
          </w:r>
          <w:r>
            <w:instrText xml:space="preserve"> PAGEREF _Toc96938915 \h </w:instrText>
          </w:r>
          <w:r>
            <w:fldChar w:fldCharType="separate"/>
          </w:r>
          <w:r>
            <w:t>2</w:t>
          </w:r>
          <w:r>
            <w:fldChar w:fldCharType="end"/>
          </w:r>
          <w:r>
            <w:fldChar w:fldCharType="end"/>
          </w:r>
        </w:p>
        <w:p>
          <w:pPr>
            <w:pStyle w:val="12"/>
            <w:tabs>
              <w:tab w:val="right" w:leader="dot" w:pos="8720"/>
            </w:tabs>
            <w:ind w:left="440"/>
            <w:rPr>
              <w:rFonts w:asciiTheme="minorHAnsi" w:hAnsiTheme="minorHAnsi" w:eastAsiaTheme="minorEastAsia"/>
              <w:sz w:val="21"/>
              <w:szCs w:val="22"/>
            </w:rPr>
          </w:pPr>
          <w:r>
            <w:fldChar w:fldCharType="begin"/>
          </w:r>
          <w:r>
            <w:instrText xml:space="preserve"> HYPERLINK \l "_Toc96938916" </w:instrText>
          </w:r>
          <w:r>
            <w:fldChar w:fldCharType="separate"/>
          </w:r>
          <w:r>
            <w:rPr>
              <w:rStyle w:val="18"/>
            </w:rPr>
            <w:t>（三）编制依据</w:t>
          </w:r>
          <w:r>
            <w:tab/>
          </w:r>
          <w:r>
            <w:fldChar w:fldCharType="begin"/>
          </w:r>
          <w:r>
            <w:instrText xml:space="preserve"> PAGEREF _Toc96938916 \h </w:instrText>
          </w:r>
          <w:r>
            <w:fldChar w:fldCharType="separate"/>
          </w:r>
          <w:r>
            <w:t>3</w:t>
          </w:r>
          <w:r>
            <w:fldChar w:fldCharType="end"/>
          </w:r>
          <w:r>
            <w:fldChar w:fldCharType="end"/>
          </w:r>
        </w:p>
        <w:p>
          <w:pPr>
            <w:pStyle w:val="12"/>
            <w:tabs>
              <w:tab w:val="right" w:leader="dot" w:pos="8720"/>
            </w:tabs>
            <w:ind w:left="440"/>
            <w:rPr>
              <w:rFonts w:asciiTheme="minorHAnsi" w:hAnsiTheme="minorHAnsi" w:eastAsiaTheme="minorEastAsia"/>
              <w:sz w:val="21"/>
              <w:szCs w:val="22"/>
            </w:rPr>
          </w:pPr>
          <w:r>
            <w:fldChar w:fldCharType="begin"/>
          </w:r>
          <w:r>
            <w:instrText xml:space="preserve"> HYPERLINK \l "_Toc96938917" </w:instrText>
          </w:r>
          <w:r>
            <w:fldChar w:fldCharType="separate"/>
          </w:r>
          <w:r>
            <w:rPr>
              <w:rStyle w:val="18"/>
            </w:rPr>
            <w:t>（四）编制条件</w:t>
          </w:r>
          <w:r>
            <w:tab/>
          </w:r>
          <w:r>
            <w:fldChar w:fldCharType="begin"/>
          </w:r>
          <w:r>
            <w:instrText xml:space="preserve"> PAGEREF _Toc96938917 \h </w:instrText>
          </w:r>
          <w:r>
            <w:fldChar w:fldCharType="separate"/>
          </w:r>
          <w:r>
            <w:t>4</w:t>
          </w:r>
          <w:r>
            <w:fldChar w:fldCharType="end"/>
          </w:r>
          <w:r>
            <w:fldChar w:fldCharType="end"/>
          </w:r>
        </w:p>
        <w:p>
          <w:pPr>
            <w:pStyle w:val="10"/>
            <w:tabs>
              <w:tab w:val="right" w:leader="dot" w:pos="8720"/>
            </w:tabs>
            <w:rPr>
              <w:rFonts w:asciiTheme="minorHAnsi" w:hAnsiTheme="minorHAnsi" w:eastAsiaTheme="minorEastAsia"/>
              <w:sz w:val="21"/>
              <w:szCs w:val="22"/>
            </w:rPr>
          </w:pPr>
          <w:r>
            <w:fldChar w:fldCharType="begin"/>
          </w:r>
          <w:r>
            <w:instrText xml:space="preserve"> HYPERLINK \l "_Toc96938918" </w:instrText>
          </w:r>
          <w:r>
            <w:fldChar w:fldCharType="separate"/>
          </w:r>
          <w:r>
            <w:rPr>
              <w:rStyle w:val="18"/>
            </w:rPr>
            <w:t>二、成片开发基本情况</w:t>
          </w:r>
          <w:r>
            <w:tab/>
          </w:r>
          <w:r>
            <w:fldChar w:fldCharType="begin"/>
          </w:r>
          <w:r>
            <w:instrText xml:space="preserve"> PAGEREF _Toc96938918 \h </w:instrText>
          </w:r>
          <w:r>
            <w:fldChar w:fldCharType="separate"/>
          </w:r>
          <w:r>
            <w:t>5</w:t>
          </w:r>
          <w:r>
            <w:fldChar w:fldCharType="end"/>
          </w:r>
          <w:r>
            <w:fldChar w:fldCharType="end"/>
          </w:r>
        </w:p>
        <w:p>
          <w:pPr>
            <w:pStyle w:val="12"/>
            <w:tabs>
              <w:tab w:val="right" w:leader="dot" w:pos="8720"/>
            </w:tabs>
            <w:ind w:left="440"/>
            <w:rPr>
              <w:rFonts w:asciiTheme="minorHAnsi" w:hAnsiTheme="minorHAnsi" w:eastAsiaTheme="minorEastAsia"/>
              <w:sz w:val="21"/>
              <w:szCs w:val="22"/>
            </w:rPr>
          </w:pPr>
          <w:r>
            <w:fldChar w:fldCharType="begin"/>
          </w:r>
          <w:r>
            <w:instrText xml:space="preserve"> HYPERLINK \l "_Toc96938919" </w:instrText>
          </w:r>
          <w:r>
            <w:fldChar w:fldCharType="separate"/>
          </w:r>
          <w:r>
            <w:rPr>
              <w:rStyle w:val="18"/>
            </w:rPr>
            <w:t>（一）区域概况</w:t>
          </w:r>
          <w:r>
            <w:tab/>
          </w:r>
          <w:r>
            <w:fldChar w:fldCharType="begin"/>
          </w:r>
          <w:r>
            <w:instrText xml:space="preserve"> PAGEREF _Toc96938919 \h </w:instrText>
          </w:r>
          <w:r>
            <w:fldChar w:fldCharType="separate"/>
          </w:r>
          <w:r>
            <w:t>5</w:t>
          </w:r>
          <w:r>
            <w:fldChar w:fldCharType="end"/>
          </w:r>
          <w:r>
            <w:fldChar w:fldCharType="end"/>
          </w:r>
        </w:p>
        <w:p>
          <w:pPr>
            <w:pStyle w:val="12"/>
            <w:tabs>
              <w:tab w:val="right" w:leader="dot" w:pos="8720"/>
            </w:tabs>
            <w:ind w:left="440"/>
            <w:rPr>
              <w:rFonts w:asciiTheme="minorHAnsi" w:hAnsiTheme="minorHAnsi" w:eastAsiaTheme="minorEastAsia"/>
              <w:sz w:val="21"/>
              <w:szCs w:val="22"/>
            </w:rPr>
          </w:pPr>
          <w:r>
            <w:fldChar w:fldCharType="begin"/>
          </w:r>
          <w:r>
            <w:instrText xml:space="preserve"> HYPERLINK \l "_Toc96938920" </w:instrText>
          </w:r>
          <w:r>
            <w:fldChar w:fldCharType="separate"/>
          </w:r>
          <w:r>
            <w:rPr>
              <w:rStyle w:val="18"/>
            </w:rPr>
            <w:t>（二）片区基本情况</w:t>
          </w:r>
          <w:r>
            <w:tab/>
          </w:r>
          <w:r>
            <w:fldChar w:fldCharType="begin"/>
          </w:r>
          <w:r>
            <w:instrText xml:space="preserve"> PAGEREF _Toc96938920 \h </w:instrText>
          </w:r>
          <w:r>
            <w:fldChar w:fldCharType="separate"/>
          </w:r>
          <w:r>
            <w:t>8</w:t>
          </w:r>
          <w:r>
            <w:fldChar w:fldCharType="end"/>
          </w:r>
          <w:r>
            <w:fldChar w:fldCharType="end"/>
          </w:r>
        </w:p>
        <w:p>
          <w:pPr>
            <w:pStyle w:val="12"/>
            <w:tabs>
              <w:tab w:val="right" w:leader="dot" w:pos="8720"/>
            </w:tabs>
            <w:ind w:left="440"/>
            <w:rPr>
              <w:rFonts w:asciiTheme="minorHAnsi" w:hAnsiTheme="minorHAnsi" w:eastAsiaTheme="minorEastAsia"/>
              <w:sz w:val="21"/>
              <w:szCs w:val="22"/>
            </w:rPr>
          </w:pPr>
          <w:r>
            <w:fldChar w:fldCharType="begin"/>
          </w:r>
          <w:r>
            <w:instrText xml:space="preserve"> HYPERLINK \l "_Toc96938921" </w:instrText>
          </w:r>
          <w:r>
            <w:fldChar w:fldCharType="separate"/>
          </w:r>
          <w:r>
            <w:rPr>
              <w:rStyle w:val="18"/>
            </w:rPr>
            <w:t>（三）公共服务与基础设施条件</w:t>
          </w:r>
          <w:r>
            <w:tab/>
          </w:r>
          <w:r>
            <w:fldChar w:fldCharType="begin"/>
          </w:r>
          <w:r>
            <w:instrText xml:space="preserve"> PAGEREF _Toc96938921 \h </w:instrText>
          </w:r>
          <w:r>
            <w:fldChar w:fldCharType="separate"/>
          </w:r>
          <w:r>
            <w:t>10</w:t>
          </w:r>
          <w:r>
            <w:fldChar w:fldCharType="end"/>
          </w:r>
          <w:r>
            <w:fldChar w:fldCharType="end"/>
          </w:r>
        </w:p>
        <w:p>
          <w:pPr>
            <w:pStyle w:val="10"/>
            <w:tabs>
              <w:tab w:val="right" w:leader="dot" w:pos="8720"/>
            </w:tabs>
            <w:rPr>
              <w:rFonts w:asciiTheme="minorHAnsi" w:hAnsiTheme="minorHAnsi" w:eastAsiaTheme="minorEastAsia"/>
              <w:sz w:val="21"/>
              <w:szCs w:val="22"/>
            </w:rPr>
          </w:pPr>
          <w:r>
            <w:fldChar w:fldCharType="begin"/>
          </w:r>
          <w:r>
            <w:instrText xml:space="preserve"> HYPERLINK \l "_Toc96938922" </w:instrText>
          </w:r>
          <w:r>
            <w:fldChar w:fldCharType="separate"/>
          </w:r>
          <w:r>
            <w:rPr>
              <w:rStyle w:val="18"/>
            </w:rPr>
            <w:t>三、成片开发的必要性、主要用途和实现的功能</w:t>
          </w:r>
          <w:r>
            <w:tab/>
          </w:r>
          <w:r>
            <w:fldChar w:fldCharType="begin"/>
          </w:r>
          <w:r>
            <w:instrText xml:space="preserve"> PAGEREF _Toc96938922 \h </w:instrText>
          </w:r>
          <w:r>
            <w:fldChar w:fldCharType="separate"/>
          </w:r>
          <w:r>
            <w:t>11</w:t>
          </w:r>
          <w:r>
            <w:fldChar w:fldCharType="end"/>
          </w:r>
          <w:r>
            <w:fldChar w:fldCharType="end"/>
          </w:r>
        </w:p>
        <w:p>
          <w:pPr>
            <w:pStyle w:val="12"/>
            <w:tabs>
              <w:tab w:val="right" w:leader="dot" w:pos="8720"/>
            </w:tabs>
            <w:ind w:left="440"/>
            <w:rPr>
              <w:rFonts w:asciiTheme="minorHAnsi" w:hAnsiTheme="minorHAnsi" w:eastAsiaTheme="minorEastAsia"/>
              <w:sz w:val="21"/>
              <w:szCs w:val="22"/>
            </w:rPr>
          </w:pPr>
          <w:r>
            <w:fldChar w:fldCharType="begin"/>
          </w:r>
          <w:r>
            <w:instrText xml:space="preserve"> HYPERLINK \l "_Toc96938923" </w:instrText>
          </w:r>
          <w:r>
            <w:fldChar w:fldCharType="separate"/>
          </w:r>
          <w:r>
            <w:rPr>
              <w:rStyle w:val="18"/>
            </w:rPr>
            <w:t>（一）成片开发的必要性</w:t>
          </w:r>
          <w:r>
            <w:tab/>
          </w:r>
          <w:r>
            <w:fldChar w:fldCharType="begin"/>
          </w:r>
          <w:r>
            <w:instrText xml:space="preserve"> PAGEREF _Toc96938923 \h </w:instrText>
          </w:r>
          <w:r>
            <w:fldChar w:fldCharType="separate"/>
          </w:r>
          <w:r>
            <w:t>11</w:t>
          </w:r>
          <w:r>
            <w:fldChar w:fldCharType="end"/>
          </w:r>
          <w:r>
            <w:fldChar w:fldCharType="end"/>
          </w:r>
        </w:p>
        <w:p>
          <w:pPr>
            <w:pStyle w:val="12"/>
            <w:tabs>
              <w:tab w:val="right" w:leader="dot" w:pos="8720"/>
            </w:tabs>
            <w:ind w:left="440"/>
            <w:rPr>
              <w:rFonts w:asciiTheme="minorHAnsi" w:hAnsiTheme="minorHAnsi" w:eastAsiaTheme="minorEastAsia"/>
              <w:sz w:val="21"/>
              <w:szCs w:val="22"/>
            </w:rPr>
          </w:pPr>
          <w:r>
            <w:fldChar w:fldCharType="begin"/>
          </w:r>
          <w:r>
            <w:instrText xml:space="preserve"> HYPERLINK \l "_Toc96938924" </w:instrText>
          </w:r>
          <w:r>
            <w:fldChar w:fldCharType="separate"/>
          </w:r>
          <w:r>
            <w:rPr>
              <w:rStyle w:val="18"/>
            </w:rPr>
            <w:t>（二）成片开发的主要用途和实现的功能</w:t>
          </w:r>
          <w:r>
            <w:tab/>
          </w:r>
          <w:r>
            <w:fldChar w:fldCharType="begin"/>
          </w:r>
          <w:r>
            <w:instrText xml:space="preserve"> PAGEREF _Toc96938924 \h </w:instrText>
          </w:r>
          <w:r>
            <w:fldChar w:fldCharType="separate"/>
          </w:r>
          <w:r>
            <w:t>13</w:t>
          </w:r>
          <w:r>
            <w:fldChar w:fldCharType="end"/>
          </w:r>
          <w:r>
            <w:fldChar w:fldCharType="end"/>
          </w:r>
        </w:p>
        <w:p>
          <w:pPr>
            <w:pStyle w:val="10"/>
            <w:tabs>
              <w:tab w:val="right" w:leader="dot" w:pos="8720"/>
            </w:tabs>
            <w:rPr>
              <w:rFonts w:asciiTheme="minorHAnsi" w:hAnsiTheme="minorHAnsi" w:eastAsiaTheme="minorEastAsia"/>
              <w:sz w:val="21"/>
              <w:szCs w:val="22"/>
            </w:rPr>
          </w:pPr>
          <w:r>
            <w:fldChar w:fldCharType="begin"/>
          </w:r>
          <w:r>
            <w:instrText xml:space="preserve"> HYPERLINK \l "_Toc96938925" </w:instrText>
          </w:r>
          <w:r>
            <w:fldChar w:fldCharType="separate"/>
          </w:r>
          <w:r>
            <w:rPr>
              <w:rStyle w:val="18"/>
            </w:rPr>
            <w:t>四、成片开发的可行性分析</w:t>
          </w:r>
          <w:r>
            <w:tab/>
          </w:r>
          <w:r>
            <w:fldChar w:fldCharType="begin"/>
          </w:r>
          <w:r>
            <w:instrText xml:space="preserve"> PAGEREF _Toc96938925 \h </w:instrText>
          </w:r>
          <w:r>
            <w:fldChar w:fldCharType="separate"/>
          </w:r>
          <w:r>
            <w:t>14</w:t>
          </w:r>
          <w:r>
            <w:fldChar w:fldCharType="end"/>
          </w:r>
          <w:r>
            <w:fldChar w:fldCharType="end"/>
          </w:r>
        </w:p>
        <w:p>
          <w:pPr>
            <w:pStyle w:val="12"/>
            <w:tabs>
              <w:tab w:val="right" w:leader="dot" w:pos="8720"/>
            </w:tabs>
            <w:ind w:left="440"/>
            <w:rPr>
              <w:rFonts w:asciiTheme="minorHAnsi" w:hAnsiTheme="minorHAnsi" w:eastAsiaTheme="minorEastAsia"/>
              <w:sz w:val="21"/>
              <w:szCs w:val="22"/>
            </w:rPr>
          </w:pPr>
          <w:r>
            <w:fldChar w:fldCharType="begin"/>
          </w:r>
          <w:r>
            <w:instrText xml:space="preserve"> HYPERLINK \l "_Toc96938926" </w:instrText>
          </w:r>
          <w:r>
            <w:fldChar w:fldCharType="separate"/>
          </w:r>
          <w:r>
            <w:rPr>
              <w:rStyle w:val="18"/>
            </w:rPr>
            <w:t>（一）公益用地比例</w:t>
          </w:r>
          <w:r>
            <w:tab/>
          </w:r>
          <w:r>
            <w:fldChar w:fldCharType="begin"/>
          </w:r>
          <w:r>
            <w:instrText xml:space="preserve"> PAGEREF _Toc96938926 \h </w:instrText>
          </w:r>
          <w:r>
            <w:fldChar w:fldCharType="separate"/>
          </w:r>
          <w:r>
            <w:t>14</w:t>
          </w:r>
          <w:r>
            <w:fldChar w:fldCharType="end"/>
          </w:r>
          <w:r>
            <w:fldChar w:fldCharType="end"/>
          </w:r>
        </w:p>
        <w:p>
          <w:pPr>
            <w:pStyle w:val="12"/>
            <w:tabs>
              <w:tab w:val="right" w:leader="dot" w:pos="8720"/>
            </w:tabs>
            <w:ind w:left="440"/>
            <w:rPr>
              <w:rFonts w:asciiTheme="minorHAnsi" w:hAnsiTheme="minorHAnsi" w:eastAsiaTheme="minorEastAsia"/>
              <w:sz w:val="21"/>
              <w:szCs w:val="22"/>
            </w:rPr>
          </w:pPr>
          <w:r>
            <w:fldChar w:fldCharType="begin"/>
          </w:r>
          <w:r>
            <w:instrText xml:space="preserve"> HYPERLINK \l "_Toc96938927" </w:instrText>
          </w:r>
          <w:r>
            <w:fldChar w:fldCharType="separate"/>
          </w:r>
          <w:r>
            <w:rPr>
              <w:rStyle w:val="18"/>
            </w:rPr>
            <w:t>（二）规划符合性分析</w:t>
          </w:r>
          <w:r>
            <w:tab/>
          </w:r>
          <w:r>
            <w:fldChar w:fldCharType="begin"/>
          </w:r>
          <w:r>
            <w:instrText xml:space="preserve"> PAGEREF _Toc96938927 \h </w:instrText>
          </w:r>
          <w:r>
            <w:fldChar w:fldCharType="separate"/>
          </w:r>
          <w:r>
            <w:t>15</w:t>
          </w:r>
          <w:r>
            <w:fldChar w:fldCharType="end"/>
          </w:r>
          <w:r>
            <w:fldChar w:fldCharType="end"/>
          </w:r>
        </w:p>
        <w:p>
          <w:pPr>
            <w:pStyle w:val="12"/>
            <w:tabs>
              <w:tab w:val="right" w:leader="dot" w:pos="8720"/>
            </w:tabs>
            <w:ind w:left="440"/>
            <w:rPr>
              <w:rFonts w:asciiTheme="minorHAnsi" w:hAnsiTheme="minorHAnsi" w:eastAsiaTheme="minorEastAsia"/>
              <w:sz w:val="21"/>
              <w:szCs w:val="22"/>
            </w:rPr>
          </w:pPr>
          <w:r>
            <w:fldChar w:fldCharType="begin"/>
          </w:r>
          <w:r>
            <w:instrText xml:space="preserve"> HYPERLINK \l "_Toc96938928" </w:instrText>
          </w:r>
          <w:r>
            <w:fldChar w:fldCharType="separate"/>
          </w:r>
          <w:r>
            <w:rPr>
              <w:rStyle w:val="18"/>
            </w:rPr>
            <w:t>（三）政策符合性分析</w:t>
          </w:r>
          <w:r>
            <w:tab/>
          </w:r>
          <w:r>
            <w:fldChar w:fldCharType="begin"/>
          </w:r>
          <w:r>
            <w:instrText xml:space="preserve"> PAGEREF _Toc96938928 \h </w:instrText>
          </w:r>
          <w:r>
            <w:fldChar w:fldCharType="separate"/>
          </w:r>
          <w:r>
            <w:t>19</w:t>
          </w:r>
          <w:r>
            <w:fldChar w:fldCharType="end"/>
          </w:r>
          <w:r>
            <w:fldChar w:fldCharType="end"/>
          </w:r>
        </w:p>
        <w:p>
          <w:pPr>
            <w:pStyle w:val="10"/>
            <w:tabs>
              <w:tab w:val="right" w:leader="dot" w:pos="8720"/>
            </w:tabs>
            <w:rPr>
              <w:rFonts w:asciiTheme="minorHAnsi" w:hAnsiTheme="minorHAnsi" w:eastAsiaTheme="minorEastAsia"/>
              <w:sz w:val="21"/>
              <w:szCs w:val="22"/>
            </w:rPr>
          </w:pPr>
          <w:r>
            <w:fldChar w:fldCharType="begin"/>
          </w:r>
          <w:r>
            <w:instrText xml:space="preserve"> HYPERLINK \l "_Toc96938929" </w:instrText>
          </w:r>
          <w:r>
            <w:fldChar w:fldCharType="separate"/>
          </w:r>
          <w:r>
            <w:rPr>
              <w:rStyle w:val="18"/>
            </w:rPr>
            <w:t>五、成片开发拟安排的建设项目、开发时序和年度实施计划</w:t>
          </w:r>
          <w:r>
            <w:tab/>
          </w:r>
          <w:r>
            <w:fldChar w:fldCharType="begin"/>
          </w:r>
          <w:r>
            <w:instrText xml:space="preserve"> PAGEREF _Toc96938929 \h </w:instrText>
          </w:r>
          <w:r>
            <w:fldChar w:fldCharType="separate"/>
          </w:r>
          <w:r>
            <w:t>22</w:t>
          </w:r>
          <w:r>
            <w:fldChar w:fldCharType="end"/>
          </w:r>
          <w:r>
            <w:fldChar w:fldCharType="end"/>
          </w:r>
        </w:p>
        <w:p>
          <w:pPr>
            <w:pStyle w:val="12"/>
            <w:tabs>
              <w:tab w:val="right" w:leader="dot" w:pos="8720"/>
            </w:tabs>
            <w:ind w:left="440"/>
            <w:rPr>
              <w:rFonts w:asciiTheme="minorHAnsi" w:hAnsiTheme="minorHAnsi" w:eastAsiaTheme="minorEastAsia"/>
              <w:sz w:val="21"/>
              <w:szCs w:val="22"/>
            </w:rPr>
          </w:pPr>
          <w:r>
            <w:fldChar w:fldCharType="begin"/>
          </w:r>
          <w:r>
            <w:instrText xml:space="preserve"> HYPERLINK \l "_Toc96938930" </w:instrText>
          </w:r>
          <w:r>
            <w:fldChar w:fldCharType="separate"/>
          </w:r>
          <w:r>
            <w:rPr>
              <w:rStyle w:val="18"/>
            </w:rPr>
            <w:t>（一）建设项目</w:t>
          </w:r>
          <w:r>
            <w:tab/>
          </w:r>
          <w:r>
            <w:fldChar w:fldCharType="begin"/>
          </w:r>
          <w:r>
            <w:instrText xml:space="preserve"> PAGEREF _Toc96938930 \h </w:instrText>
          </w:r>
          <w:r>
            <w:fldChar w:fldCharType="separate"/>
          </w:r>
          <w:r>
            <w:t>22</w:t>
          </w:r>
          <w:r>
            <w:fldChar w:fldCharType="end"/>
          </w:r>
          <w:r>
            <w:fldChar w:fldCharType="end"/>
          </w:r>
        </w:p>
        <w:p>
          <w:pPr>
            <w:pStyle w:val="12"/>
            <w:tabs>
              <w:tab w:val="right" w:leader="dot" w:pos="8720"/>
            </w:tabs>
            <w:ind w:left="440"/>
            <w:rPr>
              <w:rFonts w:asciiTheme="minorHAnsi" w:hAnsiTheme="minorHAnsi" w:eastAsiaTheme="minorEastAsia"/>
              <w:sz w:val="21"/>
              <w:szCs w:val="22"/>
            </w:rPr>
          </w:pPr>
          <w:r>
            <w:fldChar w:fldCharType="begin"/>
          </w:r>
          <w:r>
            <w:instrText xml:space="preserve"> HYPERLINK \l "_Toc96938931" </w:instrText>
          </w:r>
          <w:r>
            <w:fldChar w:fldCharType="separate"/>
          </w:r>
          <w:r>
            <w:rPr>
              <w:rStyle w:val="18"/>
            </w:rPr>
            <w:t>（二）开发时序及年度实施计划</w:t>
          </w:r>
          <w:r>
            <w:tab/>
          </w:r>
          <w:r>
            <w:fldChar w:fldCharType="begin"/>
          </w:r>
          <w:r>
            <w:instrText xml:space="preserve"> PAGEREF _Toc96938931 \h </w:instrText>
          </w:r>
          <w:r>
            <w:fldChar w:fldCharType="separate"/>
          </w:r>
          <w:r>
            <w:t>22</w:t>
          </w:r>
          <w:r>
            <w:fldChar w:fldCharType="end"/>
          </w:r>
          <w:r>
            <w:fldChar w:fldCharType="end"/>
          </w:r>
        </w:p>
        <w:p>
          <w:pPr>
            <w:pStyle w:val="10"/>
            <w:tabs>
              <w:tab w:val="right" w:leader="dot" w:pos="8720"/>
            </w:tabs>
            <w:rPr>
              <w:rFonts w:asciiTheme="minorHAnsi" w:hAnsiTheme="minorHAnsi" w:eastAsiaTheme="minorEastAsia"/>
              <w:sz w:val="21"/>
              <w:szCs w:val="22"/>
            </w:rPr>
          </w:pPr>
          <w:r>
            <w:fldChar w:fldCharType="begin"/>
          </w:r>
          <w:r>
            <w:instrText xml:space="preserve"> HYPERLINK \l "_Toc96938932" </w:instrText>
          </w:r>
          <w:r>
            <w:fldChar w:fldCharType="separate"/>
          </w:r>
          <w:r>
            <w:rPr>
              <w:rStyle w:val="18"/>
            </w:rPr>
            <w:t>六、成片开发效益评估</w:t>
          </w:r>
          <w:r>
            <w:tab/>
          </w:r>
          <w:r>
            <w:fldChar w:fldCharType="begin"/>
          </w:r>
          <w:r>
            <w:instrText xml:space="preserve"> PAGEREF _Toc96938932 \h </w:instrText>
          </w:r>
          <w:r>
            <w:fldChar w:fldCharType="separate"/>
          </w:r>
          <w:r>
            <w:t>25</w:t>
          </w:r>
          <w:r>
            <w:fldChar w:fldCharType="end"/>
          </w:r>
          <w:r>
            <w:fldChar w:fldCharType="end"/>
          </w:r>
        </w:p>
        <w:p>
          <w:pPr>
            <w:pStyle w:val="12"/>
            <w:tabs>
              <w:tab w:val="right" w:leader="dot" w:pos="8720"/>
            </w:tabs>
            <w:ind w:left="440"/>
            <w:rPr>
              <w:rFonts w:asciiTheme="minorHAnsi" w:hAnsiTheme="minorHAnsi" w:eastAsiaTheme="minorEastAsia"/>
              <w:sz w:val="21"/>
              <w:szCs w:val="22"/>
            </w:rPr>
          </w:pPr>
          <w:r>
            <w:fldChar w:fldCharType="begin"/>
          </w:r>
          <w:r>
            <w:instrText xml:space="preserve"> HYPERLINK \l "_Toc96938933" </w:instrText>
          </w:r>
          <w:r>
            <w:fldChar w:fldCharType="separate"/>
          </w:r>
          <w:r>
            <w:rPr>
              <w:rStyle w:val="18"/>
            </w:rPr>
            <w:t>（一）土地利用效益评估</w:t>
          </w:r>
          <w:r>
            <w:tab/>
          </w:r>
          <w:r>
            <w:fldChar w:fldCharType="begin"/>
          </w:r>
          <w:r>
            <w:instrText xml:space="preserve"> PAGEREF _Toc96938933 \h </w:instrText>
          </w:r>
          <w:r>
            <w:fldChar w:fldCharType="separate"/>
          </w:r>
          <w:r>
            <w:t>25</w:t>
          </w:r>
          <w:r>
            <w:fldChar w:fldCharType="end"/>
          </w:r>
          <w:r>
            <w:fldChar w:fldCharType="end"/>
          </w:r>
        </w:p>
        <w:p>
          <w:pPr>
            <w:pStyle w:val="12"/>
            <w:tabs>
              <w:tab w:val="right" w:leader="dot" w:pos="8720"/>
            </w:tabs>
            <w:ind w:left="440"/>
            <w:rPr>
              <w:rFonts w:asciiTheme="minorHAnsi" w:hAnsiTheme="minorHAnsi" w:eastAsiaTheme="minorEastAsia"/>
              <w:sz w:val="21"/>
              <w:szCs w:val="22"/>
            </w:rPr>
          </w:pPr>
          <w:r>
            <w:fldChar w:fldCharType="begin"/>
          </w:r>
          <w:r>
            <w:instrText xml:space="preserve"> HYPERLINK \l "_Toc96938934" </w:instrText>
          </w:r>
          <w:r>
            <w:fldChar w:fldCharType="separate"/>
          </w:r>
          <w:r>
            <w:rPr>
              <w:rStyle w:val="18"/>
            </w:rPr>
            <w:t>（二）经济与社会效益评估</w:t>
          </w:r>
          <w:r>
            <w:tab/>
          </w:r>
          <w:r>
            <w:fldChar w:fldCharType="begin"/>
          </w:r>
          <w:r>
            <w:instrText xml:space="preserve"> PAGEREF _Toc96938934 \h </w:instrText>
          </w:r>
          <w:r>
            <w:fldChar w:fldCharType="separate"/>
          </w:r>
          <w:r>
            <w:t>26</w:t>
          </w:r>
          <w:r>
            <w:fldChar w:fldCharType="end"/>
          </w:r>
          <w:r>
            <w:fldChar w:fldCharType="end"/>
          </w:r>
        </w:p>
        <w:p>
          <w:pPr>
            <w:pStyle w:val="12"/>
            <w:tabs>
              <w:tab w:val="right" w:leader="dot" w:pos="8720"/>
            </w:tabs>
            <w:ind w:left="440"/>
            <w:rPr>
              <w:rFonts w:asciiTheme="minorHAnsi" w:hAnsiTheme="minorHAnsi" w:eastAsiaTheme="minorEastAsia"/>
              <w:sz w:val="21"/>
              <w:szCs w:val="22"/>
            </w:rPr>
          </w:pPr>
          <w:r>
            <w:fldChar w:fldCharType="begin"/>
          </w:r>
          <w:r>
            <w:instrText xml:space="preserve"> HYPERLINK \l "_Toc96938935" </w:instrText>
          </w:r>
          <w:r>
            <w:fldChar w:fldCharType="separate"/>
          </w:r>
          <w:r>
            <w:rPr>
              <w:rStyle w:val="18"/>
            </w:rPr>
            <w:t>（三）生态效益评估</w:t>
          </w:r>
          <w:r>
            <w:tab/>
          </w:r>
          <w:r>
            <w:fldChar w:fldCharType="begin"/>
          </w:r>
          <w:r>
            <w:instrText xml:space="preserve"> PAGEREF _Toc96938935 \h </w:instrText>
          </w:r>
          <w:r>
            <w:fldChar w:fldCharType="separate"/>
          </w:r>
          <w:r>
            <w:t>27</w:t>
          </w:r>
          <w:r>
            <w:fldChar w:fldCharType="end"/>
          </w:r>
          <w:r>
            <w:fldChar w:fldCharType="end"/>
          </w:r>
        </w:p>
        <w:p>
          <w:pPr>
            <w:pStyle w:val="10"/>
            <w:tabs>
              <w:tab w:val="right" w:leader="dot" w:pos="8720"/>
            </w:tabs>
            <w:rPr>
              <w:rFonts w:asciiTheme="minorHAnsi" w:hAnsiTheme="minorHAnsi" w:eastAsiaTheme="minorEastAsia"/>
              <w:sz w:val="21"/>
              <w:szCs w:val="22"/>
            </w:rPr>
          </w:pPr>
          <w:r>
            <w:fldChar w:fldCharType="begin"/>
          </w:r>
          <w:r>
            <w:instrText xml:space="preserve"> HYPERLINK \l "_Toc96938936" </w:instrText>
          </w:r>
          <w:r>
            <w:fldChar w:fldCharType="separate"/>
          </w:r>
          <w:r>
            <w:rPr>
              <w:rStyle w:val="18"/>
            </w:rPr>
            <w:t>七、结论</w:t>
          </w:r>
          <w:r>
            <w:tab/>
          </w:r>
          <w:r>
            <w:fldChar w:fldCharType="begin"/>
          </w:r>
          <w:r>
            <w:instrText xml:space="preserve"> PAGEREF _Toc96938936 \h </w:instrText>
          </w:r>
          <w:r>
            <w:fldChar w:fldCharType="separate"/>
          </w:r>
          <w:r>
            <w:t>29</w:t>
          </w:r>
          <w:r>
            <w:fldChar w:fldCharType="end"/>
          </w:r>
          <w:r>
            <w:fldChar w:fldCharType="end"/>
          </w:r>
        </w:p>
        <w:p>
          <w:pPr>
            <w:jc w:val="both"/>
          </w:pPr>
          <w:r>
            <w:rPr>
              <w:szCs w:val="28"/>
            </w:rPr>
            <w:fldChar w:fldCharType="end"/>
          </w:r>
        </w:p>
      </w:sdtContent>
    </w:sdt>
    <w:p>
      <w:pPr>
        <w:pStyle w:val="11"/>
        <w:ind w:firstLine="560"/>
        <w:rPr>
          <w:rFonts w:hAnsi="Times New Roman"/>
        </w:rPr>
      </w:pPr>
    </w:p>
    <w:p>
      <w:pPr>
        <w:pStyle w:val="11"/>
        <w:ind w:firstLine="560"/>
        <w:rPr>
          <w:rFonts w:hAnsi="Times New Roman"/>
        </w:rPr>
        <w:sectPr>
          <w:headerReference r:id="rId3" w:type="default"/>
          <w:footerReference r:id="rId4" w:type="default"/>
          <w:pgSz w:w="11906" w:h="16838"/>
          <w:pgMar w:top="1418" w:right="1588" w:bottom="1418" w:left="1588" w:header="851" w:footer="851" w:gutter="0"/>
          <w:pgNumType w:fmt="upperRoman" w:start="1"/>
          <w:cols w:space="425" w:num="1"/>
          <w:docGrid w:type="lines" w:linePitch="312" w:charSpace="0"/>
        </w:sectPr>
      </w:pPr>
    </w:p>
    <w:p>
      <w:pPr>
        <w:pStyle w:val="2"/>
        <w:spacing w:before="240" w:after="240" w:line="660" w:lineRule="exact"/>
      </w:pPr>
      <w:bookmarkStart w:id="0" w:name="_Toc96938913"/>
      <w:r>
        <w:rPr>
          <w:rFonts w:hint="eastAsia"/>
        </w:rPr>
        <w:t>一、概述</w:t>
      </w:r>
      <w:bookmarkEnd w:id="0"/>
    </w:p>
    <w:p>
      <w:pPr>
        <w:pStyle w:val="3"/>
        <w:spacing w:line="660" w:lineRule="exact"/>
      </w:pPr>
      <w:bookmarkStart w:id="1" w:name="_Toc96938914"/>
      <w:r>
        <w:rPr>
          <w:rFonts w:hint="eastAsia"/>
        </w:rPr>
        <w:t>（一）编制背景</w:t>
      </w:r>
      <w:bookmarkEnd w:id="1"/>
    </w:p>
    <w:p>
      <w:pPr>
        <w:pStyle w:val="11"/>
        <w:spacing w:line="660" w:lineRule="exact"/>
        <w:ind w:firstLine="560"/>
        <w:rPr>
          <w:rFonts w:hAnsi="Times New Roman"/>
        </w:rPr>
      </w:pPr>
      <w:r>
        <w:rPr>
          <w:rFonts w:hint="eastAsia" w:hAnsi="Times New Roman"/>
        </w:rPr>
        <w:t>成片开发，是指在国土空间规划确定的城镇开发边界内的集中建设区，由县级以上地方人民政府组织的对一定范围的土地进行的综合性开发建设活动。</w:t>
      </w:r>
    </w:p>
    <w:p>
      <w:pPr>
        <w:pStyle w:val="11"/>
        <w:spacing w:line="660" w:lineRule="exact"/>
        <w:ind w:firstLine="560"/>
        <w:rPr>
          <w:rFonts w:hAnsi="Times New Roman"/>
        </w:rPr>
      </w:pPr>
      <w:r>
        <w:rPr>
          <w:rFonts w:hint="eastAsia" w:hAnsi="Times New Roman"/>
        </w:rPr>
        <w:t>土地征收成片开发应当坚持新发展理念，以人民为中心，注重保护耕地，注重维护农民合法权益，注重节约集约用地，注重生态环境保护，促进当地经济社会可持续发展。</w:t>
      </w:r>
    </w:p>
    <w:p>
      <w:pPr>
        <w:pStyle w:val="11"/>
        <w:spacing w:line="660" w:lineRule="exact"/>
        <w:ind w:firstLine="560"/>
        <w:rPr>
          <w:rFonts w:hAnsi="Times New Roman"/>
        </w:rPr>
      </w:pPr>
      <w:r>
        <w:rPr>
          <w:rFonts w:hint="eastAsia" w:hAnsi="Times New Roman"/>
        </w:rPr>
        <w:t>深圳市深汕特别合作区（以下简称“合作区”）加速推进深汕智造城建设，依托西南部片区鹅埠镇先进制造集聚区先发优势，与小漠国际物流港口岸经济联动发展，探索“智造+城市”营城模式，实现以产兴城、产城融合。积极对接深圳“20+7”产业集群，打造包括智能网联汽车、新能源、节能环保、新材料、海洋经济等5大产业集群的一流产业新城。</w:t>
      </w:r>
    </w:p>
    <w:p>
      <w:pPr>
        <w:pStyle w:val="11"/>
        <w:spacing w:line="660" w:lineRule="exact"/>
        <w:ind w:firstLine="560"/>
        <w:rPr>
          <w:rFonts w:hAnsi="Times New Roman"/>
        </w:rPr>
      </w:pPr>
      <w:r>
        <w:rPr>
          <w:rFonts w:hint="eastAsia" w:hAnsi="Times New Roman"/>
        </w:rPr>
        <w:t>为落实新能源汽车产业基地项目用地，合作区编制《深圳市深汕特别合作区2022年度土地征收成片开发方案》（以下简称“方案”），为后续的土地征收提供指导与依据，以保障项目用地。</w:t>
      </w:r>
    </w:p>
    <w:p>
      <w:bookmarkStart w:id="2" w:name="_Toc88218432"/>
      <w:r>
        <w:rPr>
          <w:rFonts w:hint="eastAsia"/>
        </w:rPr>
        <w:br w:type="page"/>
      </w:r>
    </w:p>
    <w:p>
      <w:pPr>
        <w:pStyle w:val="3"/>
        <w:spacing w:line="660" w:lineRule="exact"/>
      </w:pPr>
      <w:bookmarkStart w:id="3" w:name="_Toc96938915"/>
      <w:r>
        <w:rPr>
          <w:rFonts w:hint="eastAsia"/>
        </w:rPr>
        <w:t>（二）编制原则</w:t>
      </w:r>
      <w:bookmarkEnd w:id="3"/>
    </w:p>
    <w:p>
      <w:pPr>
        <w:pStyle w:val="11"/>
        <w:spacing w:line="660" w:lineRule="exact"/>
        <w:ind w:firstLine="560"/>
        <w:rPr>
          <w:rFonts w:hAnsi="Times New Roman" w:eastAsia="TimesNewRomanPSMT" w:cs="TimesNewRomanPSMT"/>
          <w:lang w:bidi="ar"/>
        </w:rPr>
      </w:pPr>
      <w:r>
        <w:rPr>
          <w:rFonts w:hint="eastAsia" w:hAnsi="Times New Roman"/>
          <w:lang w:bidi="ar"/>
        </w:rPr>
        <w:t>本</w:t>
      </w:r>
      <w:r>
        <w:rPr>
          <w:rFonts w:hAnsi="Times New Roman"/>
          <w:lang w:bidi="ar"/>
        </w:rPr>
        <w:t>方案编制以“依法依规、保护优先、集约节约</w:t>
      </w:r>
      <w:r>
        <w:rPr>
          <w:rFonts w:hint="eastAsia" w:hAnsi="Times New Roman"/>
          <w:lang w:bidi="ar"/>
        </w:rPr>
        <w:t>用地</w:t>
      </w:r>
      <w:r>
        <w:rPr>
          <w:rFonts w:hAnsi="Times New Roman"/>
          <w:lang w:bidi="ar"/>
        </w:rPr>
        <w:t>”</w:t>
      </w:r>
      <w:r>
        <w:rPr>
          <w:rFonts w:hint="eastAsia" w:hAnsi="Times New Roman"/>
          <w:lang w:bidi="ar"/>
        </w:rPr>
        <w:t>为原则，注重耕地及生态环境保护，切实维护农民合法权益，注重节约集约用地，力求推动经济社会的高质量发展。</w:t>
      </w:r>
    </w:p>
    <w:p>
      <w:pPr>
        <w:pStyle w:val="4"/>
        <w:spacing w:line="660" w:lineRule="exact"/>
        <w:rPr>
          <w:lang w:bidi="ar"/>
        </w:rPr>
      </w:pPr>
      <w:r>
        <w:rPr>
          <w:rFonts w:hint="eastAsia"/>
          <w:lang w:bidi="ar"/>
        </w:rPr>
        <w:t>1．依法依规</w:t>
      </w:r>
    </w:p>
    <w:p>
      <w:pPr>
        <w:pStyle w:val="11"/>
        <w:spacing w:line="660" w:lineRule="exact"/>
        <w:ind w:firstLine="560"/>
        <w:rPr>
          <w:rFonts w:hAnsi="Times New Roman"/>
        </w:rPr>
      </w:pPr>
      <w:r>
        <w:rPr>
          <w:rFonts w:hAnsi="Times New Roman"/>
          <w:lang w:bidi="ar"/>
        </w:rPr>
        <w:t>成片开发应</w:t>
      </w:r>
      <w:r>
        <w:rPr>
          <w:rFonts w:hint="eastAsia" w:hAnsi="Times New Roman"/>
          <w:lang w:bidi="ar"/>
        </w:rPr>
        <w:t>符合</w:t>
      </w:r>
      <w:r>
        <w:rPr>
          <w:rFonts w:hAnsi="Times New Roman"/>
          <w:lang w:bidi="ar"/>
        </w:rPr>
        <w:t>相关法律</w:t>
      </w:r>
      <w:r>
        <w:rPr>
          <w:rFonts w:hint="eastAsia" w:hAnsi="Times New Roman"/>
          <w:lang w:bidi="ar"/>
        </w:rPr>
        <w:t>、</w:t>
      </w:r>
      <w:r>
        <w:rPr>
          <w:rFonts w:hAnsi="Times New Roman"/>
          <w:lang w:bidi="ar"/>
        </w:rPr>
        <w:t>法规和</w:t>
      </w:r>
      <w:r>
        <w:rPr>
          <w:rFonts w:hint="eastAsia" w:hAnsi="Times New Roman"/>
          <w:lang w:bidi="ar"/>
        </w:rPr>
        <w:t>规范性文件规定</w:t>
      </w:r>
      <w:r>
        <w:rPr>
          <w:rFonts w:hAnsi="Times New Roman"/>
          <w:lang w:bidi="ar"/>
        </w:rPr>
        <w:t>，符合国民经济和社会发展规划、</w:t>
      </w:r>
      <w:r>
        <w:rPr>
          <w:rFonts w:hint="eastAsia" w:hAnsi="Times New Roman"/>
          <w:lang w:bidi="ar"/>
        </w:rPr>
        <w:t>国土空间规划、城市总体规划纲要、控制性详细规划和土地利用总体规划，符合国家产业政策和供地政策。</w:t>
      </w:r>
    </w:p>
    <w:p>
      <w:pPr>
        <w:pStyle w:val="4"/>
        <w:spacing w:line="660" w:lineRule="exact"/>
      </w:pPr>
      <w:r>
        <w:rPr>
          <w:rFonts w:hint="eastAsia"/>
          <w:lang w:bidi="ar"/>
        </w:rPr>
        <w:t>2．保护优先</w:t>
      </w:r>
    </w:p>
    <w:p>
      <w:pPr>
        <w:pStyle w:val="11"/>
        <w:spacing w:line="660" w:lineRule="exact"/>
        <w:ind w:firstLine="560"/>
        <w:rPr>
          <w:rFonts w:hAnsi="Times New Roman"/>
          <w:lang w:bidi="ar"/>
        </w:rPr>
      </w:pPr>
      <w:r>
        <w:rPr>
          <w:rFonts w:hint="eastAsia" w:hAnsi="Times New Roman"/>
          <w:lang w:bidi="ar"/>
        </w:rPr>
        <w:t>成片开发应落实最严格的耕地和基本农田保护制度，尽量避让稳定优质耕地，不占用永久基本农田；严格保护生态环境，统筹“山、水、林、田、湖、草”要素布局并进行统一保护，严格避让生态保护红线及其他重要的生态空间。</w:t>
      </w:r>
    </w:p>
    <w:p>
      <w:pPr>
        <w:pStyle w:val="4"/>
        <w:spacing w:line="660" w:lineRule="exact"/>
      </w:pPr>
      <w:r>
        <w:rPr>
          <w:rFonts w:hint="eastAsia"/>
          <w:lang w:bidi="ar"/>
        </w:rPr>
        <w:t>3．节约集约</w:t>
      </w:r>
      <w:r>
        <w:rPr>
          <w:lang w:bidi="ar"/>
        </w:rPr>
        <w:t xml:space="preserve">用地 </w:t>
      </w:r>
    </w:p>
    <w:p>
      <w:pPr>
        <w:pStyle w:val="11"/>
        <w:spacing w:line="660" w:lineRule="exact"/>
        <w:ind w:firstLine="560"/>
        <w:rPr>
          <w:rFonts w:hAnsi="Times New Roman"/>
          <w:lang w:bidi="ar"/>
        </w:rPr>
      </w:pPr>
      <w:r>
        <w:rPr>
          <w:rFonts w:hint="eastAsia" w:hAnsi="Times New Roman"/>
          <w:lang w:bidi="ar"/>
        </w:rPr>
        <w:t>成片开发应注重规划引领和连片开发建设，坚持节约集约利用土地资源。建设先进制造业集中承载区有利于提高用地空间布局的合理性与科学性，优化资源配置，提高土地利用效率。</w:t>
      </w:r>
    </w:p>
    <w:p>
      <w:r>
        <w:rPr>
          <w:rFonts w:hint="eastAsia"/>
        </w:rPr>
        <w:br w:type="page"/>
      </w:r>
    </w:p>
    <w:p>
      <w:pPr>
        <w:pStyle w:val="3"/>
        <w:spacing w:line="660" w:lineRule="exact"/>
      </w:pPr>
      <w:bookmarkStart w:id="4" w:name="_Toc96938916"/>
      <w:r>
        <w:rPr>
          <w:rFonts w:hint="eastAsia"/>
        </w:rPr>
        <w:t>（三）编制依据</w:t>
      </w:r>
      <w:bookmarkEnd w:id="2"/>
      <w:bookmarkEnd w:id="4"/>
    </w:p>
    <w:p>
      <w:pPr>
        <w:pStyle w:val="11"/>
        <w:spacing w:line="660" w:lineRule="exact"/>
        <w:ind w:firstLine="560"/>
        <w:rPr>
          <w:rFonts w:hAnsi="Times New Roman"/>
        </w:rPr>
      </w:pPr>
      <w:r>
        <w:rPr>
          <w:rFonts w:hint="eastAsia" w:hAnsi="Times New Roman"/>
        </w:rPr>
        <w:t>1．《中华人民共和国土地管理法》（2019年修正）；</w:t>
      </w:r>
    </w:p>
    <w:p>
      <w:pPr>
        <w:pStyle w:val="11"/>
        <w:spacing w:line="660" w:lineRule="exact"/>
        <w:ind w:firstLine="560"/>
        <w:rPr>
          <w:rFonts w:hAnsi="Times New Roman"/>
        </w:rPr>
      </w:pPr>
      <w:r>
        <w:rPr>
          <w:rFonts w:hint="eastAsia" w:hAnsi="Times New Roman"/>
        </w:rPr>
        <w:t>2．《中华人民共和国城乡规划法》（2019年修正）；</w:t>
      </w:r>
    </w:p>
    <w:p>
      <w:pPr>
        <w:pStyle w:val="11"/>
        <w:spacing w:line="660" w:lineRule="exact"/>
        <w:ind w:firstLine="560"/>
        <w:rPr>
          <w:rFonts w:hAnsi="Times New Roman"/>
        </w:rPr>
      </w:pPr>
      <w:r>
        <w:rPr>
          <w:rFonts w:hint="eastAsia" w:hAnsi="Times New Roman"/>
        </w:rPr>
        <w:t>3．《中华人民共和国土地管理法实施条例》（2021年修订）；</w:t>
      </w:r>
    </w:p>
    <w:p>
      <w:pPr>
        <w:pStyle w:val="11"/>
        <w:spacing w:line="660" w:lineRule="exact"/>
        <w:ind w:firstLine="560"/>
        <w:rPr>
          <w:rFonts w:hAnsi="Times New Roman"/>
        </w:rPr>
      </w:pPr>
      <w:r>
        <w:rPr>
          <w:rFonts w:hint="eastAsia" w:hAnsi="Times New Roman"/>
        </w:rPr>
        <w:t>4．《自然资源部关于印发〈土地征收成片开发标准（试行）〉的通知》（自然资规〔2020〕5号）；</w:t>
      </w:r>
    </w:p>
    <w:p>
      <w:pPr>
        <w:pStyle w:val="11"/>
        <w:spacing w:line="660" w:lineRule="exact"/>
        <w:ind w:firstLine="560"/>
        <w:rPr>
          <w:rFonts w:hAnsi="Times New Roman"/>
        </w:rPr>
      </w:pPr>
      <w:r>
        <w:rPr>
          <w:rFonts w:hint="eastAsia" w:hAnsi="Times New Roman"/>
        </w:rPr>
        <w:t>5．《广东省自然资源厅关于规范土地征收成片开发工作的通知》（粤自然资发〔2021〕20号）；</w:t>
      </w:r>
    </w:p>
    <w:p>
      <w:pPr>
        <w:pStyle w:val="11"/>
        <w:spacing w:line="660" w:lineRule="exact"/>
        <w:ind w:firstLine="560"/>
        <w:rPr>
          <w:rFonts w:hAnsi="Times New Roman"/>
        </w:rPr>
      </w:pPr>
      <w:r>
        <w:rPr>
          <w:rFonts w:hint="eastAsia" w:hAnsi="Times New Roman"/>
        </w:rPr>
        <w:t>6．《广东省自然资源厅关于进一步明确建设用地审批有关要求的通知》（粤自然资管制〔2021〕1379号）；</w:t>
      </w:r>
    </w:p>
    <w:p>
      <w:pPr>
        <w:pStyle w:val="11"/>
        <w:spacing w:line="660" w:lineRule="exact"/>
        <w:ind w:firstLine="560"/>
        <w:rPr>
          <w:rFonts w:hAnsi="Times New Roman"/>
        </w:rPr>
      </w:pPr>
      <w:r>
        <w:rPr>
          <w:rFonts w:hint="eastAsia" w:hAnsi="Times New Roman"/>
        </w:rPr>
        <w:t>7．《深汕特别合作区土地利用总体规划（2010-2020年）调整完善方案》；</w:t>
      </w:r>
    </w:p>
    <w:p>
      <w:pPr>
        <w:pStyle w:val="11"/>
        <w:spacing w:line="660" w:lineRule="exact"/>
        <w:ind w:firstLine="560"/>
        <w:rPr>
          <w:rFonts w:hAnsi="Times New Roman"/>
        </w:rPr>
      </w:pPr>
      <w:r>
        <w:rPr>
          <w:rFonts w:hint="eastAsia" w:hAnsi="Times New Roman"/>
        </w:rPr>
        <w:t>8．《深圳市深汕特别合作区总体规划（2020-2035年）纲要》；</w:t>
      </w:r>
    </w:p>
    <w:p>
      <w:pPr>
        <w:pStyle w:val="11"/>
        <w:spacing w:line="660" w:lineRule="exact"/>
        <w:ind w:firstLine="560"/>
        <w:rPr>
          <w:rFonts w:hAnsi="Times New Roman"/>
        </w:rPr>
      </w:pPr>
      <w:r>
        <w:rPr>
          <w:rFonts w:hint="eastAsia" w:hAnsi="Times New Roman"/>
        </w:rPr>
        <w:t>9．《深汕特别合作区小漠港区控制性详细规划》（2</w:t>
      </w:r>
      <w:r>
        <w:rPr>
          <w:rFonts w:hAnsi="Times New Roman"/>
        </w:rPr>
        <w:t>02</w:t>
      </w:r>
      <w:r>
        <w:rPr>
          <w:rFonts w:hint="eastAsia" w:hAnsi="Times New Roman"/>
        </w:rPr>
        <w:t>2年）；</w:t>
      </w:r>
    </w:p>
    <w:p>
      <w:pPr>
        <w:pStyle w:val="11"/>
        <w:spacing w:line="660" w:lineRule="exact"/>
        <w:ind w:firstLine="560"/>
        <w:rPr>
          <w:rFonts w:hAnsi="Times New Roman"/>
        </w:rPr>
      </w:pPr>
      <w:r>
        <w:rPr>
          <w:rFonts w:hint="eastAsia" w:hAnsi="Times New Roman"/>
        </w:rPr>
        <w:t>1</w:t>
      </w:r>
      <w:r>
        <w:rPr>
          <w:rFonts w:hAnsi="Times New Roman"/>
        </w:rPr>
        <w:t>0</w:t>
      </w:r>
      <w:r>
        <w:rPr>
          <w:rFonts w:hint="eastAsia" w:hAnsi="Times New Roman"/>
        </w:rPr>
        <w:t>．《自然资源部办公厅关于印发〈国土空间调查、规划、用途管制用地用海分类指南（试行）〉的通知》（自然资办发〔2020〕51号）；</w:t>
      </w:r>
    </w:p>
    <w:p>
      <w:pPr>
        <w:pStyle w:val="11"/>
        <w:spacing w:line="660" w:lineRule="exact"/>
        <w:ind w:firstLine="560"/>
        <w:rPr>
          <w:rFonts w:hAnsi="Times New Roman"/>
        </w:rPr>
      </w:pPr>
      <w:r>
        <w:rPr>
          <w:rFonts w:hint="eastAsia" w:hAnsi="Times New Roman"/>
        </w:rPr>
        <w:t>1</w:t>
      </w:r>
      <w:r>
        <w:rPr>
          <w:rFonts w:hAnsi="Times New Roman"/>
        </w:rPr>
        <w:t>1</w:t>
      </w:r>
      <w:r>
        <w:rPr>
          <w:rFonts w:hint="eastAsia" w:hAnsi="Times New Roman"/>
        </w:rPr>
        <w:t>．深汕特别合作区2018年土地利用变更调查成果；</w:t>
      </w:r>
    </w:p>
    <w:p>
      <w:pPr>
        <w:pStyle w:val="11"/>
        <w:spacing w:line="660" w:lineRule="exact"/>
        <w:ind w:firstLine="560"/>
        <w:rPr>
          <w:rFonts w:hAnsi="Times New Roman"/>
        </w:rPr>
      </w:pPr>
      <w:r>
        <w:rPr>
          <w:rFonts w:hint="eastAsia" w:hAnsi="Times New Roman"/>
        </w:rPr>
        <w:t>1</w:t>
      </w:r>
      <w:r>
        <w:rPr>
          <w:rFonts w:hAnsi="Times New Roman"/>
        </w:rPr>
        <w:t>2</w:t>
      </w:r>
      <w:r>
        <w:rPr>
          <w:rFonts w:hint="eastAsia" w:hAnsi="Times New Roman"/>
        </w:rPr>
        <w:t>．深汕特别合作区2018年度耕地质量等别年度更新评价成果。</w:t>
      </w:r>
    </w:p>
    <w:p>
      <w:bookmarkStart w:id="5" w:name="_Toc88218433"/>
      <w:r>
        <w:rPr>
          <w:rFonts w:hint="eastAsia"/>
        </w:rPr>
        <w:br w:type="page"/>
      </w:r>
    </w:p>
    <w:p>
      <w:pPr>
        <w:pStyle w:val="3"/>
        <w:spacing w:line="660" w:lineRule="exact"/>
      </w:pPr>
      <w:bookmarkStart w:id="6" w:name="_Toc96938917"/>
      <w:r>
        <w:rPr>
          <w:rFonts w:hint="eastAsia"/>
        </w:rPr>
        <w:t>（四）编制条件</w:t>
      </w:r>
      <w:bookmarkEnd w:id="6"/>
    </w:p>
    <w:p>
      <w:pPr>
        <w:pStyle w:val="11"/>
        <w:spacing w:line="660" w:lineRule="exact"/>
        <w:ind w:firstLine="560"/>
        <w:rPr>
          <w:rFonts w:hAnsi="Times New Roman"/>
        </w:rPr>
        <w:sectPr>
          <w:headerReference r:id="rId5" w:type="default"/>
          <w:footerReference r:id="rId6" w:type="default"/>
          <w:pgSz w:w="11906" w:h="16838"/>
          <w:pgMar w:top="1418" w:right="1588" w:bottom="1418" w:left="1588" w:header="851" w:footer="851" w:gutter="0"/>
          <w:pgNumType w:start="1"/>
          <w:cols w:space="425" w:num="1"/>
          <w:docGrid w:type="lines" w:linePitch="312" w:charSpace="0"/>
        </w:sectPr>
      </w:pPr>
      <w:r>
        <w:rPr>
          <w:rFonts w:hint="eastAsia" w:hAnsi="Times New Roman"/>
        </w:rPr>
        <w:t>本次成片开发范围内土地规划用途以土地利用总体规划确定的城乡建设用地为主。合作区已启动相关规划调整工作，已出具成片开发范围用地布局及规模纳入正在编制的规划期至2035年的国土空间规划的城镇开发边界集中建设区的承诺，确保成片开发范围用地位于国土空间规划确定的城镇开发边界内的集中建设区。成片开发范围内拟安排的项目已纳入当地国民经济和社会发展年度计划。成片开发范围内公益性用地比例为</w:t>
      </w:r>
      <w:r>
        <w:rPr>
          <w:rFonts w:hAnsi="Times New Roman"/>
        </w:rPr>
        <w:t>40.</w:t>
      </w:r>
      <w:r>
        <w:rPr>
          <w:rFonts w:hint="eastAsia" w:hAnsi="Times New Roman"/>
        </w:rPr>
        <w:t>44</w:t>
      </w:r>
      <w:r>
        <w:rPr>
          <w:rFonts w:hAnsi="Times New Roman"/>
        </w:rPr>
        <w:t>%</w:t>
      </w:r>
      <w:r>
        <w:rPr>
          <w:rFonts w:hint="eastAsia" w:hAnsi="Times New Roman"/>
        </w:rPr>
        <w:t>，拟征收土地比例为</w:t>
      </w:r>
      <w:r>
        <w:rPr>
          <w:rFonts w:hint="eastAsia"/>
        </w:rPr>
        <w:t>91.19</w:t>
      </w:r>
      <w:r>
        <w:rPr>
          <w:rFonts w:hAnsi="Times New Roman"/>
        </w:rPr>
        <w:t>%</w:t>
      </w:r>
      <w:r>
        <w:rPr>
          <w:rFonts w:hint="eastAsia" w:hAnsi="Times New Roman"/>
        </w:rPr>
        <w:t>，符合国家及广东省相关规范要求。</w:t>
      </w:r>
    </w:p>
    <w:bookmarkEnd w:id="5"/>
    <w:p>
      <w:pPr>
        <w:pStyle w:val="2"/>
        <w:spacing w:before="240" w:after="240" w:line="660" w:lineRule="exact"/>
      </w:pPr>
      <w:bookmarkStart w:id="7" w:name="_Toc96938918"/>
      <w:r>
        <w:rPr>
          <w:rFonts w:hint="eastAsia"/>
        </w:rPr>
        <w:t>二、成片开发基本情况</w:t>
      </w:r>
      <w:bookmarkEnd w:id="7"/>
    </w:p>
    <w:p>
      <w:pPr>
        <w:pStyle w:val="3"/>
        <w:spacing w:line="660" w:lineRule="exact"/>
      </w:pPr>
      <w:bookmarkStart w:id="8" w:name="_Toc96938919"/>
      <w:r>
        <w:rPr>
          <w:rFonts w:hint="eastAsia"/>
        </w:rPr>
        <w:t>（一）区域概况</w:t>
      </w:r>
      <w:bookmarkEnd w:id="8"/>
    </w:p>
    <w:p>
      <w:pPr>
        <w:tabs>
          <w:tab w:val="left" w:pos="9180"/>
        </w:tabs>
        <w:spacing w:line="660" w:lineRule="exact"/>
        <w:ind w:right="161" w:rightChars="73" w:firstLine="560" w:firstLineChars="200"/>
        <w:jc w:val="left"/>
        <w:rPr>
          <w:rFonts w:cs="Times New Roman"/>
          <w:bCs/>
          <w:sz w:val="28"/>
          <w:szCs w:val="28"/>
        </w:rPr>
      </w:pPr>
      <w:r>
        <w:rPr>
          <w:rFonts w:hint="eastAsia" w:cs="Times New Roman"/>
          <w:bCs/>
          <w:sz w:val="28"/>
          <w:szCs w:val="28"/>
        </w:rPr>
        <w:t>合作区位于广东省东南部，粤港澳大湾区最东端，西北与惠州市惠东县接壤，东与汕尾市海丰县相连，总面积468.3平方公里，由鹅埠、小</w:t>
      </w:r>
      <w:r>
        <w:rPr>
          <w:rFonts w:hint="eastAsia" w:ascii="仿宋_GB2312" w:cs="Times New Roman"/>
          <w:bCs/>
          <w:sz w:val="28"/>
          <w:szCs w:val="28"/>
        </w:rPr>
        <w:t>漠、赤石、</w:t>
      </w:r>
      <w:r>
        <w:rPr>
          <w:rFonts w:hint="eastAsia" w:ascii="仿宋_GB2312" w:cs="宋体"/>
          <w:bCs/>
          <w:sz w:val="28"/>
          <w:szCs w:val="28"/>
        </w:rPr>
        <w:t>鲘</w:t>
      </w:r>
      <w:r>
        <w:rPr>
          <w:rFonts w:hint="eastAsia" w:ascii="仿宋_GB2312" w:cs="仿宋_GB2312"/>
          <w:bCs/>
          <w:sz w:val="28"/>
          <w:szCs w:val="28"/>
        </w:rPr>
        <w:t>门四镇组成，</w:t>
      </w:r>
      <w:r>
        <w:rPr>
          <w:rFonts w:hint="eastAsia" w:cs="Times New Roman"/>
          <w:bCs/>
          <w:sz w:val="28"/>
          <w:szCs w:val="28"/>
        </w:rPr>
        <w:t>常住人口约</w:t>
      </w:r>
      <w:r>
        <w:rPr>
          <w:rFonts w:cs="Times New Roman"/>
          <w:bCs/>
          <w:sz w:val="28"/>
          <w:szCs w:val="28"/>
        </w:rPr>
        <w:t>9</w:t>
      </w:r>
      <w:r>
        <w:rPr>
          <w:rFonts w:hint="eastAsia" w:cs="Times New Roman"/>
          <w:bCs/>
          <w:sz w:val="28"/>
          <w:szCs w:val="28"/>
        </w:rPr>
        <w:t>万人，海域面积1152平方公里。</w:t>
      </w:r>
    </w:p>
    <w:p>
      <w:pPr>
        <w:tabs>
          <w:tab w:val="left" w:pos="9180"/>
        </w:tabs>
        <w:spacing w:line="660" w:lineRule="exact"/>
        <w:ind w:right="161" w:rightChars="73" w:firstLine="560" w:firstLineChars="200"/>
        <w:jc w:val="left"/>
        <w:rPr>
          <w:rFonts w:ascii="仿宋_GB2312" w:cs="Times New Roman"/>
          <w:bCs/>
          <w:sz w:val="24"/>
        </w:rPr>
      </w:pPr>
      <w:r>
        <w:rPr>
          <w:rFonts w:hint="eastAsia" w:cs="Times New Roman"/>
          <w:bCs/>
          <w:sz w:val="28"/>
          <w:szCs w:val="28"/>
        </w:rPr>
        <w:t>合作区距深圳市东部约60公里，离市中心约120公里。区位优势明显，对外交通便捷，是粤港澳大湾区向粤东沿海经济带辐射的重要战略增长极。</w:t>
      </w:r>
    </w:p>
    <w:p>
      <w:pPr>
        <w:tabs>
          <w:tab w:val="left" w:pos="9180"/>
        </w:tabs>
        <w:ind w:right="161" w:rightChars="73"/>
        <w:rPr>
          <w:rFonts w:ascii="仿宋_GB2312" w:cs="Times New Roman"/>
          <w:bCs/>
          <w:sz w:val="24"/>
        </w:rPr>
      </w:pPr>
      <w:r>
        <w:rPr>
          <w:rFonts w:eastAsia="宋体" w:cs="Times New Roman"/>
          <w:bCs/>
          <w:sz w:val="24"/>
        </w:rPr>
        <w:drawing>
          <wp:inline distT="0" distB="0" distL="0" distR="0">
            <wp:extent cx="5565775" cy="364871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567692" cy="3649685"/>
                    </a:xfrm>
                    <a:prstGeom prst="rect">
                      <a:avLst/>
                    </a:prstGeom>
                  </pic:spPr>
                </pic:pic>
              </a:graphicData>
            </a:graphic>
          </wp:inline>
        </w:drawing>
      </w:r>
    </w:p>
    <w:p>
      <w:pPr>
        <w:pStyle w:val="11"/>
        <w:ind w:firstLine="2409" w:firstLineChars="1000"/>
        <w:rPr>
          <w:rFonts w:hAnsi="Times New Roman"/>
          <w:b/>
          <w:sz w:val="24"/>
        </w:rPr>
      </w:pPr>
      <w:r>
        <w:rPr>
          <w:rFonts w:hint="eastAsia" w:hAnsi="Times New Roman"/>
          <w:b/>
          <w:sz w:val="24"/>
        </w:rPr>
        <w:t>图1  深汕特别合作区位置示意图</w:t>
      </w:r>
    </w:p>
    <w:p>
      <w:pPr>
        <w:pStyle w:val="4"/>
        <w:spacing w:line="660" w:lineRule="exact"/>
        <w:ind w:left="567" w:firstLine="0"/>
      </w:pPr>
      <w:r>
        <w:rPr>
          <w:rFonts w:hint="eastAsia"/>
        </w:rPr>
        <w:t>1．地形地貌</w:t>
      </w:r>
    </w:p>
    <w:p>
      <w:pPr>
        <w:spacing w:line="660" w:lineRule="exact"/>
        <w:ind w:firstLine="560" w:firstLineChars="200"/>
        <w:jc w:val="left"/>
        <w:rPr>
          <w:sz w:val="28"/>
          <w:szCs w:val="28"/>
        </w:rPr>
      </w:pPr>
      <w:r>
        <w:rPr>
          <w:rFonts w:hint="eastAsia"/>
          <w:sz w:val="28"/>
          <w:szCs w:val="28"/>
        </w:rPr>
        <w:t>合作区属于珠江三角洲以东的粤东沿海丘陵地带，北、东、西三面环山，南邻红海湾，地势东北部高亢，西南部地平。</w:t>
      </w:r>
    </w:p>
    <w:p>
      <w:pPr>
        <w:spacing w:line="660" w:lineRule="exact"/>
        <w:ind w:firstLine="560" w:firstLineChars="200"/>
        <w:jc w:val="left"/>
        <w:rPr>
          <w:szCs w:val="28"/>
        </w:rPr>
      </w:pPr>
      <w:r>
        <w:rPr>
          <w:rFonts w:hint="eastAsia"/>
          <w:sz w:val="28"/>
          <w:szCs w:val="28"/>
        </w:rPr>
        <w:t>合作区海岸线全长</w:t>
      </w:r>
      <w:r>
        <w:rPr>
          <w:sz w:val="28"/>
          <w:szCs w:val="28"/>
        </w:rPr>
        <w:t>50.9</w:t>
      </w:r>
      <w:r>
        <w:rPr>
          <w:rFonts w:hint="eastAsia"/>
          <w:sz w:val="28"/>
          <w:szCs w:val="28"/>
        </w:rPr>
        <w:t>公里，海洋资源丰富。</w:t>
      </w:r>
      <w:r>
        <w:rPr>
          <w:rFonts w:hint="eastAsia" w:ascii="仿宋_GB2312" w:hAnsi="宋体" w:cs="宋体"/>
          <w:sz w:val="28"/>
          <w:szCs w:val="28"/>
        </w:rPr>
        <w:t>鲘</w:t>
      </w:r>
      <w:r>
        <w:rPr>
          <w:rFonts w:hint="eastAsia" w:ascii="仿宋_GB2312"/>
          <w:sz w:val="28"/>
          <w:szCs w:val="28"/>
        </w:rPr>
        <w:t>门镇和</w:t>
      </w:r>
      <w:r>
        <w:rPr>
          <w:rFonts w:hint="eastAsia"/>
          <w:sz w:val="28"/>
          <w:szCs w:val="28"/>
        </w:rPr>
        <w:t>小漠镇临近大海，是合作区内主要的渔港和滨海旅游城镇。</w:t>
      </w:r>
    </w:p>
    <w:p>
      <w:pPr>
        <w:pStyle w:val="4"/>
        <w:spacing w:line="660" w:lineRule="exact"/>
      </w:pPr>
      <w:r>
        <w:rPr>
          <w:rFonts w:hint="eastAsia"/>
        </w:rPr>
        <w:t>2．水文气象</w:t>
      </w:r>
    </w:p>
    <w:p>
      <w:pPr>
        <w:spacing w:line="660" w:lineRule="exact"/>
        <w:ind w:firstLine="560" w:firstLineChars="200"/>
        <w:jc w:val="both"/>
        <w:rPr>
          <w:sz w:val="28"/>
          <w:szCs w:val="28"/>
        </w:rPr>
      </w:pPr>
      <w:r>
        <w:rPr>
          <w:rFonts w:hint="eastAsia"/>
          <w:sz w:val="28"/>
          <w:szCs w:val="28"/>
        </w:rPr>
        <w:t>合作区属亚热带季风气候，阳光雨量充足，由于面临南海，海洋性气候影响强烈，干湿季明显。据海丰县气象局资料统计，气象特征如下：</w:t>
      </w:r>
    </w:p>
    <w:p>
      <w:pPr>
        <w:spacing w:line="660" w:lineRule="exact"/>
        <w:ind w:firstLine="560" w:firstLineChars="200"/>
        <w:jc w:val="both"/>
        <w:rPr>
          <w:sz w:val="28"/>
          <w:szCs w:val="28"/>
        </w:rPr>
      </w:pPr>
      <w:r>
        <w:rPr>
          <w:rFonts w:hint="eastAsia"/>
          <w:sz w:val="28"/>
          <w:szCs w:val="28"/>
        </w:rPr>
        <w:t>合作区年均气温21.</w:t>
      </w:r>
      <w:r>
        <w:rPr>
          <w:sz w:val="28"/>
          <w:szCs w:val="28"/>
        </w:rPr>
        <w:t>8</w:t>
      </w:r>
      <w:r>
        <w:rPr>
          <w:rFonts w:hint="eastAsia"/>
          <w:sz w:val="28"/>
          <w:szCs w:val="28"/>
        </w:rPr>
        <w:t>℃，年均降雨量2400毫米，全年无霜期为 347 天，多年平均水面蒸发为1781.8mm，平均湿度 81%。</w:t>
      </w:r>
    </w:p>
    <w:p>
      <w:pPr>
        <w:spacing w:line="660" w:lineRule="exact"/>
        <w:ind w:firstLine="560" w:firstLineChars="200"/>
        <w:jc w:val="both"/>
        <w:rPr>
          <w:sz w:val="28"/>
          <w:szCs w:val="28"/>
        </w:rPr>
      </w:pPr>
      <w:r>
        <w:rPr>
          <w:rFonts w:hint="eastAsia"/>
          <w:sz w:val="28"/>
          <w:szCs w:val="28"/>
        </w:rPr>
        <w:t>合作区水系发达，可分为赤石河流域和独立入海的沿海小河两部分。流域面积在 50</w:t>
      </w:r>
      <w:r>
        <w:rPr>
          <w:sz w:val="28"/>
          <w:szCs w:val="28"/>
        </w:rPr>
        <w:t>km</w:t>
      </w:r>
      <w:r>
        <w:rPr>
          <w:rFonts w:hint="eastAsia"/>
          <w:sz w:val="28"/>
          <w:szCs w:val="28"/>
          <w:vertAlign w:val="superscript"/>
        </w:rPr>
        <w:t>2</w:t>
      </w:r>
      <w:r>
        <w:rPr>
          <w:rFonts w:hint="eastAsia"/>
          <w:sz w:val="28"/>
          <w:szCs w:val="28"/>
        </w:rPr>
        <w:t>以上的主要河流为赤石河及其两条支流，分别为明热河和南门河。</w:t>
      </w:r>
    </w:p>
    <w:p>
      <w:pPr>
        <w:pStyle w:val="4"/>
        <w:spacing w:line="660" w:lineRule="exact"/>
      </w:pPr>
      <w:r>
        <w:t>3</w:t>
      </w:r>
      <w:r>
        <w:rPr>
          <w:rFonts w:hint="eastAsia"/>
        </w:rPr>
        <w:t>．经济发展情况</w:t>
      </w:r>
    </w:p>
    <w:p>
      <w:pPr>
        <w:pStyle w:val="11"/>
        <w:spacing w:line="660" w:lineRule="exact"/>
        <w:ind w:firstLine="560"/>
        <w:rPr>
          <w:rFonts w:hAnsi="Times New Roman"/>
        </w:rPr>
      </w:pPr>
      <w:r>
        <w:rPr>
          <w:rFonts w:hint="eastAsia" w:hAnsi="Times New Roman"/>
        </w:rPr>
        <w:t>合作区依山面海，生态环境优良，现状开发程度较低，发展空间充裕，具备高起点高标准开发建设的基本条件；对外交通便捷，是粤港澳大湾区向粤东沿海经济带辐射的重要战略增长极，区位优势明显。</w:t>
      </w:r>
    </w:p>
    <w:p>
      <w:pPr>
        <w:pStyle w:val="11"/>
        <w:spacing w:line="660" w:lineRule="exact"/>
        <w:ind w:firstLine="560"/>
        <w:rPr>
          <w:rFonts w:hAnsi="Times New Roman"/>
        </w:rPr>
      </w:pPr>
      <w:r>
        <w:rPr>
          <w:rFonts w:hint="eastAsia" w:hAnsi="Times New Roman"/>
        </w:rPr>
        <w:t>合作区于2011年获批设立，2017年经广东省委、省政府批准调整体制机制，由深圳市全面主导建设发展。2020年，全区地区生产总值达到54.04亿元，增长5%。三产比例29:33:38，第三产业占比稳步提高。固定资产投资达125.43亿元，增速达37.4%。新登记商事主体1639户，同比增长23.42%；登记在册（存续）商事主体6859户，同比增长16.41%。合作区的经济社会发展已取得显著成效，为深汕合作区新一轮高标准高起点开发建设奠定坚实基础。</w:t>
      </w:r>
    </w:p>
    <w:p>
      <w:pPr>
        <w:pStyle w:val="11"/>
        <w:spacing w:line="660" w:lineRule="exact"/>
        <w:ind w:firstLine="560"/>
        <w:rPr>
          <w:rFonts w:hAnsi="Times New Roman"/>
        </w:rPr>
      </w:pPr>
      <w:r>
        <w:rPr>
          <w:rFonts w:hint="eastAsia" w:hAnsi="Times New Roman"/>
        </w:rPr>
        <w:t>合作区将坚持高质量发展，持续提升经济效益，加速集聚现代产业规模，积极导入粤港澳大湾区优势资源和带动粤东地区协调增长，实现经济社会发展全面进步。</w:t>
      </w:r>
    </w:p>
    <w:p>
      <w:r>
        <w:rPr>
          <w:rFonts w:hint="eastAsia"/>
        </w:rPr>
        <w:br w:type="page"/>
      </w:r>
    </w:p>
    <w:p>
      <w:pPr>
        <w:pStyle w:val="3"/>
        <w:spacing w:line="660" w:lineRule="exact"/>
      </w:pPr>
      <w:bookmarkStart w:id="9" w:name="_Toc96938920"/>
      <w:r>
        <w:rPr>
          <w:rFonts w:hint="eastAsia"/>
        </w:rPr>
        <w:t>（二）片区基本情况</w:t>
      </w:r>
      <w:bookmarkEnd w:id="9"/>
    </w:p>
    <w:p>
      <w:pPr>
        <w:pStyle w:val="4"/>
        <w:spacing w:line="660" w:lineRule="exact"/>
      </w:pPr>
      <w:bookmarkStart w:id="10" w:name="_Toc88675637"/>
      <w:bookmarkStart w:id="11" w:name="_Toc88647593"/>
      <w:r>
        <w:rPr>
          <w:rFonts w:hint="eastAsia"/>
        </w:rPr>
        <w:t>1．位置与范围</w:t>
      </w:r>
      <w:bookmarkEnd w:id="10"/>
      <w:bookmarkEnd w:id="11"/>
    </w:p>
    <w:p>
      <w:pPr>
        <w:pStyle w:val="11"/>
        <w:spacing w:line="660" w:lineRule="exact"/>
        <w:ind w:firstLine="560"/>
        <w:rPr>
          <w:rFonts w:hAnsi="Times New Roman"/>
        </w:rPr>
      </w:pPr>
      <w:r>
        <w:rPr>
          <w:rFonts w:hint="eastAsia" w:hAnsi="Times New Roman"/>
        </w:rPr>
        <w:t>本次成片开发范围为小漠先进制造业基地片区，共1个地块，位于小漠镇小漠港区，涉及小漠镇大澳村、东旺村、南香村、元新村、云新村，总面积为527.5923</w:t>
      </w:r>
      <w:r>
        <w:rPr>
          <w:rFonts w:hAnsi="Times New Roman"/>
        </w:rPr>
        <w:t>公顷</w:t>
      </w:r>
      <w:r>
        <w:rPr>
          <w:rFonts w:hint="eastAsia" w:hAnsi="Times New Roman"/>
        </w:rPr>
        <w:t>。</w:t>
      </w:r>
    </w:p>
    <w:p/>
    <w:p>
      <w:r>
        <w:drawing>
          <wp:inline distT="0" distB="0" distL="0" distR="0">
            <wp:extent cx="5310505" cy="3288030"/>
            <wp:effectExtent l="0" t="0" r="8255" b="3810"/>
            <wp:docPr id="2" name="图片 2" descr="F:\地理所\深汕\成片开发\2022\图件\1.成片开发范围分布图2.jpg1.成片开发范围分布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地理所\深汕\成片开发\2022\图件\1.成片开发范围分布图2.jpg1.成片开发范围分布图2"/>
                    <pic:cNvPicPr>
                      <a:picLocks noChangeAspect="1"/>
                    </pic:cNvPicPr>
                  </pic:nvPicPr>
                  <pic:blipFill>
                    <a:blip r:embed="rId9"/>
                    <a:srcRect/>
                    <a:stretch>
                      <a:fillRect/>
                    </a:stretch>
                  </pic:blipFill>
                  <pic:spPr>
                    <a:xfrm>
                      <a:off x="0" y="0"/>
                      <a:ext cx="5310505" cy="3288125"/>
                    </a:xfrm>
                    <a:prstGeom prst="rect">
                      <a:avLst/>
                    </a:prstGeom>
                  </pic:spPr>
                </pic:pic>
              </a:graphicData>
            </a:graphic>
          </wp:inline>
        </w:drawing>
      </w:r>
    </w:p>
    <w:p>
      <w:pPr>
        <w:pStyle w:val="14"/>
        <w:rPr>
          <w:lang w:val="en-US"/>
        </w:rPr>
      </w:pPr>
      <w:r>
        <w:rPr>
          <w:rFonts w:hint="eastAsia"/>
        </w:rPr>
        <w:t>图2  成片开发</w:t>
      </w:r>
      <w:r>
        <w:rPr>
          <w:rFonts w:hint="eastAsia"/>
          <w:lang w:val="en-US"/>
        </w:rPr>
        <w:t>地块位置示意图</w:t>
      </w:r>
    </w:p>
    <w:p>
      <w:pPr>
        <w:pStyle w:val="4"/>
        <w:spacing w:line="660" w:lineRule="exact"/>
      </w:pPr>
      <w:bookmarkStart w:id="12" w:name="_Toc88675638"/>
      <w:bookmarkStart w:id="13" w:name="_Toc88218439"/>
      <w:bookmarkStart w:id="14" w:name="_Toc88647594"/>
      <w:r>
        <w:rPr>
          <w:rFonts w:hint="eastAsia"/>
        </w:rPr>
        <w:t>2．土地权属情况</w:t>
      </w:r>
      <w:bookmarkEnd w:id="12"/>
      <w:bookmarkEnd w:id="13"/>
      <w:bookmarkEnd w:id="14"/>
    </w:p>
    <w:p>
      <w:pPr>
        <w:pStyle w:val="11"/>
        <w:spacing w:line="660" w:lineRule="exact"/>
        <w:ind w:firstLine="560"/>
        <w:rPr>
          <w:rFonts w:hAnsi="Times New Roman"/>
        </w:rPr>
      </w:pPr>
      <w:r>
        <w:rPr>
          <w:rFonts w:hint="eastAsia" w:hAnsi="Times New Roman"/>
        </w:rPr>
        <w:t>成片开发范围内包含集体土地481.1059 公顷和国有土地46.4864公顷，涉及东旺、元新、云新经济联合社及大澳村、东旺村、南香村、元新村、云新村属下相关农村集体经济组织的集体土地及小漠镇政府的国有土地，详见表1。</w:t>
      </w:r>
    </w:p>
    <w:p>
      <w:r>
        <w:rPr>
          <w:rFonts w:hint="eastAsia"/>
        </w:rPr>
        <w:br w:type="page"/>
      </w:r>
    </w:p>
    <w:p>
      <w:pPr>
        <w:pStyle w:val="14"/>
      </w:pPr>
      <w:r>
        <w:rPr>
          <w:rFonts w:hint="eastAsia"/>
        </w:rPr>
        <w:t>表1  成片开发范围涉及土地权属情况表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5730"/>
        <w:gridCol w:w="1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976" w:type="dxa"/>
            <w:vAlign w:val="center"/>
          </w:tcPr>
          <w:p>
            <w:pPr>
              <w:rPr>
                <w:rFonts w:cs="Times New Roman"/>
                <w:b/>
                <w:szCs w:val="22"/>
              </w:rPr>
            </w:pPr>
            <w:r>
              <w:rPr>
                <w:rFonts w:cs="Times New Roman"/>
                <w:b/>
                <w:szCs w:val="22"/>
              </w:rPr>
              <w:t>序号</w:t>
            </w:r>
          </w:p>
        </w:tc>
        <w:tc>
          <w:tcPr>
            <w:tcW w:w="5730" w:type="dxa"/>
            <w:vAlign w:val="center"/>
          </w:tcPr>
          <w:p>
            <w:pPr>
              <w:rPr>
                <w:rFonts w:cs="Times New Roman"/>
                <w:b/>
                <w:szCs w:val="22"/>
              </w:rPr>
            </w:pPr>
            <w:r>
              <w:rPr>
                <w:rFonts w:cs="Times New Roman"/>
                <w:b/>
                <w:szCs w:val="22"/>
              </w:rPr>
              <w:t>农村集体经济组织</w:t>
            </w:r>
          </w:p>
        </w:tc>
        <w:tc>
          <w:tcPr>
            <w:tcW w:w="1990" w:type="dxa"/>
            <w:vAlign w:val="center"/>
          </w:tcPr>
          <w:p>
            <w:pPr>
              <w:rPr>
                <w:rFonts w:cs="Times New Roman"/>
                <w:b/>
                <w:szCs w:val="22"/>
              </w:rPr>
            </w:pPr>
            <w:r>
              <w:rPr>
                <w:rFonts w:cs="Times New Roman"/>
                <w:b/>
                <w:szCs w:val="22"/>
              </w:rPr>
              <w:t>土地面积（公顷）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76" w:type="dxa"/>
            <w:vAlign w:val="center"/>
          </w:tcPr>
          <w:p>
            <w:pPr>
              <w:rPr>
                <w:rFonts w:cs="Times New Roman"/>
                <w:szCs w:val="22"/>
              </w:rPr>
            </w:pPr>
            <w:r>
              <w:rPr>
                <w:rFonts w:cs="Times New Roman"/>
                <w:szCs w:val="22"/>
              </w:rPr>
              <w:t>1</w:t>
            </w:r>
          </w:p>
        </w:tc>
        <w:tc>
          <w:tcPr>
            <w:tcW w:w="5730" w:type="dxa"/>
            <w:vAlign w:val="center"/>
          </w:tcPr>
          <w:p>
            <w:pPr>
              <w:rPr>
                <w:rFonts w:cs="Times New Roman"/>
                <w:szCs w:val="22"/>
              </w:rPr>
            </w:pPr>
            <w:r>
              <w:rPr>
                <w:rFonts w:hint="eastAsia" w:cs="Times New Roman"/>
                <w:szCs w:val="22"/>
              </w:rPr>
              <w:t>小漠镇大澳村沙埔心经济合作社</w:t>
            </w:r>
          </w:p>
        </w:tc>
        <w:tc>
          <w:tcPr>
            <w:tcW w:w="1990" w:type="dxa"/>
            <w:vAlign w:val="center"/>
          </w:tcPr>
          <w:p>
            <w:pPr>
              <w:rPr>
                <w:rFonts w:cs="Times New Roman"/>
                <w:szCs w:val="22"/>
              </w:rPr>
            </w:pPr>
            <w:r>
              <w:rPr>
                <w:rFonts w:hint="eastAsia" w:cs="Times New Roman"/>
                <w:szCs w:val="22"/>
              </w:rPr>
              <w:t>4.3132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76" w:type="dxa"/>
            <w:vAlign w:val="center"/>
          </w:tcPr>
          <w:p>
            <w:pPr>
              <w:rPr>
                <w:rFonts w:cs="Times New Roman"/>
                <w:szCs w:val="22"/>
              </w:rPr>
            </w:pPr>
            <w:r>
              <w:rPr>
                <w:rFonts w:hint="eastAsia" w:cs="Times New Roman"/>
                <w:szCs w:val="22"/>
              </w:rPr>
              <w:t>2</w:t>
            </w:r>
          </w:p>
        </w:tc>
        <w:tc>
          <w:tcPr>
            <w:tcW w:w="5730" w:type="dxa"/>
            <w:vAlign w:val="center"/>
          </w:tcPr>
          <w:p>
            <w:pPr>
              <w:spacing w:line="400" w:lineRule="exact"/>
              <w:rPr>
                <w:rFonts w:cs="Times New Roman"/>
                <w:szCs w:val="22"/>
              </w:rPr>
            </w:pPr>
            <w:r>
              <w:rPr>
                <w:rFonts w:hint="eastAsia" w:cs="Times New Roman"/>
                <w:szCs w:val="22"/>
              </w:rPr>
              <w:t>小漠镇大澳村沃仔沟经济合作社</w:t>
            </w:r>
          </w:p>
        </w:tc>
        <w:tc>
          <w:tcPr>
            <w:tcW w:w="1990" w:type="dxa"/>
            <w:vAlign w:val="center"/>
          </w:tcPr>
          <w:p>
            <w:pPr>
              <w:rPr>
                <w:rFonts w:cs="Times New Roman"/>
                <w:szCs w:val="22"/>
              </w:rPr>
            </w:pPr>
            <w:r>
              <w:rPr>
                <w:rFonts w:hint="eastAsia" w:cs="Times New Roman"/>
                <w:szCs w:val="22"/>
              </w:rPr>
              <w:t xml:space="preserve">8.0606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76" w:type="dxa"/>
            <w:vAlign w:val="center"/>
          </w:tcPr>
          <w:p>
            <w:pPr>
              <w:rPr>
                <w:rFonts w:cs="Times New Roman"/>
                <w:szCs w:val="22"/>
              </w:rPr>
            </w:pPr>
            <w:r>
              <w:rPr>
                <w:rFonts w:hint="eastAsia" w:cs="Times New Roman"/>
                <w:szCs w:val="22"/>
              </w:rPr>
              <w:t>3</w:t>
            </w:r>
          </w:p>
        </w:tc>
        <w:tc>
          <w:tcPr>
            <w:tcW w:w="5730" w:type="dxa"/>
            <w:vAlign w:val="center"/>
          </w:tcPr>
          <w:p>
            <w:pPr>
              <w:rPr>
                <w:rFonts w:cs="Times New Roman"/>
                <w:szCs w:val="22"/>
              </w:rPr>
            </w:pPr>
            <w:r>
              <w:rPr>
                <w:rFonts w:hint="eastAsia" w:cs="Times New Roman"/>
                <w:szCs w:val="22"/>
              </w:rPr>
              <w:t>小漠镇大澳村叶舟山经济合作社</w:t>
            </w:r>
          </w:p>
        </w:tc>
        <w:tc>
          <w:tcPr>
            <w:tcW w:w="1990" w:type="dxa"/>
            <w:vAlign w:val="center"/>
          </w:tcPr>
          <w:p>
            <w:pPr>
              <w:rPr>
                <w:rFonts w:cs="Times New Roman"/>
                <w:szCs w:val="22"/>
              </w:rPr>
            </w:pPr>
            <w:r>
              <w:rPr>
                <w:rFonts w:hint="eastAsia" w:cs="Times New Roman"/>
                <w:szCs w:val="22"/>
              </w:rPr>
              <w:t xml:space="preserve">3.4197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76" w:type="dxa"/>
            <w:vAlign w:val="center"/>
          </w:tcPr>
          <w:p>
            <w:pPr>
              <w:rPr>
                <w:rFonts w:cs="Times New Roman"/>
                <w:szCs w:val="22"/>
              </w:rPr>
            </w:pPr>
            <w:r>
              <w:rPr>
                <w:rFonts w:hint="eastAsia" w:cs="Times New Roman"/>
                <w:szCs w:val="22"/>
              </w:rPr>
              <w:t>4</w:t>
            </w:r>
          </w:p>
        </w:tc>
        <w:tc>
          <w:tcPr>
            <w:tcW w:w="5730" w:type="dxa"/>
            <w:vAlign w:val="center"/>
          </w:tcPr>
          <w:p>
            <w:pPr>
              <w:rPr>
                <w:rFonts w:cs="Times New Roman"/>
                <w:szCs w:val="22"/>
              </w:rPr>
            </w:pPr>
            <w:r>
              <w:rPr>
                <w:rFonts w:hint="eastAsia" w:cs="Times New Roman"/>
                <w:szCs w:val="22"/>
              </w:rPr>
              <w:t>小漠镇东旺村东滨隆经济合作社</w:t>
            </w:r>
          </w:p>
        </w:tc>
        <w:tc>
          <w:tcPr>
            <w:tcW w:w="1990" w:type="dxa"/>
            <w:vAlign w:val="center"/>
          </w:tcPr>
          <w:p>
            <w:pPr>
              <w:rPr>
                <w:rFonts w:cs="Times New Roman"/>
                <w:szCs w:val="22"/>
              </w:rPr>
            </w:pPr>
            <w:r>
              <w:rPr>
                <w:rFonts w:hint="eastAsia" w:cs="Times New Roman"/>
                <w:szCs w:val="22"/>
              </w:rPr>
              <w:t>28.4411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76" w:type="dxa"/>
            <w:vAlign w:val="center"/>
          </w:tcPr>
          <w:p>
            <w:pPr>
              <w:rPr>
                <w:rFonts w:cs="Times New Roman"/>
                <w:szCs w:val="22"/>
              </w:rPr>
            </w:pPr>
            <w:r>
              <w:rPr>
                <w:rFonts w:hint="eastAsia" w:cs="Times New Roman"/>
                <w:szCs w:val="22"/>
              </w:rPr>
              <w:t>5</w:t>
            </w:r>
          </w:p>
        </w:tc>
        <w:tc>
          <w:tcPr>
            <w:tcW w:w="5730" w:type="dxa"/>
            <w:vAlign w:val="center"/>
          </w:tcPr>
          <w:p>
            <w:pPr>
              <w:rPr>
                <w:rFonts w:cs="Times New Roman"/>
                <w:szCs w:val="22"/>
              </w:rPr>
            </w:pPr>
            <w:r>
              <w:rPr>
                <w:rFonts w:hint="eastAsia" w:cs="Times New Roman"/>
                <w:szCs w:val="22"/>
              </w:rPr>
              <w:t>小漠镇东旺村新春经济合作社</w:t>
            </w:r>
          </w:p>
        </w:tc>
        <w:tc>
          <w:tcPr>
            <w:tcW w:w="1990" w:type="dxa"/>
            <w:vAlign w:val="center"/>
          </w:tcPr>
          <w:p>
            <w:pPr>
              <w:rPr>
                <w:rFonts w:cs="Times New Roman"/>
                <w:szCs w:val="22"/>
              </w:rPr>
            </w:pPr>
            <w:r>
              <w:rPr>
                <w:rFonts w:hint="eastAsia" w:cs="Times New Roman"/>
                <w:szCs w:val="22"/>
              </w:rPr>
              <w:t xml:space="preserve">6.7847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976" w:type="dxa"/>
            <w:vAlign w:val="center"/>
          </w:tcPr>
          <w:p>
            <w:pPr>
              <w:rPr>
                <w:rFonts w:cs="Times New Roman"/>
                <w:szCs w:val="22"/>
              </w:rPr>
            </w:pPr>
            <w:r>
              <w:rPr>
                <w:rFonts w:hint="eastAsia" w:cs="Times New Roman"/>
                <w:szCs w:val="22"/>
              </w:rPr>
              <w:t>6</w:t>
            </w:r>
          </w:p>
        </w:tc>
        <w:tc>
          <w:tcPr>
            <w:tcW w:w="5730" w:type="dxa"/>
            <w:vAlign w:val="center"/>
          </w:tcPr>
          <w:p>
            <w:pPr>
              <w:rPr>
                <w:rFonts w:cs="Times New Roman"/>
                <w:szCs w:val="22"/>
              </w:rPr>
            </w:pPr>
            <w:r>
              <w:rPr>
                <w:rFonts w:hint="eastAsia" w:cs="Times New Roman"/>
                <w:szCs w:val="22"/>
              </w:rPr>
              <w:t>小漠镇东旺村新旺经济合作社</w:t>
            </w:r>
          </w:p>
        </w:tc>
        <w:tc>
          <w:tcPr>
            <w:tcW w:w="1990" w:type="dxa"/>
            <w:vAlign w:val="center"/>
          </w:tcPr>
          <w:p>
            <w:pPr>
              <w:rPr>
                <w:rFonts w:cs="Times New Roman"/>
                <w:szCs w:val="22"/>
              </w:rPr>
            </w:pPr>
            <w:r>
              <w:rPr>
                <w:rFonts w:hint="eastAsia" w:cs="Times New Roman"/>
                <w:szCs w:val="22"/>
              </w:rPr>
              <w:t xml:space="preserve">0.6877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76" w:type="dxa"/>
            <w:vAlign w:val="center"/>
          </w:tcPr>
          <w:p>
            <w:pPr>
              <w:rPr>
                <w:rFonts w:cs="Times New Roman"/>
                <w:szCs w:val="22"/>
              </w:rPr>
            </w:pPr>
            <w:r>
              <w:rPr>
                <w:rFonts w:hint="eastAsia" w:cs="Times New Roman"/>
                <w:szCs w:val="22"/>
              </w:rPr>
              <w:t>7</w:t>
            </w:r>
          </w:p>
        </w:tc>
        <w:tc>
          <w:tcPr>
            <w:tcW w:w="5730" w:type="dxa"/>
            <w:vAlign w:val="center"/>
          </w:tcPr>
          <w:p>
            <w:pPr>
              <w:rPr>
                <w:rFonts w:cs="Times New Roman"/>
                <w:szCs w:val="22"/>
              </w:rPr>
            </w:pPr>
            <w:r>
              <w:rPr>
                <w:rFonts w:hint="eastAsia" w:cs="Times New Roman"/>
                <w:szCs w:val="22"/>
              </w:rPr>
              <w:t>小漠镇东旺村新旺经济合作社、新春经济合作社</w:t>
            </w:r>
          </w:p>
        </w:tc>
        <w:tc>
          <w:tcPr>
            <w:tcW w:w="1990" w:type="dxa"/>
            <w:vAlign w:val="center"/>
          </w:tcPr>
          <w:p>
            <w:pPr>
              <w:rPr>
                <w:rFonts w:cs="Times New Roman"/>
                <w:szCs w:val="22"/>
              </w:rPr>
            </w:pPr>
            <w:r>
              <w:rPr>
                <w:rFonts w:hint="eastAsia" w:cs="Times New Roman"/>
                <w:szCs w:val="22"/>
              </w:rPr>
              <w:t xml:space="preserve">0.5319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76" w:type="dxa"/>
            <w:vAlign w:val="center"/>
          </w:tcPr>
          <w:p>
            <w:pPr>
              <w:rPr>
                <w:rFonts w:cs="Times New Roman"/>
                <w:szCs w:val="22"/>
              </w:rPr>
            </w:pPr>
            <w:r>
              <w:rPr>
                <w:rFonts w:hint="eastAsia" w:cs="Times New Roman"/>
                <w:szCs w:val="22"/>
              </w:rPr>
              <w:t>8</w:t>
            </w:r>
          </w:p>
        </w:tc>
        <w:tc>
          <w:tcPr>
            <w:tcW w:w="5730" w:type="dxa"/>
            <w:vAlign w:val="center"/>
          </w:tcPr>
          <w:p>
            <w:pPr>
              <w:rPr>
                <w:rFonts w:cs="Times New Roman"/>
                <w:szCs w:val="22"/>
              </w:rPr>
            </w:pPr>
            <w:r>
              <w:rPr>
                <w:rFonts w:hint="eastAsia" w:cs="Times New Roman"/>
                <w:szCs w:val="22"/>
              </w:rPr>
              <w:t>小漠镇东旺经济联合社</w:t>
            </w:r>
          </w:p>
        </w:tc>
        <w:tc>
          <w:tcPr>
            <w:tcW w:w="1990" w:type="dxa"/>
            <w:vAlign w:val="center"/>
          </w:tcPr>
          <w:p>
            <w:pPr>
              <w:rPr>
                <w:rFonts w:cs="Times New Roman"/>
                <w:szCs w:val="22"/>
              </w:rPr>
            </w:pPr>
            <w:r>
              <w:rPr>
                <w:rFonts w:hint="eastAsia" w:cs="Times New Roman"/>
                <w:szCs w:val="22"/>
              </w:rPr>
              <w:t xml:space="preserve">0.4284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76" w:type="dxa"/>
            <w:vAlign w:val="center"/>
          </w:tcPr>
          <w:p>
            <w:pPr>
              <w:rPr>
                <w:rFonts w:cs="Times New Roman"/>
                <w:szCs w:val="22"/>
              </w:rPr>
            </w:pPr>
            <w:r>
              <w:rPr>
                <w:rFonts w:hint="eastAsia" w:cs="Times New Roman"/>
                <w:szCs w:val="22"/>
              </w:rPr>
              <w:t>9</w:t>
            </w:r>
          </w:p>
        </w:tc>
        <w:tc>
          <w:tcPr>
            <w:tcW w:w="5730" w:type="dxa"/>
            <w:vAlign w:val="center"/>
          </w:tcPr>
          <w:p>
            <w:pPr>
              <w:rPr>
                <w:rFonts w:cs="Times New Roman"/>
                <w:szCs w:val="22"/>
              </w:rPr>
            </w:pPr>
            <w:r>
              <w:rPr>
                <w:rFonts w:hint="eastAsia" w:cs="Times New Roman"/>
                <w:szCs w:val="22"/>
              </w:rPr>
              <w:t>小漠镇南香村南君寮经济合作社</w:t>
            </w:r>
          </w:p>
        </w:tc>
        <w:tc>
          <w:tcPr>
            <w:tcW w:w="1990" w:type="dxa"/>
            <w:vAlign w:val="center"/>
          </w:tcPr>
          <w:p>
            <w:pPr>
              <w:rPr>
                <w:rFonts w:cs="Times New Roman"/>
                <w:szCs w:val="22"/>
              </w:rPr>
            </w:pPr>
            <w:r>
              <w:rPr>
                <w:rFonts w:hint="eastAsia" w:cs="Times New Roman"/>
                <w:szCs w:val="22"/>
              </w:rPr>
              <w:t xml:space="preserve">32.2691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76" w:type="dxa"/>
            <w:vAlign w:val="center"/>
          </w:tcPr>
          <w:p>
            <w:pPr>
              <w:rPr>
                <w:rFonts w:cs="Times New Roman"/>
                <w:szCs w:val="22"/>
              </w:rPr>
            </w:pPr>
            <w:r>
              <w:rPr>
                <w:rFonts w:hint="eastAsia" w:cs="Times New Roman"/>
                <w:szCs w:val="22"/>
              </w:rPr>
              <w:t>10</w:t>
            </w:r>
          </w:p>
        </w:tc>
        <w:tc>
          <w:tcPr>
            <w:tcW w:w="5730" w:type="dxa"/>
            <w:vAlign w:val="center"/>
          </w:tcPr>
          <w:p>
            <w:pPr>
              <w:rPr>
                <w:rFonts w:cs="Times New Roman"/>
                <w:szCs w:val="22"/>
              </w:rPr>
            </w:pPr>
            <w:r>
              <w:rPr>
                <w:rFonts w:hint="eastAsia" w:cs="Times New Roman"/>
                <w:szCs w:val="22"/>
              </w:rPr>
              <w:t>小漠镇元新村金兴围经济合作社</w:t>
            </w:r>
          </w:p>
        </w:tc>
        <w:tc>
          <w:tcPr>
            <w:tcW w:w="1990" w:type="dxa"/>
            <w:vAlign w:val="center"/>
          </w:tcPr>
          <w:p>
            <w:pPr>
              <w:rPr>
                <w:rFonts w:cs="Times New Roman"/>
                <w:szCs w:val="22"/>
              </w:rPr>
            </w:pPr>
            <w:r>
              <w:rPr>
                <w:rFonts w:hint="eastAsia" w:cs="Times New Roman"/>
                <w:szCs w:val="22"/>
              </w:rPr>
              <w:t xml:space="preserve">26.4088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76" w:type="dxa"/>
            <w:vAlign w:val="center"/>
          </w:tcPr>
          <w:p>
            <w:pPr>
              <w:rPr>
                <w:rFonts w:cs="Times New Roman"/>
                <w:szCs w:val="22"/>
              </w:rPr>
            </w:pPr>
            <w:r>
              <w:rPr>
                <w:rFonts w:hint="eastAsia" w:cs="Times New Roman"/>
                <w:szCs w:val="22"/>
              </w:rPr>
              <w:t>11</w:t>
            </w:r>
          </w:p>
        </w:tc>
        <w:tc>
          <w:tcPr>
            <w:tcW w:w="5730" w:type="dxa"/>
            <w:vAlign w:val="center"/>
          </w:tcPr>
          <w:p>
            <w:pPr>
              <w:rPr>
                <w:rFonts w:cs="Times New Roman"/>
                <w:szCs w:val="22"/>
              </w:rPr>
            </w:pPr>
            <w:r>
              <w:rPr>
                <w:rFonts w:hint="eastAsia" w:cs="Times New Roman"/>
                <w:szCs w:val="22"/>
              </w:rPr>
              <w:t>小漠镇元新村新圩经济合作社</w:t>
            </w:r>
          </w:p>
        </w:tc>
        <w:tc>
          <w:tcPr>
            <w:tcW w:w="1990" w:type="dxa"/>
            <w:vAlign w:val="center"/>
          </w:tcPr>
          <w:p>
            <w:pPr>
              <w:rPr>
                <w:rFonts w:cs="Times New Roman"/>
                <w:szCs w:val="22"/>
              </w:rPr>
            </w:pPr>
            <w:r>
              <w:rPr>
                <w:rFonts w:hint="eastAsia" w:cs="Times New Roman"/>
                <w:szCs w:val="22"/>
              </w:rPr>
              <w:t xml:space="preserve">36.3436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76" w:type="dxa"/>
            <w:vAlign w:val="center"/>
          </w:tcPr>
          <w:p>
            <w:pPr>
              <w:rPr>
                <w:rFonts w:cs="Times New Roman"/>
                <w:szCs w:val="22"/>
              </w:rPr>
            </w:pPr>
            <w:r>
              <w:rPr>
                <w:rFonts w:hint="eastAsia" w:cs="Times New Roman"/>
                <w:szCs w:val="22"/>
              </w:rPr>
              <w:t>12</w:t>
            </w:r>
          </w:p>
        </w:tc>
        <w:tc>
          <w:tcPr>
            <w:tcW w:w="5730" w:type="dxa"/>
            <w:vAlign w:val="center"/>
          </w:tcPr>
          <w:p>
            <w:pPr>
              <w:rPr>
                <w:rFonts w:cs="Times New Roman"/>
                <w:szCs w:val="22"/>
              </w:rPr>
            </w:pPr>
            <w:r>
              <w:rPr>
                <w:rFonts w:hint="eastAsia" w:cs="Times New Roman"/>
                <w:szCs w:val="22"/>
              </w:rPr>
              <w:t>小漠镇元新村元宵围经济合作社</w:t>
            </w:r>
          </w:p>
        </w:tc>
        <w:tc>
          <w:tcPr>
            <w:tcW w:w="1990" w:type="dxa"/>
            <w:vAlign w:val="center"/>
          </w:tcPr>
          <w:p>
            <w:pPr>
              <w:rPr>
                <w:rFonts w:cs="Times New Roman"/>
                <w:szCs w:val="22"/>
              </w:rPr>
            </w:pPr>
            <w:r>
              <w:rPr>
                <w:rFonts w:hint="eastAsia" w:cs="Times New Roman"/>
                <w:szCs w:val="22"/>
              </w:rPr>
              <w:t xml:space="preserve">47.4984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76" w:type="dxa"/>
            <w:vAlign w:val="center"/>
          </w:tcPr>
          <w:p>
            <w:pPr>
              <w:rPr>
                <w:rFonts w:cs="Times New Roman"/>
                <w:szCs w:val="22"/>
              </w:rPr>
            </w:pPr>
            <w:r>
              <w:rPr>
                <w:rFonts w:hint="eastAsia" w:cs="Times New Roman"/>
                <w:szCs w:val="22"/>
              </w:rPr>
              <w:t>13</w:t>
            </w:r>
          </w:p>
        </w:tc>
        <w:tc>
          <w:tcPr>
            <w:tcW w:w="5730" w:type="dxa"/>
            <w:vAlign w:val="center"/>
          </w:tcPr>
          <w:p>
            <w:pPr>
              <w:rPr>
                <w:rFonts w:cs="Times New Roman"/>
                <w:szCs w:val="22"/>
              </w:rPr>
            </w:pPr>
            <w:r>
              <w:rPr>
                <w:rFonts w:hint="eastAsia" w:cs="Times New Roman"/>
                <w:szCs w:val="22"/>
              </w:rPr>
              <w:t>小漠镇元新经济联合社</w:t>
            </w:r>
          </w:p>
        </w:tc>
        <w:tc>
          <w:tcPr>
            <w:tcW w:w="1990" w:type="dxa"/>
            <w:vAlign w:val="center"/>
          </w:tcPr>
          <w:p>
            <w:pPr>
              <w:rPr>
                <w:rFonts w:cs="Times New Roman"/>
                <w:szCs w:val="22"/>
              </w:rPr>
            </w:pPr>
            <w:r>
              <w:rPr>
                <w:rFonts w:hint="eastAsia" w:cs="Times New Roman"/>
                <w:szCs w:val="22"/>
              </w:rPr>
              <w:t xml:space="preserve">0.0639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76" w:type="dxa"/>
            <w:vAlign w:val="center"/>
          </w:tcPr>
          <w:p>
            <w:pPr>
              <w:rPr>
                <w:rFonts w:cs="Times New Roman"/>
                <w:szCs w:val="22"/>
              </w:rPr>
            </w:pPr>
            <w:r>
              <w:rPr>
                <w:rFonts w:hint="eastAsia" w:cs="Times New Roman"/>
                <w:szCs w:val="22"/>
              </w:rPr>
              <w:t>14</w:t>
            </w:r>
          </w:p>
        </w:tc>
        <w:tc>
          <w:tcPr>
            <w:tcW w:w="5730" w:type="dxa"/>
            <w:vAlign w:val="center"/>
          </w:tcPr>
          <w:p>
            <w:pPr>
              <w:rPr>
                <w:rFonts w:cs="Times New Roman"/>
                <w:szCs w:val="22"/>
              </w:rPr>
            </w:pPr>
            <w:r>
              <w:rPr>
                <w:rFonts w:hint="eastAsia" w:cs="Times New Roman"/>
                <w:szCs w:val="22"/>
              </w:rPr>
              <w:t>小漠镇云新村大云坡经济合作社</w:t>
            </w:r>
          </w:p>
        </w:tc>
        <w:tc>
          <w:tcPr>
            <w:tcW w:w="1990" w:type="dxa"/>
            <w:vAlign w:val="center"/>
          </w:tcPr>
          <w:p>
            <w:pPr>
              <w:rPr>
                <w:rFonts w:cs="Times New Roman"/>
                <w:szCs w:val="22"/>
              </w:rPr>
            </w:pPr>
            <w:r>
              <w:rPr>
                <w:rFonts w:hint="eastAsia" w:cs="Times New Roman"/>
                <w:szCs w:val="22"/>
              </w:rPr>
              <w:t xml:space="preserve">67.9283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76" w:type="dxa"/>
            <w:vAlign w:val="center"/>
          </w:tcPr>
          <w:p>
            <w:pPr>
              <w:rPr>
                <w:rFonts w:cs="Times New Roman"/>
                <w:szCs w:val="22"/>
              </w:rPr>
            </w:pPr>
            <w:r>
              <w:rPr>
                <w:rFonts w:hint="eastAsia" w:cs="Times New Roman"/>
                <w:szCs w:val="22"/>
              </w:rPr>
              <w:t>15</w:t>
            </w:r>
          </w:p>
        </w:tc>
        <w:tc>
          <w:tcPr>
            <w:tcW w:w="5730" w:type="dxa"/>
            <w:vAlign w:val="center"/>
          </w:tcPr>
          <w:p>
            <w:pPr>
              <w:rPr>
                <w:rFonts w:cs="Times New Roman"/>
                <w:szCs w:val="22"/>
              </w:rPr>
            </w:pPr>
            <w:r>
              <w:rPr>
                <w:rFonts w:hint="eastAsia" w:cs="Times New Roman"/>
                <w:szCs w:val="22"/>
              </w:rPr>
              <w:t>小漠镇云新村九兴群经济合作社</w:t>
            </w:r>
          </w:p>
        </w:tc>
        <w:tc>
          <w:tcPr>
            <w:tcW w:w="1990" w:type="dxa"/>
            <w:vAlign w:val="center"/>
          </w:tcPr>
          <w:p>
            <w:pPr>
              <w:rPr>
                <w:rFonts w:cs="Times New Roman"/>
                <w:szCs w:val="22"/>
              </w:rPr>
            </w:pPr>
            <w:r>
              <w:rPr>
                <w:rFonts w:hint="eastAsia" w:cs="Times New Roman"/>
                <w:szCs w:val="22"/>
              </w:rPr>
              <w:t xml:space="preserve">4.4319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76" w:type="dxa"/>
            <w:vAlign w:val="center"/>
          </w:tcPr>
          <w:p>
            <w:pPr>
              <w:rPr>
                <w:rFonts w:cs="Times New Roman"/>
                <w:szCs w:val="22"/>
              </w:rPr>
            </w:pPr>
            <w:r>
              <w:rPr>
                <w:rFonts w:hint="eastAsia" w:cs="Times New Roman"/>
                <w:szCs w:val="22"/>
              </w:rPr>
              <w:t>16</w:t>
            </w:r>
          </w:p>
        </w:tc>
        <w:tc>
          <w:tcPr>
            <w:tcW w:w="5730" w:type="dxa"/>
            <w:vAlign w:val="center"/>
          </w:tcPr>
          <w:p>
            <w:pPr>
              <w:rPr>
                <w:rFonts w:cs="Times New Roman"/>
                <w:szCs w:val="22"/>
              </w:rPr>
            </w:pPr>
            <w:r>
              <w:rPr>
                <w:rFonts w:hint="eastAsia" w:cs="Times New Roman"/>
                <w:szCs w:val="22"/>
              </w:rPr>
              <w:t>小漠镇云新村九兴群、埔仔经济合作社</w:t>
            </w:r>
          </w:p>
        </w:tc>
        <w:tc>
          <w:tcPr>
            <w:tcW w:w="1990" w:type="dxa"/>
            <w:vAlign w:val="center"/>
          </w:tcPr>
          <w:p>
            <w:pPr>
              <w:rPr>
                <w:rFonts w:cs="Times New Roman"/>
                <w:szCs w:val="22"/>
              </w:rPr>
            </w:pPr>
            <w:r>
              <w:rPr>
                <w:rFonts w:hint="eastAsia" w:cs="Times New Roman"/>
                <w:szCs w:val="22"/>
              </w:rPr>
              <w:t xml:space="preserve">87.2849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976" w:type="dxa"/>
            <w:vAlign w:val="center"/>
          </w:tcPr>
          <w:p>
            <w:pPr>
              <w:rPr>
                <w:rFonts w:cs="Times New Roman"/>
                <w:szCs w:val="22"/>
              </w:rPr>
            </w:pPr>
            <w:r>
              <w:rPr>
                <w:rFonts w:hint="eastAsia" w:cs="Times New Roman"/>
                <w:szCs w:val="22"/>
              </w:rPr>
              <w:t>17</w:t>
            </w:r>
          </w:p>
        </w:tc>
        <w:tc>
          <w:tcPr>
            <w:tcW w:w="5730" w:type="dxa"/>
            <w:vAlign w:val="center"/>
          </w:tcPr>
          <w:p>
            <w:pPr>
              <w:rPr>
                <w:rFonts w:cs="Times New Roman"/>
                <w:szCs w:val="22"/>
              </w:rPr>
            </w:pPr>
            <w:r>
              <w:rPr>
                <w:rFonts w:hint="eastAsia" w:cs="Times New Roman"/>
                <w:szCs w:val="22"/>
              </w:rPr>
              <w:t>小漠镇云新村新田坑经济合作社</w:t>
            </w:r>
          </w:p>
        </w:tc>
        <w:tc>
          <w:tcPr>
            <w:tcW w:w="1990" w:type="dxa"/>
            <w:vAlign w:val="center"/>
          </w:tcPr>
          <w:p>
            <w:pPr>
              <w:rPr>
                <w:rFonts w:cs="Times New Roman"/>
                <w:szCs w:val="22"/>
              </w:rPr>
            </w:pPr>
            <w:r>
              <w:rPr>
                <w:rFonts w:hint="eastAsia" w:cs="Times New Roman"/>
                <w:szCs w:val="22"/>
              </w:rPr>
              <w:t xml:space="preserve">18.5388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76" w:type="dxa"/>
            <w:vAlign w:val="center"/>
          </w:tcPr>
          <w:p>
            <w:pPr>
              <w:rPr>
                <w:rFonts w:cs="Times New Roman"/>
                <w:szCs w:val="22"/>
              </w:rPr>
            </w:pPr>
            <w:r>
              <w:rPr>
                <w:rFonts w:hint="eastAsia" w:cs="Times New Roman"/>
                <w:szCs w:val="22"/>
              </w:rPr>
              <w:t>18</w:t>
            </w:r>
          </w:p>
        </w:tc>
        <w:tc>
          <w:tcPr>
            <w:tcW w:w="5730" w:type="dxa"/>
            <w:vAlign w:val="center"/>
          </w:tcPr>
          <w:p>
            <w:pPr>
              <w:rPr>
                <w:rFonts w:cs="Times New Roman"/>
                <w:szCs w:val="22"/>
              </w:rPr>
            </w:pPr>
            <w:r>
              <w:rPr>
                <w:rFonts w:hint="eastAsia" w:cs="Times New Roman"/>
                <w:szCs w:val="22"/>
              </w:rPr>
              <w:t>小漠镇云新村新寨经济合作社</w:t>
            </w:r>
          </w:p>
        </w:tc>
        <w:tc>
          <w:tcPr>
            <w:tcW w:w="1990" w:type="dxa"/>
            <w:vAlign w:val="center"/>
          </w:tcPr>
          <w:p>
            <w:pPr>
              <w:rPr>
                <w:rFonts w:cs="Times New Roman"/>
                <w:szCs w:val="22"/>
              </w:rPr>
            </w:pPr>
            <w:r>
              <w:rPr>
                <w:rFonts w:hint="eastAsia" w:cs="Times New Roman"/>
                <w:szCs w:val="22"/>
              </w:rPr>
              <w:t xml:space="preserve">107.4113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exact"/>
          <w:jc w:val="center"/>
        </w:trPr>
        <w:tc>
          <w:tcPr>
            <w:tcW w:w="976" w:type="dxa"/>
            <w:vAlign w:val="center"/>
          </w:tcPr>
          <w:p>
            <w:pPr>
              <w:rPr>
                <w:rFonts w:cs="Times New Roman"/>
                <w:szCs w:val="22"/>
              </w:rPr>
            </w:pPr>
            <w:r>
              <w:rPr>
                <w:rFonts w:hint="eastAsia" w:cs="Times New Roman"/>
                <w:szCs w:val="22"/>
              </w:rPr>
              <w:t>19</w:t>
            </w:r>
          </w:p>
        </w:tc>
        <w:tc>
          <w:tcPr>
            <w:tcW w:w="5730" w:type="dxa"/>
            <w:vAlign w:val="center"/>
          </w:tcPr>
          <w:p>
            <w:pPr>
              <w:rPr>
                <w:rFonts w:cs="Times New Roman"/>
                <w:szCs w:val="22"/>
              </w:rPr>
            </w:pPr>
            <w:r>
              <w:rPr>
                <w:rFonts w:hint="eastAsia" w:cs="Times New Roman"/>
                <w:szCs w:val="22"/>
              </w:rPr>
              <w:t>小漠镇云新经济联合社、惠东县黄埠镇平径村村左经济合作社争议地</w:t>
            </w:r>
          </w:p>
        </w:tc>
        <w:tc>
          <w:tcPr>
            <w:tcW w:w="1990" w:type="dxa"/>
            <w:vAlign w:val="center"/>
          </w:tcPr>
          <w:p>
            <w:pPr>
              <w:rPr>
                <w:rFonts w:cs="Times New Roman"/>
                <w:szCs w:val="22"/>
              </w:rPr>
            </w:pPr>
            <w:r>
              <w:rPr>
                <w:rFonts w:hint="eastAsia" w:cs="Times New Roman"/>
                <w:szCs w:val="22"/>
              </w:rPr>
              <w:t xml:space="preserve">0.2596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706" w:type="dxa"/>
            <w:gridSpan w:val="2"/>
            <w:vAlign w:val="center"/>
          </w:tcPr>
          <w:p>
            <w:pPr>
              <w:rPr>
                <w:rFonts w:cs="Times New Roman"/>
                <w:b/>
                <w:szCs w:val="22"/>
              </w:rPr>
            </w:pPr>
            <w:r>
              <w:rPr>
                <w:rFonts w:cs="Times New Roman"/>
                <w:b/>
                <w:szCs w:val="22"/>
              </w:rPr>
              <w:t>集体土地小计</w:t>
            </w:r>
          </w:p>
        </w:tc>
        <w:tc>
          <w:tcPr>
            <w:tcW w:w="1990" w:type="dxa"/>
            <w:vAlign w:val="center"/>
          </w:tcPr>
          <w:p>
            <w:pPr>
              <w:widowControl/>
              <w:textAlignment w:val="center"/>
              <w:rPr>
                <w:rFonts w:ascii="宋体" w:hAnsi="宋体" w:eastAsia="宋体" w:cs="宋体"/>
                <w:b/>
                <w:color w:val="000000"/>
                <w:szCs w:val="22"/>
              </w:rPr>
            </w:pPr>
            <w:r>
              <w:rPr>
                <w:rFonts w:hint="eastAsia" w:ascii="宋体" w:hAnsi="宋体" w:eastAsia="宋体" w:cs="宋体"/>
                <w:b/>
                <w:color w:val="000000"/>
                <w:kern w:val="0"/>
                <w:szCs w:val="22"/>
                <w:lang w:bidi="ar"/>
              </w:rPr>
              <w:t xml:space="preserve">481.1059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76" w:type="dxa"/>
            <w:vAlign w:val="center"/>
          </w:tcPr>
          <w:p>
            <w:pPr>
              <w:rPr>
                <w:rFonts w:cs="Times New Roman"/>
                <w:szCs w:val="22"/>
              </w:rPr>
            </w:pPr>
            <w:r>
              <w:rPr>
                <w:rFonts w:hint="eastAsia" w:cs="Times New Roman"/>
                <w:szCs w:val="22"/>
              </w:rPr>
              <w:t>20</w:t>
            </w:r>
          </w:p>
        </w:tc>
        <w:tc>
          <w:tcPr>
            <w:tcW w:w="5730" w:type="dxa"/>
            <w:vAlign w:val="center"/>
          </w:tcPr>
          <w:p>
            <w:pPr>
              <w:rPr>
                <w:rFonts w:cs="Times New Roman"/>
                <w:szCs w:val="22"/>
              </w:rPr>
            </w:pPr>
            <w:r>
              <w:rPr>
                <w:rFonts w:hint="eastAsia" w:cs="Times New Roman"/>
                <w:szCs w:val="22"/>
              </w:rPr>
              <w:t>小漠</w:t>
            </w:r>
            <w:r>
              <w:rPr>
                <w:rFonts w:cs="Times New Roman"/>
                <w:szCs w:val="22"/>
              </w:rPr>
              <w:t>镇政府</w:t>
            </w:r>
          </w:p>
        </w:tc>
        <w:tc>
          <w:tcPr>
            <w:tcW w:w="1990" w:type="dxa"/>
            <w:vAlign w:val="center"/>
          </w:tcPr>
          <w:p>
            <w:pPr>
              <w:rPr>
                <w:rFonts w:cs="Times New Roman"/>
                <w:szCs w:val="22"/>
              </w:rPr>
            </w:pPr>
            <w:r>
              <w:rPr>
                <w:rFonts w:hint="eastAsia"/>
              </w:rPr>
              <w:t>46.4864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706" w:type="dxa"/>
            <w:gridSpan w:val="2"/>
            <w:vAlign w:val="center"/>
          </w:tcPr>
          <w:p>
            <w:pPr>
              <w:rPr>
                <w:rFonts w:cs="Times New Roman"/>
                <w:b/>
                <w:szCs w:val="22"/>
              </w:rPr>
            </w:pPr>
            <w:r>
              <w:rPr>
                <w:rFonts w:cs="Times New Roman"/>
                <w:b/>
                <w:szCs w:val="22"/>
              </w:rPr>
              <w:t>国有土地小计</w:t>
            </w:r>
          </w:p>
        </w:tc>
        <w:tc>
          <w:tcPr>
            <w:tcW w:w="1990" w:type="dxa"/>
            <w:vAlign w:val="center"/>
          </w:tcPr>
          <w:p>
            <w:pPr>
              <w:rPr>
                <w:rFonts w:cs="Times New Roman"/>
                <w:b/>
                <w:szCs w:val="22"/>
              </w:rPr>
            </w:pPr>
            <w:r>
              <w:rPr>
                <w:rFonts w:hint="eastAsia"/>
                <w:b/>
              </w:rPr>
              <w:t>46.4864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6706" w:type="dxa"/>
            <w:gridSpan w:val="2"/>
            <w:vAlign w:val="center"/>
          </w:tcPr>
          <w:p>
            <w:pPr>
              <w:rPr>
                <w:rFonts w:cs="Times New Roman"/>
                <w:b/>
                <w:szCs w:val="22"/>
              </w:rPr>
            </w:pPr>
            <w:r>
              <w:rPr>
                <w:rFonts w:cs="Times New Roman"/>
                <w:b/>
                <w:szCs w:val="22"/>
              </w:rPr>
              <w:t>合</w:t>
            </w:r>
            <w:r>
              <w:rPr>
                <w:rFonts w:hint="eastAsia" w:cs="Times New Roman"/>
                <w:b/>
                <w:szCs w:val="22"/>
              </w:rPr>
              <w:t xml:space="preserve">  </w:t>
            </w:r>
            <w:r>
              <w:rPr>
                <w:rFonts w:cs="Times New Roman"/>
                <w:b/>
                <w:szCs w:val="22"/>
              </w:rPr>
              <w:t>计</w:t>
            </w:r>
          </w:p>
        </w:tc>
        <w:tc>
          <w:tcPr>
            <w:tcW w:w="1990" w:type="dxa"/>
            <w:vAlign w:val="center"/>
          </w:tcPr>
          <w:p>
            <w:pPr>
              <w:rPr>
                <w:rFonts w:cs="Times New Roman"/>
                <w:b/>
                <w:szCs w:val="22"/>
              </w:rPr>
            </w:pPr>
            <w:r>
              <w:rPr>
                <w:rFonts w:hint="eastAsia"/>
                <w:b/>
              </w:rPr>
              <w:t>527.5923</w:t>
            </w:r>
          </w:p>
        </w:tc>
      </w:tr>
    </w:tbl>
    <w:p>
      <w:pPr>
        <w:rPr>
          <w:highlight w:val="yellow"/>
        </w:rPr>
      </w:pPr>
    </w:p>
    <w:p>
      <w:bookmarkStart w:id="15" w:name="_Toc88675639"/>
      <w:bookmarkStart w:id="16" w:name="_Toc88647595"/>
      <w:r>
        <w:rPr>
          <w:rFonts w:hint="eastAsia"/>
        </w:rPr>
        <w:br w:type="page"/>
      </w:r>
    </w:p>
    <w:p>
      <w:pPr>
        <w:pStyle w:val="4"/>
        <w:spacing w:line="660" w:lineRule="exact"/>
      </w:pPr>
      <w:r>
        <w:rPr>
          <w:rFonts w:hint="eastAsia"/>
        </w:rPr>
        <w:t>3．土地利用现状情况</w:t>
      </w:r>
      <w:bookmarkEnd w:id="15"/>
      <w:bookmarkEnd w:id="16"/>
    </w:p>
    <w:p>
      <w:pPr>
        <w:pStyle w:val="11"/>
        <w:spacing w:line="660" w:lineRule="exact"/>
        <w:ind w:firstLine="560"/>
        <w:rPr>
          <w:rFonts w:cs="Times New Roman"/>
          <w:b/>
          <w:bCs/>
          <w:sz w:val="24"/>
          <w:szCs w:val="32"/>
          <w:lang w:val="zh-CN"/>
        </w:rPr>
      </w:pPr>
      <w:r>
        <w:rPr>
          <w:rFonts w:hint="eastAsia" w:hAnsi="Times New Roman"/>
        </w:rPr>
        <w:t>根据2018年度土地利用变更调查成果，成片开发范围面积为527.5923公顷，其中农用地440.6246公顷，占比83.52%，建设用地54.8972公顷，占比10.40%，未利用地10.4853公顷，占比1.99%，填海新陆域21.5852公顷，暂无相关数据，占比4.09%，详见表2。</w:t>
      </w:r>
    </w:p>
    <w:p>
      <w:pPr>
        <w:pStyle w:val="14"/>
      </w:pPr>
      <w:r>
        <w:rPr>
          <w:rFonts w:hint="eastAsia"/>
        </w:rPr>
        <w:t>表2  2018年度土地利用现状情况表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4"/>
        <w:gridCol w:w="1535"/>
        <w:gridCol w:w="1816"/>
        <w:gridCol w:w="2049"/>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center"/>
        </w:trPr>
        <w:tc>
          <w:tcPr>
            <w:tcW w:w="4705" w:type="dxa"/>
            <w:gridSpan w:val="3"/>
            <w:vAlign w:val="center"/>
          </w:tcPr>
          <w:p>
            <w:pPr>
              <w:rPr>
                <w:rFonts w:cs="Times New Roman"/>
                <w:b/>
                <w:szCs w:val="22"/>
              </w:rPr>
            </w:pPr>
            <w:r>
              <w:rPr>
                <w:rFonts w:cs="Times New Roman"/>
                <w:b/>
                <w:szCs w:val="22"/>
              </w:rPr>
              <w:t>现状地类</w:t>
            </w:r>
          </w:p>
        </w:tc>
        <w:tc>
          <w:tcPr>
            <w:tcW w:w="2049" w:type="dxa"/>
            <w:vAlign w:val="center"/>
          </w:tcPr>
          <w:p>
            <w:pPr>
              <w:rPr>
                <w:rFonts w:cs="Times New Roman"/>
                <w:b/>
                <w:szCs w:val="22"/>
              </w:rPr>
            </w:pPr>
            <w:r>
              <w:rPr>
                <w:rFonts w:cs="Times New Roman"/>
                <w:b/>
                <w:szCs w:val="22"/>
              </w:rPr>
              <w:t>面积（公顷）</w:t>
            </w:r>
          </w:p>
        </w:tc>
        <w:tc>
          <w:tcPr>
            <w:tcW w:w="1800" w:type="dxa"/>
            <w:vAlign w:val="center"/>
          </w:tcPr>
          <w:p>
            <w:pPr>
              <w:rPr>
                <w:rFonts w:cs="Times New Roman"/>
                <w:b/>
                <w:szCs w:val="22"/>
              </w:rPr>
            </w:pPr>
            <w:r>
              <w:rPr>
                <w:rFonts w:cs="Times New Roman"/>
                <w:b/>
                <w:szCs w:val="22"/>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54" w:type="dxa"/>
            <w:vMerge w:val="restart"/>
            <w:vAlign w:val="center"/>
          </w:tcPr>
          <w:p>
            <w:pPr>
              <w:rPr>
                <w:rFonts w:ascii="仿宋_GB2312" w:hAnsi="仿宋_GB2312" w:cs="仿宋_GB2312"/>
                <w:szCs w:val="22"/>
              </w:rPr>
            </w:pPr>
            <w:r>
              <w:rPr>
                <w:rFonts w:hint="eastAsia" w:ascii="仿宋_GB2312" w:hAnsi="仿宋_GB2312" w:cs="仿宋_GB2312"/>
                <w:szCs w:val="22"/>
              </w:rPr>
              <w:t>农用地</w:t>
            </w:r>
          </w:p>
        </w:tc>
        <w:tc>
          <w:tcPr>
            <w:tcW w:w="1535" w:type="dxa"/>
            <w:vMerge w:val="restart"/>
            <w:vAlign w:val="center"/>
          </w:tcPr>
          <w:p>
            <w:pPr>
              <w:rPr>
                <w:rFonts w:ascii="仿宋_GB2312" w:hAnsi="仿宋_GB2312" w:cs="仿宋_GB2312"/>
                <w:szCs w:val="22"/>
              </w:rPr>
            </w:pPr>
            <w:r>
              <w:rPr>
                <w:rFonts w:hint="eastAsia" w:ascii="仿宋_GB2312" w:hAnsi="仿宋_GB2312" w:cs="仿宋_GB2312"/>
                <w:szCs w:val="22"/>
              </w:rPr>
              <w:t>耕地</w:t>
            </w:r>
          </w:p>
        </w:tc>
        <w:tc>
          <w:tcPr>
            <w:tcW w:w="1816" w:type="dxa"/>
            <w:vAlign w:val="center"/>
          </w:tcPr>
          <w:p>
            <w:pPr>
              <w:rPr>
                <w:rFonts w:ascii="仿宋_GB2312" w:hAnsi="仿宋_GB2312" w:cs="仿宋_GB2312"/>
                <w:szCs w:val="22"/>
              </w:rPr>
            </w:pPr>
            <w:r>
              <w:rPr>
                <w:rFonts w:hint="eastAsia" w:ascii="仿宋_GB2312" w:hAnsi="仿宋_GB2312" w:cs="仿宋_GB2312"/>
                <w:szCs w:val="22"/>
              </w:rPr>
              <w:t>水田</w:t>
            </w:r>
          </w:p>
        </w:tc>
        <w:tc>
          <w:tcPr>
            <w:tcW w:w="2049" w:type="dxa"/>
            <w:vAlign w:val="center"/>
          </w:tcPr>
          <w:p>
            <w:pPr>
              <w:rPr>
                <w:rFonts w:cs="Times New Roman"/>
                <w:szCs w:val="22"/>
              </w:rPr>
            </w:pPr>
            <w:r>
              <w:rPr>
                <w:rFonts w:cs="Times New Roman"/>
                <w:szCs w:val="22"/>
              </w:rPr>
              <w:t>110.4159</w:t>
            </w:r>
          </w:p>
        </w:tc>
        <w:tc>
          <w:tcPr>
            <w:tcW w:w="1800" w:type="dxa"/>
            <w:vAlign w:val="center"/>
          </w:tcPr>
          <w:p>
            <w:pPr>
              <w:rPr>
                <w:rFonts w:cs="Times New Roman"/>
                <w:szCs w:val="22"/>
              </w:rPr>
            </w:pPr>
            <w:r>
              <w:rPr>
                <w:rFonts w:cs="Times New Roman"/>
                <w:szCs w:val="22"/>
              </w:rPr>
              <w:t>2</w:t>
            </w:r>
            <w:r>
              <w:rPr>
                <w:rFonts w:hint="eastAsia" w:cs="Times New Roman"/>
                <w:szCs w:val="22"/>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54" w:type="dxa"/>
            <w:vMerge w:val="continue"/>
            <w:vAlign w:val="center"/>
          </w:tcPr>
          <w:p>
            <w:pPr>
              <w:rPr>
                <w:rFonts w:ascii="仿宋_GB2312" w:hAnsi="仿宋_GB2312" w:cs="仿宋_GB2312"/>
                <w:szCs w:val="22"/>
              </w:rPr>
            </w:pPr>
          </w:p>
        </w:tc>
        <w:tc>
          <w:tcPr>
            <w:tcW w:w="1535" w:type="dxa"/>
            <w:vMerge w:val="continue"/>
            <w:vAlign w:val="center"/>
          </w:tcPr>
          <w:p>
            <w:pPr>
              <w:rPr>
                <w:rFonts w:ascii="仿宋_GB2312" w:hAnsi="仿宋_GB2312" w:cs="仿宋_GB2312"/>
                <w:szCs w:val="22"/>
              </w:rPr>
            </w:pPr>
          </w:p>
        </w:tc>
        <w:tc>
          <w:tcPr>
            <w:tcW w:w="1816" w:type="dxa"/>
            <w:vAlign w:val="center"/>
          </w:tcPr>
          <w:p>
            <w:pPr>
              <w:rPr>
                <w:rFonts w:ascii="仿宋_GB2312" w:hAnsi="仿宋_GB2312" w:cs="仿宋_GB2312"/>
                <w:szCs w:val="22"/>
              </w:rPr>
            </w:pPr>
            <w:r>
              <w:rPr>
                <w:rFonts w:hint="eastAsia" w:ascii="仿宋_GB2312" w:hAnsi="仿宋_GB2312" w:cs="仿宋_GB2312"/>
                <w:szCs w:val="22"/>
              </w:rPr>
              <w:t>旱地</w:t>
            </w:r>
          </w:p>
        </w:tc>
        <w:tc>
          <w:tcPr>
            <w:tcW w:w="2049" w:type="dxa"/>
            <w:vAlign w:val="center"/>
          </w:tcPr>
          <w:p>
            <w:pPr>
              <w:rPr>
                <w:rFonts w:cs="Times New Roman"/>
                <w:szCs w:val="22"/>
              </w:rPr>
            </w:pPr>
            <w:r>
              <w:rPr>
                <w:rFonts w:cs="Times New Roman"/>
                <w:szCs w:val="22"/>
              </w:rPr>
              <w:t>9.8324</w:t>
            </w:r>
          </w:p>
        </w:tc>
        <w:tc>
          <w:tcPr>
            <w:tcW w:w="1800" w:type="dxa"/>
            <w:vAlign w:val="center"/>
          </w:tcPr>
          <w:p>
            <w:pPr>
              <w:rPr>
                <w:rFonts w:cs="Times New Roman"/>
                <w:szCs w:val="22"/>
              </w:rPr>
            </w:pPr>
            <w:r>
              <w:rPr>
                <w:rFonts w:cs="Times New Roman"/>
                <w:szCs w:val="22"/>
              </w:rPr>
              <w:t>1.</w:t>
            </w:r>
            <w:r>
              <w:rPr>
                <w:rFonts w:hint="eastAsia" w:cs="Times New Roman"/>
                <w:szCs w:val="22"/>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54" w:type="dxa"/>
            <w:vMerge w:val="continue"/>
            <w:vAlign w:val="center"/>
          </w:tcPr>
          <w:p>
            <w:pPr>
              <w:rPr>
                <w:rFonts w:ascii="仿宋_GB2312" w:hAnsi="仿宋_GB2312" w:cs="仿宋_GB2312"/>
                <w:szCs w:val="22"/>
              </w:rPr>
            </w:pPr>
          </w:p>
        </w:tc>
        <w:tc>
          <w:tcPr>
            <w:tcW w:w="3351" w:type="dxa"/>
            <w:gridSpan w:val="2"/>
            <w:vAlign w:val="center"/>
          </w:tcPr>
          <w:p>
            <w:pPr>
              <w:rPr>
                <w:rFonts w:ascii="仿宋_GB2312" w:hAnsi="仿宋_GB2312" w:cs="仿宋_GB2312"/>
                <w:szCs w:val="22"/>
              </w:rPr>
            </w:pPr>
            <w:r>
              <w:rPr>
                <w:rFonts w:hint="eastAsia" w:ascii="仿宋_GB2312" w:hAnsi="仿宋_GB2312" w:cs="仿宋_GB2312"/>
                <w:szCs w:val="22"/>
              </w:rPr>
              <w:t>小计</w:t>
            </w:r>
          </w:p>
        </w:tc>
        <w:tc>
          <w:tcPr>
            <w:tcW w:w="2049" w:type="dxa"/>
            <w:vAlign w:val="center"/>
          </w:tcPr>
          <w:p>
            <w:pPr>
              <w:rPr>
                <w:rFonts w:cs="Times New Roman"/>
                <w:szCs w:val="22"/>
              </w:rPr>
            </w:pPr>
            <w:r>
              <w:rPr>
                <w:rFonts w:cs="Times New Roman"/>
                <w:szCs w:val="22"/>
              </w:rPr>
              <w:t>120.2483</w:t>
            </w:r>
          </w:p>
        </w:tc>
        <w:tc>
          <w:tcPr>
            <w:tcW w:w="1800" w:type="dxa"/>
            <w:vAlign w:val="center"/>
          </w:tcPr>
          <w:p>
            <w:pPr>
              <w:rPr>
                <w:rFonts w:cs="Times New Roman"/>
                <w:szCs w:val="22"/>
              </w:rPr>
            </w:pPr>
            <w:r>
              <w:rPr>
                <w:rFonts w:cs="Times New Roman"/>
                <w:szCs w:val="22"/>
              </w:rPr>
              <w:t>2</w:t>
            </w:r>
            <w:r>
              <w:rPr>
                <w:rFonts w:hint="eastAsia" w:cs="Times New Roman"/>
                <w:szCs w:val="22"/>
              </w:rPr>
              <w:t>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54" w:type="dxa"/>
            <w:vMerge w:val="continue"/>
            <w:vAlign w:val="center"/>
          </w:tcPr>
          <w:p>
            <w:pPr>
              <w:rPr>
                <w:rFonts w:ascii="仿宋_GB2312" w:hAnsi="仿宋_GB2312" w:cs="仿宋_GB2312"/>
                <w:szCs w:val="22"/>
              </w:rPr>
            </w:pPr>
          </w:p>
        </w:tc>
        <w:tc>
          <w:tcPr>
            <w:tcW w:w="3351" w:type="dxa"/>
            <w:gridSpan w:val="2"/>
            <w:vAlign w:val="center"/>
          </w:tcPr>
          <w:p>
            <w:pPr>
              <w:rPr>
                <w:rFonts w:ascii="仿宋_GB2312" w:hAnsi="仿宋_GB2312" w:cs="仿宋_GB2312"/>
                <w:szCs w:val="22"/>
              </w:rPr>
            </w:pPr>
            <w:r>
              <w:rPr>
                <w:rFonts w:hint="eastAsia" w:ascii="仿宋_GB2312" w:hAnsi="仿宋_GB2312" w:cs="仿宋_GB2312"/>
                <w:szCs w:val="22"/>
              </w:rPr>
              <w:t>园地</w:t>
            </w:r>
          </w:p>
        </w:tc>
        <w:tc>
          <w:tcPr>
            <w:tcW w:w="2049" w:type="dxa"/>
            <w:vAlign w:val="center"/>
          </w:tcPr>
          <w:p>
            <w:pPr>
              <w:rPr>
                <w:rFonts w:cs="Times New Roman"/>
                <w:szCs w:val="22"/>
              </w:rPr>
            </w:pPr>
            <w:r>
              <w:rPr>
                <w:rFonts w:cs="Times New Roman"/>
                <w:bCs/>
                <w:color w:val="000000"/>
                <w:szCs w:val="22"/>
              </w:rPr>
              <w:t>48.2437</w:t>
            </w:r>
          </w:p>
        </w:tc>
        <w:tc>
          <w:tcPr>
            <w:tcW w:w="1800" w:type="dxa"/>
            <w:vAlign w:val="center"/>
          </w:tcPr>
          <w:p>
            <w:pPr>
              <w:rPr>
                <w:rFonts w:cs="Times New Roman"/>
                <w:szCs w:val="22"/>
              </w:rPr>
            </w:pPr>
            <w:r>
              <w:rPr>
                <w:rFonts w:cs="Times New Roman"/>
                <w:szCs w:val="22"/>
              </w:rPr>
              <w:t>9.</w:t>
            </w:r>
            <w:r>
              <w:rPr>
                <w:rFonts w:hint="eastAsia" w:cs="Times New Roman"/>
                <w:szCs w:val="22"/>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54" w:type="dxa"/>
            <w:vMerge w:val="continue"/>
            <w:vAlign w:val="center"/>
          </w:tcPr>
          <w:p>
            <w:pPr>
              <w:rPr>
                <w:rFonts w:ascii="仿宋_GB2312" w:hAnsi="仿宋_GB2312" w:cs="仿宋_GB2312"/>
                <w:szCs w:val="22"/>
              </w:rPr>
            </w:pPr>
          </w:p>
        </w:tc>
        <w:tc>
          <w:tcPr>
            <w:tcW w:w="3351" w:type="dxa"/>
            <w:gridSpan w:val="2"/>
            <w:vAlign w:val="center"/>
          </w:tcPr>
          <w:p>
            <w:pPr>
              <w:rPr>
                <w:rFonts w:ascii="仿宋_GB2312" w:hAnsi="仿宋_GB2312" w:cs="仿宋_GB2312"/>
                <w:szCs w:val="22"/>
              </w:rPr>
            </w:pPr>
            <w:r>
              <w:rPr>
                <w:rFonts w:hint="eastAsia" w:ascii="仿宋_GB2312" w:hAnsi="仿宋_GB2312" w:cs="仿宋_GB2312"/>
                <w:szCs w:val="22"/>
              </w:rPr>
              <w:t>林地</w:t>
            </w:r>
          </w:p>
        </w:tc>
        <w:tc>
          <w:tcPr>
            <w:tcW w:w="2049" w:type="dxa"/>
            <w:vAlign w:val="center"/>
          </w:tcPr>
          <w:p>
            <w:pPr>
              <w:rPr>
                <w:rFonts w:cs="Times New Roman"/>
                <w:szCs w:val="22"/>
              </w:rPr>
            </w:pPr>
            <w:r>
              <w:rPr>
                <w:rFonts w:cs="Times New Roman"/>
                <w:bCs/>
                <w:color w:val="000000"/>
                <w:szCs w:val="22"/>
              </w:rPr>
              <w:t>225.5074</w:t>
            </w:r>
          </w:p>
        </w:tc>
        <w:tc>
          <w:tcPr>
            <w:tcW w:w="1800" w:type="dxa"/>
            <w:vAlign w:val="center"/>
          </w:tcPr>
          <w:p>
            <w:pPr>
              <w:rPr>
                <w:rFonts w:cs="Times New Roman"/>
                <w:szCs w:val="22"/>
              </w:rPr>
            </w:pPr>
            <w:r>
              <w:rPr>
                <w:rFonts w:cs="Times New Roman"/>
                <w:szCs w:val="22"/>
              </w:rPr>
              <w:t>4</w:t>
            </w:r>
            <w:r>
              <w:rPr>
                <w:rFonts w:hint="eastAsia" w:cs="Times New Roman"/>
                <w:szCs w:val="22"/>
              </w:rPr>
              <w:t>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54" w:type="dxa"/>
            <w:vMerge w:val="continue"/>
            <w:vAlign w:val="center"/>
          </w:tcPr>
          <w:p>
            <w:pPr>
              <w:rPr>
                <w:rFonts w:ascii="仿宋_GB2312" w:hAnsi="仿宋_GB2312" w:cs="仿宋_GB2312"/>
                <w:szCs w:val="22"/>
              </w:rPr>
            </w:pPr>
          </w:p>
        </w:tc>
        <w:tc>
          <w:tcPr>
            <w:tcW w:w="3351" w:type="dxa"/>
            <w:gridSpan w:val="2"/>
            <w:vAlign w:val="center"/>
          </w:tcPr>
          <w:p>
            <w:pPr>
              <w:rPr>
                <w:rFonts w:ascii="仿宋_GB2312" w:hAnsi="仿宋_GB2312" w:cs="仿宋_GB2312"/>
                <w:szCs w:val="22"/>
              </w:rPr>
            </w:pPr>
            <w:r>
              <w:rPr>
                <w:rFonts w:hint="eastAsia" w:ascii="仿宋_GB2312" w:hAnsi="仿宋_GB2312" w:cs="仿宋_GB2312"/>
                <w:szCs w:val="22"/>
              </w:rPr>
              <w:t>其他农用地</w:t>
            </w:r>
          </w:p>
        </w:tc>
        <w:tc>
          <w:tcPr>
            <w:tcW w:w="2049" w:type="dxa"/>
            <w:vAlign w:val="center"/>
          </w:tcPr>
          <w:p>
            <w:pPr>
              <w:rPr>
                <w:rFonts w:cs="Times New Roman"/>
                <w:szCs w:val="22"/>
              </w:rPr>
            </w:pPr>
            <w:r>
              <w:rPr>
                <w:rFonts w:cs="Times New Roman"/>
                <w:bCs/>
                <w:color w:val="000000"/>
                <w:szCs w:val="22"/>
              </w:rPr>
              <w:t>46.6252</w:t>
            </w:r>
          </w:p>
        </w:tc>
        <w:tc>
          <w:tcPr>
            <w:tcW w:w="1800" w:type="dxa"/>
            <w:vAlign w:val="center"/>
          </w:tcPr>
          <w:p>
            <w:pPr>
              <w:rPr>
                <w:rFonts w:cs="Times New Roman"/>
                <w:szCs w:val="22"/>
              </w:rPr>
            </w:pPr>
            <w:r>
              <w:rPr>
                <w:rFonts w:hint="eastAsia" w:cs="Times New Roman"/>
                <w:szCs w:val="22"/>
              </w:rPr>
              <w:t>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705" w:type="dxa"/>
            <w:gridSpan w:val="3"/>
            <w:vAlign w:val="center"/>
          </w:tcPr>
          <w:p>
            <w:pPr>
              <w:rPr>
                <w:rFonts w:ascii="仿宋_GB2312" w:hAnsi="仿宋_GB2312" w:cs="仿宋_GB2312"/>
                <w:szCs w:val="22"/>
              </w:rPr>
            </w:pPr>
            <w:r>
              <w:rPr>
                <w:rFonts w:hint="eastAsia" w:ascii="仿宋_GB2312" w:hAnsi="仿宋_GB2312" w:cs="仿宋_GB2312"/>
                <w:szCs w:val="22"/>
              </w:rPr>
              <w:t>小计</w:t>
            </w:r>
          </w:p>
        </w:tc>
        <w:tc>
          <w:tcPr>
            <w:tcW w:w="2049" w:type="dxa"/>
            <w:vAlign w:val="center"/>
          </w:tcPr>
          <w:p>
            <w:pPr>
              <w:rPr>
                <w:rFonts w:cs="Times New Roman"/>
                <w:szCs w:val="22"/>
              </w:rPr>
            </w:pPr>
            <w:r>
              <w:rPr>
                <w:rFonts w:cs="Times New Roman"/>
                <w:szCs w:val="22"/>
              </w:rPr>
              <w:t>440.6246</w:t>
            </w:r>
          </w:p>
        </w:tc>
        <w:tc>
          <w:tcPr>
            <w:tcW w:w="1800" w:type="dxa"/>
            <w:vAlign w:val="center"/>
          </w:tcPr>
          <w:p>
            <w:pPr>
              <w:rPr>
                <w:rFonts w:cs="Times New Roman"/>
                <w:szCs w:val="22"/>
              </w:rPr>
            </w:pPr>
            <w:r>
              <w:rPr>
                <w:rFonts w:cs="Times New Roman"/>
                <w:szCs w:val="22"/>
              </w:rPr>
              <w:t>8</w:t>
            </w:r>
            <w:r>
              <w:rPr>
                <w:rFonts w:hint="eastAsia" w:cs="Times New Roman"/>
                <w:szCs w:val="22"/>
              </w:rPr>
              <w:t>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705" w:type="dxa"/>
            <w:gridSpan w:val="3"/>
            <w:vAlign w:val="center"/>
          </w:tcPr>
          <w:p>
            <w:pPr>
              <w:rPr>
                <w:rFonts w:ascii="仿宋_GB2312" w:hAnsi="仿宋_GB2312" w:cs="仿宋_GB2312"/>
                <w:szCs w:val="22"/>
              </w:rPr>
            </w:pPr>
            <w:r>
              <w:rPr>
                <w:rFonts w:hint="eastAsia" w:ascii="仿宋_GB2312" w:hAnsi="仿宋_GB2312" w:cs="仿宋_GB2312"/>
                <w:szCs w:val="22"/>
              </w:rPr>
              <w:t>建设用地</w:t>
            </w:r>
          </w:p>
        </w:tc>
        <w:tc>
          <w:tcPr>
            <w:tcW w:w="2049" w:type="dxa"/>
            <w:vAlign w:val="center"/>
          </w:tcPr>
          <w:p>
            <w:pPr>
              <w:rPr>
                <w:rFonts w:cs="Times New Roman"/>
                <w:szCs w:val="22"/>
              </w:rPr>
            </w:pPr>
            <w:r>
              <w:rPr>
                <w:rFonts w:cs="Times New Roman"/>
                <w:szCs w:val="22"/>
              </w:rPr>
              <w:t>54.8972</w:t>
            </w:r>
          </w:p>
        </w:tc>
        <w:tc>
          <w:tcPr>
            <w:tcW w:w="1800" w:type="dxa"/>
            <w:vAlign w:val="center"/>
          </w:tcPr>
          <w:p>
            <w:pPr>
              <w:rPr>
                <w:rFonts w:cs="Times New Roman"/>
                <w:szCs w:val="22"/>
              </w:rPr>
            </w:pPr>
            <w:r>
              <w:rPr>
                <w:rFonts w:cs="Times New Roman"/>
                <w:szCs w:val="22"/>
              </w:rPr>
              <w:t>10.</w:t>
            </w:r>
            <w:r>
              <w:rPr>
                <w:rFonts w:hint="eastAsia" w:cs="Times New Roman"/>
                <w:szCs w:val="22"/>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705" w:type="dxa"/>
            <w:gridSpan w:val="3"/>
            <w:vAlign w:val="center"/>
          </w:tcPr>
          <w:p>
            <w:pPr>
              <w:rPr>
                <w:rFonts w:ascii="仿宋_GB2312" w:hAnsi="仿宋_GB2312" w:cs="仿宋_GB2312"/>
                <w:szCs w:val="22"/>
              </w:rPr>
            </w:pPr>
            <w:r>
              <w:rPr>
                <w:rFonts w:hint="eastAsia" w:ascii="仿宋_GB2312" w:hAnsi="仿宋_GB2312" w:cs="仿宋_GB2312"/>
                <w:szCs w:val="22"/>
              </w:rPr>
              <w:t>未利用地</w:t>
            </w:r>
          </w:p>
        </w:tc>
        <w:tc>
          <w:tcPr>
            <w:tcW w:w="2049" w:type="dxa"/>
            <w:vAlign w:val="center"/>
          </w:tcPr>
          <w:p>
            <w:pPr>
              <w:rPr>
                <w:rFonts w:cs="Times New Roman"/>
                <w:szCs w:val="22"/>
              </w:rPr>
            </w:pPr>
            <w:r>
              <w:rPr>
                <w:rFonts w:cs="Times New Roman"/>
                <w:szCs w:val="22"/>
              </w:rPr>
              <w:t>10.4853</w:t>
            </w:r>
          </w:p>
        </w:tc>
        <w:tc>
          <w:tcPr>
            <w:tcW w:w="1800" w:type="dxa"/>
            <w:vAlign w:val="center"/>
          </w:tcPr>
          <w:p>
            <w:pPr>
              <w:rPr>
                <w:rFonts w:cs="Times New Roman"/>
                <w:szCs w:val="22"/>
              </w:rPr>
            </w:pPr>
            <w:r>
              <w:rPr>
                <w:rFonts w:hint="eastAsia" w:cs="Times New Roman"/>
                <w:szCs w:val="22"/>
              </w:rPr>
              <w:t>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705" w:type="dxa"/>
            <w:gridSpan w:val="3"/>
            <w:vAlign w:val="center"/>
          </w:tcPr>
          <w:p>
            <w:pPr>
              <w:pStyle w:val="13"/>
              <w:widowControl/>
              <w:spacing w:beforeAutospacing="0" w:afterAutospacing="0"/>
              <w:jc w:val="center"/>
              <w:rPr>
                <w:rFonts w:ascii="仿宋_GB2312" w:hAnsi="仿宋_GB2312" w:cs="仿宋_GB2312"/>
                <w:sz w:val="22"/>
                <w:szCs w:val="22"/>
              </w:rPr>
            </w:pPr>
            <w:r>
              <w:rPr>
                <w:rFonts w:hint="eastAsia" w:ascii="仿宋_GB2312" w:hAnsi="仿宋_GB2312" w:cs="仿宋_GB2312"/>
                <w:color w:val="000000"/>
                <w:kern w:val="2"/>
                <w:sz w:val="22"/>
                <w:szCs w:val="22"/>
              </w:rPr>
              <w:t>填海新陆域</w:t>
            </w:r>
          </w:p>
        </w:tc>
        <w:tc>
          <w:tcPr>
            <w:tcW w:w="2049" w:type="dxa"/>
            <w:vAlign w:val="center"/>
          </w:tcPr>
          <w:p>
            <w:pPr>
              <w:pStyle w:val="13"/>
              <w:widowControl/>
              <w:spacing w:beforeAutospacing="0" w:afterAutospacing="0"/>
              <w:jc w:val="center"/>
              <w:rPr>
                <w:sz w:val="22"/>
                <w:szCs w:val="22"/>
              </w:rPr>
            </w:pPr>
            <w:r>
              <w:rPr>
                <w:color w:val="000000"/>
                <w:kern w:val="2"/>
                <w:sz w:val="22"/>
                <w:szCs w:val="22"/>
              </w:rPr>
              <w:t>21.5852</w:t>
            </w:r>
          </w:p>
        </w:tc>
        <w:tc>
          <w:tcPr>
            <w:tcW w:w="1800" w:type="dxa"/>
            <w:vAlign w:val="center"/>
          </w:tcPr>
          <w:p>
            <w:pPr>
              <w:pStyle w:val="13"/>
              <w:widowControl/>
              <w:spacing w:beforeAutospacing="0" w:afterAutospacing="0"/>
              <w:jc w:val="center"/>
              <w:rPr>
                <w:sz w:val="22"/>
                <w:szCs w:val="22"/>
              </w:rPr>
            </w:pPr>
            <w:r>
              <w:rPr>
                <w:color w:val="000000"/>
                <w:kern w:val="2"/>
                <w:sz w:val="22"/>
                <w:szCs w:val="22"/>
              </w:rPr>
              <w:t>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705" w:type="dxa"/>
            <w:gridSpan w:val="3"/>
            <w:vAlign w:val="center"/>
          </w:tcPr>
          <w:p>
            <w:pPr>
              <w:rPr>
                <w:rFonts w:cs="Times New Roman"/>
                <w:b/>
                <w:szCs w:val="22"/>
              </w:rPr>
            </w:pPr>
            <w:r>
              <w:rPr>
                <w:rFonts w:cs="Times New Roman"/>
                <w:b/>
                <w:szCs w:val="22"/>
              </w:rPr>
              <w:t>合计</w:t>
            </w:r>
          </w:p>
        </w:tc>
        <w:tc>
          <w:tcPr>
            <w:tcW w:w="2049" w:type="dxa"/>
            <w:vAlign w:val="center"/>
          </w:tcPr>
          <w:p>
            <w:pPr>
              <w:rPr>
                <w:rFonts w:cs="Times New Roman"/>
                <w:b/>
                <w:szCs w:val="22"/>
              </w:rPr>
            </w:pPr>
            <w:r>
              <w:rPr>
                <w:rFonts w:cs="Times New Roman"/>
                <w:b/>
                <w:bCs/>
              </w:rPr>
              <w:t>527.5923</w:t>
            </w:r>
          </w:p>
        </w:tc>
        <w:tc>
          <w:tcPr>
            <w:tcW w:w="1800" w:type="dxa"/>
            <w:vAlign w:val="center"/>
          </w:tcPr>
          <w:p>
            <w:pPr>
              <w:rPr>
                <w:rFonts w:cs="Times New Roman"/>
                <w:b/>
                <w:szCs w:val="22"/>
              </w:rPr>
            </w:pPr>
            <w:r>
              <w:rPr>
                <w:rFonts w:cs="Times New Roman"/>
                <w:b/>
                <w:szCs w:val="22"/>
              </w:rPr>
              <w:t>100.00</w:t>
            </w:r>
          </w:p>
        </w:tc>
      </w:tr>
    </w:tbl>
    <w:p>
      <w:pPr>
        <w:pStyle w:val="3"/>
        <w:spacing w:line="660" w:lineRule="exact"/>
      </w:pPr>
      <w:bookmarkStart w:id="17" w:name="_Toc96938921"/>
      <w:r>
        <w:rPr>
          <w:rFonts w:hint="eastAsia"/>
        </w:rPr>
        <w:t>（三）公共服务与基础设施条件</w:t>
      </w:r>
      <w:bookmarkEnd w:id="17"/>
    </w:p>
    <w:p>
      <w:pPr>
        <w:pStyle w:val="11"/>
        <w:spacing w:line="660" w:lineRule="exact"/>
        <w:ind w:firstLine="560"/>
        <w:rPr>
          <w:rFonts w:hAnsi="Times New Roman"/>
        </w:rPr>
      </w:pPr>
      <w:r>
        <w:rPr>
          <w:rFonts w:hint="eastAsia" w:hAnsi="Times New Roman"/>
        </w:rPr>
        <w:t>合作区依托独特的区位优势、优良生态的环境，经济社会民生事业稳步推进。合作区将坚持规划引领，秉承新型智慧城市、海绵城市建设理念，稳步推进新城开发建设。</w:t>
      </w:r>
    </w:p>
    <w:p>
      <w:pPr>
        <w:pStyle w:val="11"/>
        <w:spacing w:line="660" w:lineRule="exact"/>
        <w:ind w:firstLine="560"/>
        <w:rPr>
          <w:rFonts w:hAnsi="Times New Roman"/>
        </w:rPr>
      </w:pPr>
      <w:r>
        <w:rPr>
          <w:rFonts w:hint="eastAsia" w:hAnsi="Times New Roman"/>
        </w:rPr>
        <w:t>城市基建方面，智慧城市运行指挥中心加快建设，鲘门220千伏变电站及鹅埠LNG气化储备站正式投入使用，水底山、明溪、北坑等水库引水工程加速推进，城区功能品质稳步提升。</w:t>
      </w:r>
    </w:p>
    <w:p>
      <w:pPr>
        <w:pStyle w:val="11"/>
        <w:spacing w:line="660" w:lineRule="exact"/>
        <w:ind w:firstLine="560"/>
        <w:rPr>
          <w:rFonts w:hAnsi="Times New Roman"/>
        </w:rPr>
      </w:pPr>
      <w:r>
        <w:rPr>
          <w:rFonts w:hint="eastAsia" w:hAnsi="Times New Roman"/>
        </w:rPr>
        <w:t>交通设施方面，“三港四站”“四铁五高”和“五横六纵”立体交通体系建设取得新突破，内部道路逐渐成型，深汕大道、科教大道、创新大道等骨干网接续开工建设。</w:t>
      </w:r>
    </w:p>
    <w:p>
      <w:pPr>
        <w:pStyle w:val="11"/>
        <w:spacing w:line="660" w:lineRule="exact"/>
        <w:ind w:firstLine="560"/>
      </w:pPr>
      <w:r>
        <w:rPr>
          <w:rFonts w:hint="eastAsia" w:hAnsi="Times New Roman"/>
        </w:rPr>
        <w:t>公共服务方面，</w:t>
      </w:r>
      <w:r>
        <w:rPr>
          <w:rFonts w:hint="eastAsia"/>
        </w:rPr>
        <w:t>有效供给能力持续提升</w:t>
      </w:r>
      <w:r>
        <w:rPr>
          <w:rFonts w:hint="eastAsia" w:hAnsi="Times New Roman"/>
        </w:rPr>
        <w:t>，南山外国语学校等</w:t>
      </w:r>
      <w:r>
        <w:rPr>
          <w:rFonts w:hint="eastAsia"/>
        </w:rPr>
        <w:t>优质院校加速集聚，医疗基础设施显著改善，文体设施逐步完善，文化馆、图书馆、剧院等大型公共文化设施加快建设，住房保障体系逐步建立。</w:t>
      </w:r>
    </w:p>
    <w:p>
      <w:pPr>
        <w:pStyle w:val="11"/>
        <w:spacing w:line="660" w:lineRule="exact"/>
        <w:ind w:firstLine="560"/>
      </w:pPr>
      <w:r>
        <w:rPr>
          <w:rFonts w:hint="eastAsia"/>
        </w:rPr>
        <w:t>本次土地征收成片开发中，开发地块DK1属新城开发建设，周边开发程度较低。合作区将以总体规划为统领，落实鹏兴大道、红海大道、通港大道规划道路，稳步推进先进制造业基地建设。</w:t>
      </w:r>
    </w:p>
    <w:p>
      <w:pPr>
        <w:pStyle w:val="2"/>
        <w:spacing w:before="240" w:after="240" w:line="660" w:lineRule="exact"/>
      </w:pPr>
      <w:bookmarkStart w:id="18" w:name="_Toc96938922"/>
      <w:r>
        <w:rPr>
          <w:rFonts w:hint="eastAsia"/>
        </w:rPr>
        <w:t>三、成片开发的必要性、</w:t>
      </w:r>
      <w:bookmarkStart w:id="19" w:name="_Hlk89438726"/>
      <w:r>
        <w:rPr>
          <w:rFonts w:hint="eastAsia"/>
        </w:rPr>
        <w:t>主要用途和实现的功能</w:t>
      </w:r>
      <w:bookmarkEnd w:id="18"/>
      <w:bookmarkEnd w:id="19"/>
    </w:p>
    <w:p>
      <w:pPr>
        <w:pStyle w:val="3"/>
      </w:pPr>
      <w:bookmarkStart w:id="20" w:name="_Toc96938923"/>
      <w:r>
        <w:rPr>
          <w:rFonts w:hint="eastAsia"/>
        </w:rPr>
        <w:t>（一）成片开发的必要性</w:t>
      </w:r>
      <w:bookmarkEnd w:id="20"/>
    </w:p>
    <w:p>
      <w:pPr>
        <w:pStyle w:val="11"/>
        <w:spacing w:line="660" w:lineRule="exact"/>
        <w:ind w:firstLine="560"/>
        <w:rPr>
          <w:rFonts w:hAnsi="Times New Roman"/>
        </w:rPr>
      </w:pPr>
      <w:r>
        <w:rPr>
          <w:rFonts w:hint="eastAsia" w:hAnsi="Times New Roman"/>
        </w:rPr>
        <w:t>合作区正处于发展动力强、增速猛、效益好的开发建设新时期，成片开发可高效推进控制性详细规划和国民经济和社会发展年度计划的落实，推动先进制造业集中承载区的建设，发挥合作区的创新发展示范作用，具体分析如下：</w:t>
      </w:r>
    </w:p>
    <w:p>
      <w:pPr>
        <w:pStyle w:val="4"/>
      </w:pPr>
      <w:r>
        <w:rPr>
          <w:rFonts w:hint="eastAsia"/>
        </w:rPr>
        <w:t>1．落实国民经济和社会发展年度计划</w:t>
      </w:r>
    </w:p>
    <w:p>
      <w:pPr>
        <w:pStyle w:val="11"/>
        <w:spacing w:line="660" w:lineRule="exact"/>
        <w:ind w:firstLine="560"/>
        <w:rPr>
          <w:rFonts w:hAnsi="Times New Roman"/>
        </w:rPr>
      </w:pPr>
      <w:r>
        <w:rPr>
          <w:rFonts w:hint="eastAsia" w:hAnsi="Times New Roman"/>
        </w:rPr>
        <w:t>《深圳市深汕特别合作区2021年国民经济和社会发展计划》提出，要坚持重点产业优先，以打造战略性新兴产业发展高地为目标，引进新能源汽车行业龙头企业。本方案的实施将落实近期拟引进的新能源汽车产业基地项目用地，为项目建设打下扎实的基础。产业项目的建成，预期将发挥龙头企业的作用，助力合作区做大做强新能源汽车整车及零部件产业链，加快形成新能源、新材料工业互联网等新兴产业集群。</w:t>
      </w:r>
    </w:p>
    <w:p>
      <w:pPr>
        <w:pStyle w:val="4"/>
      </w:pPr>
      <w:r>
        <w:rPr>
          <w:rFonts w:hint="eastAsia"/>
        </w:rPr>
        <w:t>2．加快发展新能源产业、节能环保产业</w:t>
      </w:r>
    </w:p>
    <w:p>
      <w:pPr>
        <w:pStyle w:val="11"/>
        <w:spacing w:line="660" w:lineRule="exact"/>
        <w:ind w:firstLine="560"/>
        <w:rPr>
          <w:rFonts w:hAnsi="Times New Roman"/>
        </w:rPr>
      </w:pPr>
      <w:r>
        <w:rPr>
          <w:rFonts w:hint="eastAsia" w:hAnsi="Times New Roman"/>
        </w:rPr>
        <w:t>成片开发范围内拟安排的产业项目以新能源汽车产业基地为核心，有利于发挥新能源汽车龙头企业的带动示范作用，有力拉动合作区新能源汽车上下游产业链发展。同时推动合作区内能源技术的应用，促进智能电网、智慧能源新能源公交等公用设施与装备的生产与制造。</w:t>
      </w:r>
    </w:p>
    <w:p>
      <w:pPr>
        <w:pStyle w:val="11"/>
        <w:spacing w:line="660" w:lineRule="exact"/>
        <w:ind w:firstLine="560"/>
        <w:rPr>
          <w:rFonts w:hAnsi="Times New Roman"/>
        </w:rPr>
      </w:pPr>
      <w:r>
        <w:rPr>
          <w:rFonts w:hint="eastAsia" w:hAnsi="Times New Roman"/>
        </w:rPr>
        <w:t>以新能源汽车电池材料拆解产业链为延伸，合作区后续将加快布局汽车动力电池回收利用环节，积极推进再生资源回收利用，加快发展退役动力电池拆解、梯次、再生关键共性核心技术装备。</w:t>
      </w:r>
    </w:p>
    <w:p>
      <w:pPr>
        <w:pStyle w:val="4"/>
      </w:pPr>
      <w:r>
        <w:rPr>
          <w:rFonts w:hint="eastAsia"/>
        </w:rPr>
        <w:t>3．完善交通网络，支撑重大项目建设</w:t>
      </w:r>
    </w:p>
    <w:p>
      <w:pPr>
        <w:pStyle w:val="11"/>
        <w:spacing w:line="660" w:lineRule="exact"/>
        <w:ind w:firstLine="560"/>
        <w:rPr>
          <w:rFonts w:hAnsi="Times New Roman"/>
        </w:rPr>
      </w:pPr>
      <w:r>
        <w:rPr>
          <w:rFonts w:hint="eastAsia" w:hAnsi="Times New Roman"/>
        </w:rPr>
        <w:t>本方案的实施可推动立体交通网络与重大产业项目的结合建设，有利于新能源汽车产业基地扩大生产规模和产品推广。本方案将规划交通道路和小漠国际物流港纳入成片开发范围，弥补交通建设缺漏，增强与周边功能的接驳，形成多元交通方式，构建完善、安全、便捷的道路交通体系。合作区积极鼓励海外出口和打造新能源汽车智能制造标杆基地，加强重大项目与区域重大交通设施的一体化衔接，有助于完善片区内部道路系统和推动新能源汽车产业全球市场扩张。</w:t>
      </w:r>
    </w:p>
    <w:p>
      <w:pPr>
        <w:pStyle w:val="4"/>
      </w:pPr>
      <w:bookmarkStart w:id="21" w:name="_Toc88768887"/>
      <w:r>
        <w:rPr>
          <w:rFonts w:hint="eastAsia"/>
        </w:rPr>
        <w:t>4．</w:t>
      </w:r>
      <w:bookmarkEnd w:id="21"/>
      <w:r>
        <w:rPr>
          <w:rFonts w:hint="eastAsia"/>
        </w:rPr>
        <w:t>加快城乡融合，打造高质量发展新城</w:t>
      </w:r>
    </w:p>
    <w:p>
      <w:pPr>
        <w:pStyle w:val="11"/>
        <w:ind w:firstLine="560"/>
        <w:rPr>
          <w:highlight w:val="green"/>
        </w:rPr>
      </w:pPr>
      <w:r>
        <w:rPr>
          <w:rFonts w:hint="eastAsia"/>
        </w:rPr>
        <w:t>本方案的实施可推动产业新城的建设和促进城乡融合发展，</w:t>
      </w:r>
      <w:r>
        <w:t>提</w:t>
      </w:r>
      <w:r>
        <w:rPr>
          <w:rFonts w:hint="eastAsia"/>
        </w:rPr>
        <w:t>高</w:t>
      </w:r>
      <w:r>
        <w:t>土地利用效率及</w:t>
      </w:r>
      <w:r>
        <w:rPr>
          <w:rFonts w:hint="eastAsia"/>
        </w:rPr>
        <w:t>城市形象。成片开发范围内涉及东旺、元新、云新经济联合社及大澳村、东旺村、南香村、元新村、云新村属下相关农村集体经济组织的集体土地，其中现状村庄建设用地面积39.1061公顷。合作区将妥善解决居民拆迁安置及留用地问题，小漠港区村集体可通过土地征收成片开发获得长期的就业、分红、租金收入。在新能源汽车产业基地建成投产后，合作区将加快推动周边居住、购物、休闲等城市功能建设，完善公服设施配置，形成功能相对完整的城市片区，为公众提供高效便捷、多样化的服务体验。</w:t>
      </w:r>
    </w:p>
    <w:p>
      <w:pPr>
        <w:pStyle w:val="3"/>
        <w:ind w:firstLine="640" w:firstLineChars="200"/>
      </w:pPr>
      <w:bookmarkStart w:id="22" w:name="_Toc96938924"/>
      <w:r>
        <w:rPr>
          <w:rFonts w:hint="eastAsia"/>
        </w:rPr>
        <w:t>（二）成片开发的主要用途和实现的功能</w:t>
      </w:r>
      <w:bookmarkEnd w:id="22"/>
    </w:p>
    <w:p>
      <w:pPr>
        <w:pStyle w:val="11"/>
        <w:spacing w:line="660" w:lineRule="exact"/>
        <w:ind w:firstLine="560"/>
        <w:rPr>
          <w:rFonts w:hAnsi="Times New Roman"/>
        </w:rPr>
      </w:pPr>
      <w:r>
        <w:rPr>
          <w:rFonts w:hint="eastAsia" w:hAnsi="Times New Roman"/>
        </w:rPr>
        <w:t>根据控制性详细规划，成片开发范围内土地的主要用途为工业用地、城市道路和公园绿地。</w:t>
      </w:r>
    </w:p>
    <w:p>
      <w:pPr>
        <w:pStyle w:val="11"/>
        <w:spacing w:line="660" w:lineRule="exact"/>
        <w:ind w:firstLine="560"/>
        <w:rPr>
          <w:rFonts w:hAnsi="Times New Roman"/>
        </w:rPr>
      </w:pPr>
      <w:r>
        <w:rPr>
          <w:rFonts w:hint="eastAsia" w:hAnsi="Times New Roman"/>
        </w:rPr>
        <w:t>成片开发将发展高端装备制造业项目和完善产业配套设施，建设新能源汽车产业基地，辐射带动周边临港产业发展，加快推进小漠国际物流港片区建设。</w:t>
      </w:r>
    </w:p>
    <w:p>
      <w:pPr>
        <w:pStyle w:val="11"/>
        <w:spacing w:line="660" w:lineRule="exact"/>
        <w:ind w:firstLine="560"/>
        <w:rPr>
          <w:rFonts w:hAnsi="Times New Roman"/>
        </w:rPr>
        <w:sectPr>
          <w:pgSz w:w="11906" w:h="16838"/>
          <w:pgMar w:top="1418" w:right="1588" w:bottom="1418" w:left="1588" w:header="851" w:footer="851" w:gutter="0"/>
          <w:cols w:space="425" w:num="1"/>
          <w:docGrid w:type="lines" w:linePitch="312" w:charSpace="0"/>
        </w:sectPr>
      </w:pPr>
    </w:p>
    <w:p>
      <w:pPr>
        <w:pStyle w:val="2"/>
        <w:spacing w:before="240" w:after="240" w:line="660" w:lineRule="exact"/>
      </w:pPr>
      <w:bookmarkStart w:id="23" w:name="_Toc96938925"/>
      <w:bookmarkStart w:id="24" w:name="_Toc88218442"/>
      <w:r>
        <w:rPr>
          <w:rFonts w:hint="eastAsia"/>
        </w:rPr>
        <w:t>四、成片开发的可行性分析</w:t>
      </w:r>
      <w:bookmarkEnd w:id="23"/>
    </w:p>
    <w:p>
      <w:pPr>
        <w:pStyle w:val="3"/>
        <w:spacing w:line="660" w:lineRule="exact"/>
      </w:pPr>
      <w:bookmarkStart w:id="25" w:name="_Toc96938926"/>
      <w:r>
        <w:rPr>
          <w:rFonts w:hint="eastAsia"/>
        </w:rPr>
        <w:t>（一）公益用地比例</w:t>
      </w:r>
      <w:bookmarkEnd w:id="25"/>
    </w:p>
    <w:p>
      <w:pPr>
        <w:pStyle w:val="11"/>
        <w:spacing w:line="660" w:lineRule="exact"/>
        <w:ind w:firstLine="560"/>
        <w:rPr>
          <w:rFonts w:hAnsi="Times New Roman"/>
        </w:rPr>
      </w:pPr>
      <w:r>
        <w:rPr>
          <w:rFonts w:hint="eastAsia" w:hAnsi="Times New Roman"/>
        </w:rPr>
        <w:t>经核对《深汕特别合作区小漠港区控制性详细规划》</w:t>
      </w:r>
      <w:r>
        <w:rPr>
          <w:rFonts w:hAnsi="Times New Roman"/>
        </w:rPr>
        <w:t>，</w:t>
      </w:r>
      <w:r>
        <w:rPr>
          <w:rFonts w:hint="eastAsia" w:hAnsi="Times New Roman"/>
        </w:rPr>
        <w:t>成片开发范围内公益性用地总面积213.3715</w:t>
      </w:r>
      <w:r>
        <w:rPr>
          <w:rFonts w:hAnsi="Times New Roman"/>
        </w:rPr>
        <w:t>公顷</w:t>
      </w:r>
      <w:r>
        <w:rPr>
          <w:rFonts w:hint="eastAsia" w:hAnsi="Times New Roman"/>
        </w:rPr>
        <w:t>，</w:t>
      </w:r>
      <w:r>
        <w:rPr>
          <w:rFonts w:hAnsi="Times New Roman"/>
        </w:rPr>
        <w:t>占</w:t>
      </w:r>
      <w:r>
        <w:rPr>
          <w:rFonts w:hint="eastAsia" w:hAnsi="Times New Roman"/>
        </w:rPr>
        <w:t>比40.44%，其中交通设施用地151.3795公顷，占比28.69</w:t>
      </w:r>
      <w:r>
        <w:rPr>
          <w:rFonts w:hAnsi="Times New Roman"/>
        </w:rPr>
        <w:t>%</w:t>
      </w:r>
      <w:r>
        <w:rPr>
          <w:rFonts w:hint="eastAsia" w:hAnsi="Times New Roman"/>
        </w:rPr>
        <w:t>；绿地61.5791公顷，占比11.67</w:t>
      </w:r>
      <w:r>
        <w:rPr>
          <w:rFonts w:hAnsi="Times New Roman"/>
        </w:rPr>
        <w:t>%</w:t>
      </w:r>
      <w:r>
        <w:rPr>
          <w:rFonts w:hint="eastAsia" w:hAnsi="Times New Roman"/>
        </w:rPr>
        <w:t>；公用设施用地0.4129公顷，占比0.08</w:t>
      </w:r>
      <w:r>
        <w:rPr>
          <w:rFonts w:hAnsi="Times New Roman"/>
        </w:rPr>
        <w:t>%</w:t>
      </w:r>
      <w:r>
        <w:rPr>
          <w:rFonts w:hint="eastAsia" w:hAnsi="Times New Roman"/>
        </w:rPr>
        <w:t>。成片开发范围内公益性用地比例</w:t>
      </w:r>
      <w:r>
        <w:rPr>
          <w:rFonts w:hAnsi="Times New Roman"/>
        </w:rPr>
        <w:t>符合</w:t>
      </w:r>
      <w:r>
        <w:rPr>
          <w:rFonts w:hint="eastAsia" w:hAnsi="Times New Roman"/>
        </w:rPr>
        <w:t>基础设施、公共服务设施以及其他公益性用地比例一般不低于4</w:t>
      </w:r>
      <w:r>
        <w:rPr>
          <w:rFonts w:hAnsi="Times New Roman"/>
        </w:rPr>
        <w:t>0</w:t>
      </w:r>
      <w:r>
        <w:rPr>
          <w:rFonts w:hint="eastAsia" w:hAnsi="Times New Roman"/>
        </w:rPr>
        <w:t>%的要求</w:t>
      </w:r>
      <w:r>
        <w:rPr>
          <w:rFonts w:hAnsi="Times New Roman"/>
        </w:rPr>
        <w:t>。</w:t>
      </w:r>
    </w:p>
    <w:bookmarkEnd w:id="24"/>
    <w:p>
      <w:pPr>
        <w:pStyle w:val="14"/>
      </w:pPr>
      <w:r>
        <w:rPr>
          <w:rFonts w:hint="eastAsia"/>
        </w:rPr>
        <w:t xml:space="preserve">表3  </w:t>
      </w:r>
      <w:r>
        <w:t>成片开发</w:t>
      </w:r>
      <w:r>
        <w:rPr>
          <w:rFonts w:hint="eastAsia"/>
          <w:lang w:val="en-US"/>
        </w:rPr>
        <w:t>地块</w:t>
      </w:r>
      <w:r>
        <w:t>公益性用地情况</w:t>
      </w:r>
      <w:r>
        <w:rPr>
          <w:rFonts w:hint="eastAsia"/>
          <w:lang w:val="en-US"/>
        </w:rPr>
        <w:t>汇总</w:t>
      </w:r>
      <w:r>
        <w:t>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2"/>
        <w:gridCol w:w="2353"/>
        <w:gridCol w:w="2049"/>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center"/>
        </w:trPr>
        <w:tc>
          <w:tcPr>
            <w:tcW w:w="2352" w:type="dxa"/>
            <w:vMerge w:val="restart"/>
            <w:vAlign w:val="center"/>
          </w:tcPr>
          <w:p>
            <w:pPr>
              <w:rPr>
                <w:rFonts w:cs="Times New Roman"/>
                <w:szCs w:val="22"/>
              </w:rPr>
            </w:pPr>
            <w:r>
              <w:rPr>
                <w:rFonts w:hint="eastAsia" w:cs="Times New Roman"/>
                <w:szCs w:val="22"/>
              </w:rPr>
              <w:t>公益用地</w:t>
            </w:r>
          </w:p>
        </w:tc>
        <w:tc>
          <w:tcPr>
            <w:tcW w:w="2353" w:type="dxa"/>
            <w:vAlign w:val="center"/>
          </w:tcPr>
          <w:p>
            <w:pPr>
              <w:rPr>
                <w:rFonts w:cs="Times New Roman"/>
                <w:bCs/>
                <w:szCs w:val="22"/>
              </w:rPr>
            </w:pPr>
            <w:r>
              <w:rPr>
                <w:rFonts w:hint="eastAsia" w:cs="Times New Roman"/>
                <w:bCs/>
                <w:szCs w:val="22"/>
              </w:rPr>
              <w:t>用地类型</w:t>
            </w:r>
          </w:p>
        </w:tc>
        <w:tc>
          <w:tcPr>
            <w:tcW w:w="2049" w:type="dxa"/>
            <w:vAlign w:val="center"/>
          </w:tcPr>
          <w:p>
            <w:pPr>
              <w:rPr>
                <w:rFonts w:cs="Times New Roman"/>
                <w:bCs/>
                <w:szCs w:val="22"/>
              </w:rPr>
            </w:pPr>
            <w:r>
              <w:rPr>
                <w:rFonts w:hint="eastAsia" w:cs="Times New Roman"/>
                <w:bCs/>
                <w:szCs w:val="22"/>
              </w:rPr>
              <w:t>面积（公顷）</w:t>
            </w:r>
          </w:p>
        </w:tc>
        <w:tc>
          <w:tcPr>
            <w:tcW w:w="1800" w:type="dxa"/>
            <w:vAlign w:val="center"/>
          </w:tcPr>
          <w:p>
            <w:pPr>
              <w:rPr>
                <w:rFonts w:cs="Times New Roman"/>
                <w:bCs/>
                <w:szCs w:val="22"/>
              </w:rPr>
            </w:pPr>
            <w:r>
              <w:rPr>
                <w:rFonts w:hint="eastAsia" w:cs="Times New Roman"/>
                <w:bCs/>
                <w:szCs w:val="22"/>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352" w:type="dxa"/>
            <w:vMerge w:val="continue"/>
            <w:vAlign w:val="center"/>
          </w:tcPr>
          <w:p>
            <w:pPr>
              <w:rPr>
                <w:rFonts w:cs="Times New Roman"/>
                <w:szCs w:val="22"/>
              </w:rPr>
            </w:pPr>
          </w:p>
        </w:tc>
        <w:tc>
          <w:tcPr>
            <w:tcW w:w="2353" w:type="dxa"/>
            <w:vAlign w:val="center"/>
          </w:tcPr>
          <w:p>
            <w:pPr>
              <w:rPr>
                <w:rFonts w:cs="Times New Roman"/>
                <w:szCs w:val="22"/>
              </w:rPr>
            </w:pPr>
            <w:r>
              <w:rPr>
                <w:rFonts w:hint="eastAsia"/>
              </w:rPr>
              <w:t>交通设施用地</w:t>
            </w:r>
          </w:p>
        </w:tc>
        <w:tc>
          <w:tcPr>
            <w:tcW w:w="2049" w:type="dxa"/>
            <w:vAlign w:val="center"/>
          </w:tcPr>
          <w:p>
            <w:pPr>
              <w:rPr>
                <w:rFonts w:cs="Times New Roman"/>
                <w:szCs w:val="22"/>
              </w:rPr>
            </w:pPr>
            <w:r>
              <w:rPr>
                <w:rFonts w:hint="eastAsia"/>
              </w:rPr>
              <w:t>151.3795</w:t>
            </w:r>
          </w:p>
        </w:tc>
        <w:tc>
          <w:tcPr>
            <w:tcW w:w="1800" w:type="dxa"/>
            <w:vAlign w:val="center"/>
          </w:tcPr>
          <w:p>
            <w:pPr>
              <w:rPr>
                <w:rFonts w:cs="Times New Roman"/>
                <w:szCs w:val="22"/>
              </w:rPr>
            </w:pPr>
            <w:r>
              <w:rPr>
                <w:rFonts w:hint="eastAsia" w:cs="Times New Roman"/>
                <w:szCs w:val="22"/>
              </w:rPr>
              <w:t>28.69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352" w:type="dxa"/>
            <w:vMerge w:val="continue"/>
            <w:vAlign w:val="center"/>
          </w:tcPr>
          <w:p>
            <w:pPr>
              <w:rPr>
                <w:rFonts w:cs="Times New Roman"/>
                <w:szCs w:val="22"/>
              </w:rPr>
            </w:pPr>
          </w:p>
        </w:tc>
        <w:tc>
          <w:tcPr>
            <w:tcW w:w="2353" w:type="dxa"/>
            <w:vAlign w:val="center"/>
          </w:tcPr>
          <w:p>
            <w:pPr>
              <w:rPr>
                <w:rFonts w:cs="Times New Roman"/>
                <w:szCs w:val="22"/>
              </w:rPr>
            </w:pPr>
            <w:r>
              <w:rPr>
                <w:rFonts w:hint="eastAsia"/>
              </w:rPr>
              <w:t>绿地</w:t>
            </w:r>
          </w:p>
        </w:tc>
        <w:tc>
          <w:tcPr>
            <w:tcW w:w="2049" w:type="dxa"/>
            <w:vAlign w:val="center"/>
          </w:tcPr>
          <w:p>
            <w:pPr>
              <w:rPr>
                <w:rFonts w:cs="Times New Roman"/>
                <w:szCs w:val="22"/>
              </w:rPr>
            </w:pPr>
            <w:r>
              <w:rPr>
                <w:rFonts w:hint="eastAsia"/>
              </w:rPr>
              <w:t>61.5791</w:t>
            </w:r>
          </w:p>
        </w:tc>
        <w:tc>
          <w:tcPr>
            <w:tcW w:w="1800" w:type="dxa"/>
            <w:vAlign w:val="center"/>
          </w:tcPr>
          <w:p>
            <w:pPr>
              <w:rPr>
                <w:rFonts w:cs="Times New Roman"/>
                <w:szCs w:val="22"/>
              </w:rPr>
            </w:pPr>
            <w:bookmarkStart w:id="26" w:name="_Hlk89705927"/>
            <w:r>
              <w:rPr>
                <w:rFonts w:hint="eastAsia" w:cs="Times New Roman"/>
                <w:szCs w:val="22"/>
              </w:rPr>
              <w:t>11.67</w:t>
            </w:r>
            <w:bookmarkEnd w:id="2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352" w:type="dxa"/>
            <w:vMerge w:val="continue"/>
            <w:vAlign w:val="center"/>
          </w:tcPr>
          <w:p>
            <w:pPr>
              <w:rPr>
                <w:rFonts w:cs="Times New Roman"/>
                <w:szCs w:val="22"/>
              </w:rPr>
            </w:pPr>
          </w:p>
        </w:tc>
        <w:tc>
          <w:tcPr>
            <w:tcW w:w="2353" w:type="dxa"/>
            <w:vAlign w:val="center"/>
          </w:tcPr>
          <w:p>
            <w:pPr>
              <w:rPr>
                <w:rFonts w:cs="Times New Roman"/>
                <w:szCs w:val="22"/>
              </w:rPr>
            </w:pPr>
            <w:r>
              <w:rPr>
                <w:rFonts w:hint="eastAsia"/>
              </w:rPr>
              <w:t>公用设施用地</w:t>
            </w:r>
          </w:p>
        </w:tc>
        <w:tc>
          <w:tcPr>
            <w:tcW w:w="2049" w:type="dxa"/>
            <w:vAlign w:val="center"/>
          </w:tcPr>
          <w:p>
            <w:pPr>
              <w:rPr>
                <w:rFonts w:cs="Times New Roman"/>
                <w:szCs w:val="22"/>
              </w:rPr>
            </w:pPr>
            <w:r>
              <w:rPr>
                <w:rFonts w:hint="eastAsia"/>
              </w:rPr>
              <w:t>0.4129</w:t>
            </w:r>
          </w:p>
        </w:tc>
        <w:tc>
          <w:tcPr>
            <w:tcW w:w="1800" w:type="dxa"/>
            <w:vAlign w:val="center"/>
          </w:tcPr>
          <w:p>
            <w:pPr>
              <w:rPr>
                <w:rFonts w:cs="Times New Roman"/>
                <w:szCs w:val="22"/>
              </w:rPr>
            </w:pPr>
            <w:r>
              <w:rPr>
                <w:rFonts w:hint="eastAsia" w:cs="Times New Roman"/>
                <w:szCs w:val="22"/>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352" w:type="dxa"/>
            <w:vMerge w:val="continue"/>
            <w:vAlign w:val="center"/>
          </w:tcPr>
          <w:p>
            <w:pPr>
              <w:rPr>
                <w:rFonts w:cs="Times New Roman"/>
                <w:szCs w:val="22"/>
              </w:rPr>
            </w:pPr>
          </w:p>
        </w:tc>
        <w:tc>
          <w:tcPr>
            <w:tcW w:w="2353" w:type="dxa"/>
            <w:vAlign w:val="center"/>
          </w:tcPr>
          <w:p>
            <w:pPr>
              <w:rPr>
                <w:rFonts w:cs="Times New Roman"/>
                <w:szCs w:val="22"/>
              </w:rPr>
            </w:pPr>
            <w:r>
              <w:rPr>
                <w:rFonts w:hint="eastAsia" w:cs="Times New Roman"/>
                <w:szCs w:val="22"/>
              </w:rPr>
              <w:t>小计</w:t>
            </w:r>
          </w:p>
        </w:tc>
        <w:tc>
          <w:tcPr>
            <w:tcW w:w="2049" w:type="dxa"/>
            <w:vAlign w:val="center"/>
          </w:tcPr>
          <w:p>
            <w:pPr>
              <w:rPr>
                <w:rFonts w:cs="Times New Roman"/>
                <w:szCs w:val="22"/>
              </w:rPr>
            </w:pPr>
            <w:r>
              <w:rPr>
                <w:rFonts w:hint="eastAsia"/>
              </w:rPr>
              <w:t>213.3715</w:t>
            </w:r>
          </w:p>
        </w:tc>
        <w:tc>
          <w:tcPr>
            <w:tcW w:w="1800" w:type="dxa"/>
            <w:vAlign w:val="center"/>
          </w:tcPr>
          <w:p>
            <w:pPr>
              <w:rPr>
                <w:rFonts w:cs="Times New Roman"/>
                <w:szCs w:val="22"/>
              </w:rPr>
            </w:pPr>
            <w:r>
              <w:rPr>
                <w:rFonts w:hint="eastAsia" w:cs="Times New Roman"/>
              </w:rPr>
              <w:t>40.44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352" w:type="dxa"/>
            <w:vMerge w:val="restart"/>
            <w:vAlign w:val="center"/>
          </w:tcPr>
          <w:p>
            <w:pPr>
              <w:rPr>
                <w:rFonts w:cs="Times New Roman"/>
                <w:szCs w:val="22"/>
              </w:rPr>
            </w:pPr>
            <w:r>
              <w:rPr>
                <w:rFonts w:hint="eastAsia" w:cs="Times New Roman"/>
                <w:szCs w:val="22"/>
              </w:rPr>
              <w:t>非公益性用地</w:t>
            </w:r>
          </w:p>
        </w:tc>
        <w:tc>
          <w:tcPr>
            <w:tcW w:w="2353" w:type="dxa"/>
            <w:vAlign w:val="center"/>
          </w:tcPr>
          <w:p>
            <w:pPr>
              <w:rPr>
                <w:rFonts w:cs="Times New Roman"/>
                <w:szCs w:val="22"/>
              </w:rPr>
            </w:pPr>
            <w:r>
              <w:rPr>
                <w:rFonts w:hint="eastAsia" w:cs="Times New Roman"/>
                <w:szCs w:val="22"/>
              </w:rPr>
              <w:t>工业用地</w:t>
            </w:r>
          </w:p>
        </w:tc>
        <w:tc>
          <w:tcPr>
            <w:tcW w:w="2049" w:type="dxa"/>
            <w:vAlign w:val="center"/>
          </w:tcPr>
          <w:p>
            <w:r>
              <w:rPr>
                <w:rFonts w:hint="eastAsia"/>
              </w:rPr>
              <w:t>314.2208</w:t>
            </w:r>
          </w:p>
        </w:tc>
        <w:tc>
          <w:tcPr>
            <w:tcW w:w="1800" w:type="dxa"/>
            <w:vAlign w:val="center"/>
          </w:tcPr>
          <w:p>
            <w:pPr>
              <w:rPr>
                <w:rFonts w:cs="Times New Roman"/>
              </w:rPr>
            </w:pPr>
            <w:r>
              <w:rPr>
                <w:rFonts w:hint="eastAsia" w:cs="Times New Roman"/>
              </w:rPr>
              <w:t>59.56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352" w:type="dxa"/>
            <w:vMerge w:val="continue"/>
            <w:vAlign w:val="center"/>
          </w:tcPr>
          <w:p>
            <w:pPr>
              <w:rPr>
                <w:rFonts w:cs="Times New Roman"/>
                <w:szCs w:val="22"/>
              </w:rPr>
            </w:pPr>
          </w:p>
        </w:tc>
        <w:tc>
          <w:tcPr>
            <w:tcW w:w="2353" w:type="dxa"/>
            <w:vAlign w:val="center"/>
          </w:tcPr>
          <w:p>
            <w:pPr>
              <w:rPr>
                <w:rFonts w:cs="Times New Roman"/>
                <w:szCs w:val="22"/>
              </w:rPr>
            </w:pPr>
            <w:r>
              <w:rPr>
                <w:rFonts w:hint="eastAsia" w:cs="Times New Roman"/>
                <w:szCs w:val="22"/>
              </w:rPr>
              <w:t>小计</w:t>
            </w:r>
          </w:p>
        </w:tc>
        <w:tc>
          <w:tcPr>
            <w:tcW w:w="2049" w:type="dxa"/>
            <w:vAlign w:val="center"/>
          </w:tcPr>
          <w:p>
            <w:r>
              <w:rPr>
                <w:rFonts w:hint="eastAsia"/>
              </w:rPr>
              <w:t>314.2208</w:t>
            </w:r>
          </w:p>
        </w:tc>
        <w:tc>
          <w:tcPr>
            <w:tcW w:w="1800" w:type="dxa"/>
            <w:vAlign w:val="center"/>
          </w:tcPr>
          <w:p>
            <w:pPr>
              <w:rPr>
                <w:rFonts w:cs="Times New Roman"/>
              </w:rPr>
            </w:pPr>
            <w:r>
              <w:rPr>
                <w:rFonts w:hint="eastAsia" w:cs="Times New Roman"/>
              </w:rPr>
              <w:t>59.56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705" w:type="dxa"/>
            <w:gridSpan w:val="2"/>
            <w:vAlign w:val="center"/>
          </w:tcPr>
          <w:p>
            <w:pPr>
              <w:rPr>
                <w:rFonts w:cs="Times New Roman"/>
                <w:szCs w:val="22"/>
              </w:rPr>
            </w:pPr>
            <w:r>
              <w:rPr>
                <w:rFonts w:hint="eastAsia" w:cs="Times New Roman"/>
                <w:szCs w:val="22"/>
              </w:rPr>
              <w:t>合计</w:t>
            </w:r>
          </w:p>
        </w:tc>
        <w:tc>
          <w:tcPr>
            <w:tcW w:w="2049" w:type="dxa"/>
            <w:vAlign w:val="center"/>
          </w:tcPr>
          <w:p>
            <w:r>
              <w:rPr>
                <w:rFonts w:hint="eastAsia"/>
              </w:rPr>
              <w:t>527.5923</w:t>
            </w:r>
          </w:p>
        </w:tc>
        <w:tc>
          <w:tcPr>
            <w:tcW w:w="1800" w:type="dxa"/>
            <w:vAlign w:val="center"/>
          </w:tcPr>
          <w:p>
            <w:pPr>
              <w:rPr>
                <w:rFonts w:cs="Times New Roman"/>
              </w:rPr>
            </w:pPr>
            <w:r>
              <w:rPr>
                <w:rFonts w:hint="eastAsia" w:cs="Times New Roman"/>
              </w:rPr>
              <w:t>100</w:t>
            </w:r>
          </w:p>
        </w:tc>
      </w:tr>
    </w:tbl>
    <w:p>
      <w:r>
        <w:drawing>
          <wp:inline distT="0" distB="0" distL="0" distR="0">
            <wp:extent cx="5399405" cy="3370580"/>
            <wp:effectExtent l="0" t="0" r="10795" b="12700"/>
            <wp:docPr id="9" name="图片 9" descr="F:\地理所\深汕\成片开发\2022\图件\成片开发范围公益用地分布图2.jpg成片开发范围公益用地分布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地理所\深汕\成片开发\2022\图件\成片开发范围公益用地分布图2.jpg成片开发范围公益用地分布图2"/>
                    <pic:cNvPicPr>
                      <a:picLocks noChangeAspect="1"/>
                    </pic:cNvPicPr>
                  </pic:nvPicPr>
                  <pic:blipFill>
                    <a:blip r:embed="rId10"/>
                    <a:srcRect/>
                    <a:stretch>
                      <a:fillRect/>
                    </a:stretch>
                  </pic:blipFill>
                  <pic:spPr>
                    <a:xfrm>
                      <a:off x="0" y="0"/>
                      <a:ext cx="5400000" cy="3370580"/>
                    </a:xfrm>
                    <a:prstGeom prst="rect">
                      <a:avLst/>
                    </a:prstGeom>
                  </pic:spPr>
                </pic:pic>
              </a:graphicData>
            </a:graphic>
          </wp:inline>
        </w:drawing>
      </w:r>
    </w:p>
    <w:p>
      <w:pPr>
        <w:pStyle w:val="14"/>
      </w:pPr>
      <w:r>
        <w:rPr>
          <w:rFonts w:hint="eastAsia"/>
        </w:rPr>
        <w:t>图3  成片开发范围用地分布图</w:t>
      </w:r>
    </w:p>
    <w:p>
      <w:pPr>
        <w:pStyle w:val="3"/>
        <w:spacing w:line="660" w:lineRule="exact"/>
      </w:pPr>
      <w:bookmarkStart w:id="27" w:name="_Toc96938927"/>
      <w:r>
        <w:rPr>
          <w:rFonts w:hint="eastAsia"/>
        </w:rPr>
        <w:t>（二）规划符合性分析</w:t>
      </w:r>
      <w:bookmarkEnd w:id="27"/>
    </w:p>
    <w:p>
      <w:pPr>
        <w:pStyle w:val="4"/>
        <w:spacing w:line="660" w:lineRule="exact"/>
      </w:pPr>
      <w:bookmarkStart w:id="28" w:name="_Toc88675648"/>
      <w:bookmarkStart w:id="29" w:name="_Toc88647604"/>
      <w:r>
        <w:rPr>
          <w:rFonts w:hint="eastAsia"/>
        </w:rPr>
        <w:t>1．土地利用总体规划情况</w:t>
      </w:r>
      <w:bookmarkEnd w:id="28"/>
      <w:bookmarkEnd w:id="29"/>
    </w:p>
    <w:p>
      <w:pPr>
        <w:pStyle w:val="11"/>
        <w:spacing w:line="660" w:lineRule="exact"/>
        <w:ind w:firstLine="560"/>
        <w:rPr>
          <w:rFonts w:hAnsi="Times New Roman"/>
          <w:highlight w:val="yellow"/>
        </w:rPr>
      </w:pPr>
      <w:r>
        <w:rPr>
          <w:rFonts w:hint="eastAsia" w:hAnsi="Times New Roman"/>
        </w:rPr>
        <w:t>根据《深汕特别合作区土地利用总体规划（2010-2020年）调整完善方案》，成片开发范围内土地规划用途主要为城乡建设用地，建设用地管制分区类型主要为允许建设区，不涉及禁止建设区。目前合作区已启动相关规划调整工作。</w:t>
      </w:r>
    </w:p>
    <w:p>
      <w:r>
        <w:drawing>
          <wp:inline distT="0" distB="0" distL="0" distR="0">
            <wp:extent cx="5327015" cy="3288030"/>
            <wp:effectExtent l="0" t="0" r="6985" b="3810"/>
            <wp:docPr id="5" name="图片 5" descr="F:\地理所\深汕\成片开发\2022\图件\3.土地利用总体规划图2.jpg3.土地利用总体规划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地理所\深汕\成片开发\2022\图件\3.土地利用总体规划图2.jpg3.土地利用总体规划图2"/>
                    <pic:cNvPicPr>
                      <a:picLocks noChangeAspect="1"/>
                    </pic:cNvPicPr>
                  </pic:nvPicPr>
                  <pic:blipFill>
                    <a:blip r:embed="rId11"/>
                    <a:srcRect/>
                    <a:stretch>
                      <a:fillRect/>
                    </a:stretch>
                  </pic:blipFill>
                  <pic:spPr>
                    <a:xfrm>
                      <a:off x="0" y="0"/>
                      <a:ext cx="5327015" cy="3288125"/>
                    </a:xfrm>
                    <a:prstGeom prst="rect">
                      <a:avLst/>
                    </a:prstGeom>
                  </pic:spPr>
                </pic:pic>
              </a:graphicData>
            </a:graphic>
          </wp:inline>
        </w:drawing>
      </w:r>
    </w:p>
    <w:p>
      <w:pPr>
        <w:pStyle w:val="14"/>
      </w:pPr>
      <w:r>
        <w:rPr>
          <w:rFonts w:hint="eastAsia"/>
        </w:rPr>
        <w:t>图</w:t>
      </w:r>
      <w:r>
        <w:rPr>
          <w:rFonts w:hint="eastAsia"/>
          <w:lang w:val="en-US"/>
        </w:rPr>
        <w:t>4</w:t>
      </w:r>
      <w:r>
        <w:rPr>
          <w:rFonts w:hint="eastAsia"/>
        </w:rPr>
        <w:t xml:space="preserve">  深汕特别合作区土地利用总体规划图（2010-2020年，局部）</w:t>
      </w:r>
    </w:p>
    <w:p>
      <w:pPr>
        <w:pStyle w:val="4"/>
        <w:spacing w:line="660" w:lineRule="exact"/>
      </w:pPr>
      <w:bookmarkStart w:id="30" w:name="_Toc88647605"/>
      <w:bookmarkStart w:id="31" w:name="_Toc88675649"/>
      <w:r>
        <w:t>2</w:t>
      </w:r>
      <w:r>
        <w:rPr>
          <w:rFonts w:hint="eastAsia"/>
        </w:rPr>
        <w:t>．总体规划纲要情况</w:t>
      </w:r>
      <w:bookmarkEnd w:id="30"/>
      <w:bookmarkEnd w:id="31"/>
    </w:p>
    <w:p>
      <w:pPr>
        <w:pStyle w:val="11"/>
        <w:spacing w:line="660" w:lineRule="exact"/>
        <w:ind w:firstLine="560"/>
        <w:rPr>
          <w:rFonts w:hAnsi="Times New Roman"/>
        </w:rPr>
      </w:pPr>
      <w:r>
        <w:rPr>
          <w:rFonts w:hint="eastAsia" w:hAnsi="Times New Roman"/>
        </w:rPr>
        <w:t>根据《深圳市深汕特别合作区总体规划（2020-2035年）纲要》，成片开发范围内的土地规划用途以城乡建设用地为主，符合总体规划纲要中产业及配套服务用地、城市交通用地的规划布局，不占用法定城镇总体规划确定的禁止建设区和强制性内容。</w:t>
      </w:r>
    </w:p>
    <w:p>
      <w:r>
        <w:rPr>
          <w:rFonts w:hint="eastAsia"/>
        </w:rPr>
        <w:br w:type="page"/>
      </w:r>
    </w:p>
    <w:p/>
    <w:p>
      <w:r>
        <w:drawing>
          <wp:inline distT="0" distB="0" distL="0" distR="0">
            <wp:extent cx="5327650" cy="3797935"/>
            <wp:effectExtent l="9525" t="9525" r="12065" b="17780"/>
            <wp:docPr id="4" name="图片 4" descr="F:\地理所\深汕\成片开发\2022\图件\深汕总规、控规.jpg深汕总规、控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地理所\深汕\成片开发\2022\图件\深汕总规、控规.jpg深汕总规、控规"/>
                    <pic:cNvPicPr>
                      <a:picLocks noChangeAspect="1"/>
                    </pic:cNvPicPr>
                  </pic:nvPicPr>
                  <pic:blipFill>
                    <a:blip r:embed="rId12"/>
                    <a:srcRect/>
                    <a:stretch>
                      <a:fillRect/>
                    </a:stretch>
                  </pic:blipFill>
                  <pic:spPr>
                    <a:xfrm>
                      <a:off x="0" y="0"/>
                      <a:ext cx="5327650" cy="3797935"/>
                    </a:xfrm>
                    <a:prstGeom prst="rect">
                      <a:avLst/>
                    </a:prstGeom>
                    <a:ln>
                      <a:solidFill>
                        <a:schemeClr val="tx1"/>
                      </a:solidFill>
                    </a:ln>
                  </pic:spPr>
                </pic:pic>
              </a:graphicData>
            </a:graphic>
          </wp:inline>
        </w:drawing>
      </w:r>
    </w:p>
    <w:p>
      <w:pPr>
        <w:pStyle w:val="14"/>
      </w:pPr>
      <w:r>
        <w:rPr>
          <w:rFonts w:hint="eastAsia"/>
        </w:rPr>
        <w:t>图</w:t>
      </w:r>
      <w:r>
        <w:rPr>
          <w:rFonts w:hint="eastAsia"/>
          <w:lang w:val="en-US"/>
        </w:rPr>
        <w:t>5</w:t>
      </w:r>
      <w:r>
        <w:rPr>
          <w:rFonts w:hint="eastAsia"/>
        </w:rPr>
        <w:t xml:space="preserve"> 深圳市深汕特别合作区总体规划（2020-2035年）纲要要素图（局部）</w:t>
      </w:r>
    </w:p>
    <w:p>
      <w:pPr>
        <w:pStyle w:val="4"/>
        <w:spacing w:line="660" w:lineRule="exact"/>
      </w:pPr>
      <w:r>
        <w:t>3</w:t>
      </w:r>
      <w:r>
        <w:rPr>
          <w:rFonts w:hint="eastAsia"/>
        </w:rPr>
        <w:t>．控制性详细规划情况</w:t>
      </w:r>
    </w:p>
    <w:p>
      <w:pPr>
        <w:pStyle w:val="11"/>
        <w:spacing w:after="156" w:afterLines="50" w:line="660" w:lineRule="exact"/>
        <w:ind w:firstLine="560"/>
        <w:rPr>
          <w:rFonts w:hAnsi="Times New Roman"/>
        </w:rPr>
      </w:pPr>
      <w:r>
        <w:rPr>
          <w:rFonts w:hint="eastAsia" w:hAnsi="Times New Roman"/>
        </w:rPr>
        <w:t>根据控制性详细规划，成片开发范围内的土地规划用途以城市建设用地为主，用地性质为工业用地、公用设施用地、交通设施用地和绿地。本方案拟定的用地性质与控制性详细规划相符合。</w:t>
      </w:r>
    </w:p>
    <w:p/>
    <w:p>
      <w:r>
        <w:drawing>
          <wp:inline distT="0" distB="0" distL="0" distR="0">
            <wp:extent cx="3697605" cy="3122295"/>
            <wp:effectExtent l="9525" t="9525" r="11430" b="22860"/>
            <wp:docPr id="6" name="图片 6" descr="F:\地理所\深汕\成片开发\2022\图件\控规.jpeg控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地理所\深汕\成片开发\2022\图件\控规.jpeg控规"/>
                    <pic:cNvPicPr>
                      <a:picLocks noChangeAspect="1"/>
                    </pic:cNvPicPr>
                  </pic:nvPicPr>
                  <pic:blipFill>
                    <a:blip r:embed="rId13"/>
                    <a:srcRect l="8221" r="8091"/>
                    <a:stretch>
                      <a:fillRect/>
                    </a:stretch>
                  </pic:blipFill>
                  <pic:spPr>
                    <a:xfrm>
                      <a:off x="0" y="0"/>
                      <a:ext cx="3697605" cy="3122295"/>
                    </a:xfrm>
                    <a:prstGeom prst="rect">
                      <a:avLst/>
                    </a:prstGeom>
                    <a:ln>
                      <a:solidFill>
                        <a:schemeClr val="tx1"/>
                      </a:solidFill>
                    </a:ln>
                  </pic:spPr>
                </pic:pic>
              </a:graphicData>
            </a:graphic>
          </wp:inline>
        </w:drawing>
      </w:r>
    </w:p>
    <w:p>
      <w:pPr>
        <w:pStyle w:val="14"/>
      </w:pPr>
      <w:r>
        <w:rPr>
          <w:rFonts w:hint="eastAsia"/>
        </w:rPr>
        <w:t>图</w:t>
      </w:r>
      <w:r>
        <w:rPr>
          <w:rFonts w:hint="eastAsia"/>
          <w:lang w:val="en-US"/>
        </w:rPr>
        <w:t>6</w:t>
      </w:r>
      <w:r>
        <w:rPr>
          <w:rFonts w:hint="eastAsia"/>
        </w:rPr>
        <w:t xml:space="preserve">  深汕特别合作区小漠港区控制性详细规划（局部）</w:t>
      </w:r>
    </w:p>
    <w:p>
      <w:pPr>
        <w:pStyle w:val="4"/>
        <w:numPr>
          <w:ilvl w:val="0"/>
          <w:numId w:val="1"/>
        </w:numPr>
        <w:spacing w:line="660" w:lineRule="exact"/>
      </w:pPr>
      <w:bookmarkStart w:id="32" w:name="_Toc88647606"/>
      <w:bookmarkStart w:id="33" w:name="_Toc88675650"/>
      <w:r>
        <w:rPr>
          <w:rFonts w:hint="eastAsia"/>
        </w:rPr>
        <w:t>与国土空间规划衔接情况</w:t>
      </w:r>
      <w:bookmarkEnd w:id="32"/>
      <w:bookmarkEnd w:id="33"/>
    </w:p>
    <w:p>
      <w:pPr>
        <w:pStyle w:val="11"/>
        <w:spacing w:after="156" w:afterLines="50" w:line="660" w:lineRule="exact"/>
        <w:ind w:firstLine="560"/>
        <w:rPr>
          <w:rFonts w:hAnsi="Times New Roman"/>
        </w:rPr>
      </w:pPr>
      <w:r>
        <w:rPr>
          <w:rFonts w:hint="eastAsia" w:hAnsi="Times New Roman"/>
        </w:rPr>
        <w:t>当前合作区国土空间规划仍处于规划编制阶段，已按照国家、省、市要求完成永久基本农田、生态保护红线、城镇开发边界的试划工作。经核对城镇开发边界的试划成果，成片开发范围内的土地主要位于城镇开发边界内的集中建设区，合作区已出具纳入集中建设区的承诺。在国土空间规划接下来的编制工作中，将确保本方案与国土空间规划相衔接。</w:t>
      </w:r>
    </w:p>
    <w:p>
      <w:r>
        <w:drawing>
          <wp:inline distT="0" distB="0" distL="0" distR="0">
            <wp:extent cx="5302885" cy="3288030"/>
            <wp:effectExtent l="0" t="0" r="635" b="3810"/>
            <wp:docPr id="10" name="图片 10" descr="F:\地理所\深汕\成片开发\2022\图件\5.与城镇开发边界协调情况示意图2.jpg5.与城镇开发边界协调情况示意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地理所\深汕\成片开发\2022\图件\5.与城镇开发边界协调情况示意图2.jpg5.与城镇开发边界协调情况示意图2"/>
                    <pic:cNvPicPr>
                      <a:picLocks noChangeAspect="1"/>
                    </pic:cNvPicPr>
                  </pic:nvPicPr>
                  <pic:blipFill>
                    <a:blip r:embed="rId14"/>
                    <a:srcRect/>
                    <a:stretch>
                      <a:fillRect/>
                    </a:stretch>
                  </pic:blipFill>
                  <pic:spPr>
                    <a:xfrm>
                      <a:off x="0" y="0"/>
                      <a:ext cx="5302885" cy="3288125"/>
                    </a:xfrm>
                    <a:prstGeom prst="rect">
                      <a:avLst/>
                    </a:prstGeom>
                  </pic:spPr>
                </pic:pic>
              </a:graphicData>
            </a:graphic>
          </wp:inline>
        </w:drawing>
      </w:r>
    </w:p>
    <w:p>
      <w:pPr>
        <w:pStyle w:val="14"/>
      </w:pPr>
      <w:r>
        <w:rPr>
          <w:rFonts w:hint="eastAsia"/>
        </w:rPr>
        <w:t>图</w:t>
      </w:r>
      <w:r>
        <w:rPr>
          <w:rFonts w:hint="eastAsia"/>
          <w:lang w:val="en-US"/>
        </w:rPr>
        <w:t>7</w:t>
      </w:r>
      <w:r>
        <w:rPr>
          <w:rFonts w:hint="eastAsia"/>
        </w:rPr>
        <w:t xml:space="preserve">  成片开发范围与城镇开发边界协调情况示意图</w:t>
      </w:r>
    </w:p>
    <w:p>
      <w:pPr>
        <w:pStyle w:val="3"/>
        <w:spacing w:line="660" w:lineRule="exact"/>
      </w:pPr>
      <w:bookmarkStart w:id="34" w:name="_Toc96938928"/>
      <w:r>
        <w:rPr>
          <w:rFonts w:hint="eastAsia"/>
        </w:rPr>
        <w:t>（三）政策符合性分析</w:t>
      </w:r>
      <w:bookmarkEnd w:id="34"/>
    </w:p>
    <w:p>
      <w:pPr>
        <w:pStyle w:val="4"/>
        <w:spacing w:line="660" w:lineRule="exact"/>
      </w:pPr>
      <w:bookmarkStart w:id="35" w:name="_Toc88647608"/>
      <w:bookmarkStart w:id="36" w:name="_Toc88675652"/>
      <w:r>
        <w:t>1</w:t>
      </w:r>
      <w:bookmarkEnd w:id="35"/>
      <w:bookmarkEnd w:id="36"/>
      <w:r>
        <w:rPr>
          <w:rFonts w:hint="eastAsia"/>
        </w:rPr>
        <w:t>．国民经济和社会发展年度计划</w:t>
      </w:r>
    </w:p>
    <w:p>
      <w:pPr>
        <w:ind w:firstLine="560" w:firstLineChars="200"/>
        <w:jc w:val="both"/>
        <w:rPr>
          <w:sz w:val="28"/>
          <w:szCs w:val="28"/>
        </w:rPr>
      </w:pPr>
      <w:r>
        <w:rPr>
          <w:rFonts w:hint="eastAsia"/>
          <w:sz w:val="28"/>
          <w:szCs w:val="28"/>
        </w:rPr>
        <w:t>本方案注重落实</w:t>
      </w:r>
      <w:bookmarkStart w:id="37" w:name="_Hlk89729263"/>
      <w:r>
        <w:rPr>
          <w:rFonts w:hint="eastAsia"/>
          <w:sz w:val="28"/>
          <w:szCs w:val="28"/>
        </w:rPr>
        <w:t>《深圳市深汕特别合作区2021年国民经济和社会发展计划》</w:t>
      </w:r>
      <w:bookmarkEnd w:id="37"/>
      <w:r>
        <w:rPr>
          <w:rFonts w:hint="eastAsia"/>
          <w:sz w:val="28"/>
          <w:szCs w:val="28"/>
        </w:rPr>
        <w:t>中的重点项目，以打造战略性新兴产业发展高地为目标，引入新能源汽车产业基地项目。</w:t>
      </w:r>
    </w:p>
    <w:p>
      <w:pPr>
        <w:ind w:firstLine="560" w:firstLineChars="200"/>
        <w:jc w:val="both"/>
        <w:rPr>
          <w:sz w:val="28"/>
          <w:szCs w:val="28"/>
        </w:rPr>
      </w:pPr>
      <w:r>
        <w:rPr>
          <w:rFonts w:hint="eastAsia"/>
          <w:sz w:val="28"/>
          <w:szCs w:val="28"/>
        </w:rPr>
        <w:t>因此，拟安排的项目已纳入国民经济和社会发展年度计划。</w:t>
      </w:r>
    </w:p>
    <w:p>
      <w:pPr>
        <w:pStyle w:val="4"/>
        <w:spacing w:line="660" w:lineRule="exact"/>
      </w:pPr>
      <w:r>
        <w:t>2</w:t>
      </w:r>
      <w:r>
        <w:rPr>
          <w:rFonts w:hint="eastAsia"/>
        </w:rPr>
        <w:t>．批而未供土地和闲置土地</w:t>
      </w:r>
    </w:p>
    <w:p>
      <w:pPr>
        <w:pStyle w:val="11"/>
        <w:spacing w:line="660" w:lineRule="exact"/>
        <w:ind w:firstLine="560"/>
        <w:rPr>
          <w:rFonts w:hAnsi="Times New Roman"/>
        </w:rPr>
      </w:pPr>
      <w:r>
        <w:rPr>
          <w:rFonts w:hAnsi="Times New Roman"/>
        </w:rPr>
        <w:t>201</w:t>
      </w:r>
      <w:r>
        <w:rPr>
          <w:rFonts w:hint="eastAsia" w:hAnsi="Times New Roman"/>
        </w:rPr>
        <w:t>7年至</w:t>
      </w:r>
      <w:r>
        <w:rPr>
          <w:rFonts w:hAnsi="Times New Roman"/>
        </w:rPr>
        <w:t>202</w:t>
      </w:r>
      <w:r>
        <w:rPr>
          <w:rFonts w:hint="eastAsia" w:hAnsi="Times New Roman"/>
        </w:rPr>
        <w:t>1年，合作区共批准用地面积为633.22公顷，供地面积为383.41公顷，平均供地率为60.55</w:t>
      </w:r>
      <w:r>
        <w:rPr>
          <w:rFonts w:hAnsi="Times New Roman"/>
        </w:rPr>
        <w:t>%</w:t>
      </w:r>
      <w:r>
        <w:rPr>
          <w:rFonts w:hint="eastAsia" w:hAnsi="Times New Roman"/>
        </w:rPr>
        <w:t>。</w:t>
      </w:r>
    </w:p>
    <w:p>
      <w:pPr>
        <w:pStyle w:val="11"/>
        <w:spacing w:line="660" w:lineRule="exact"/>
        <w:ind w:firstLine="560"/>
        <w:rPr>
          <w:rFonts w:hAnsi="Times New Roman"/>
          <w:highlight w:val="yellow"/>
        </w:rPr>
      </w:pPr>
      <w:r>
        <w:rPr>
          <w:rFonts w:hint="eastAsia" w:hAnsi="Times New Roman"/>
        </w:rPr>
        <w:t>根据合作区2021年第四季度闲置土地统计，合作区上述供地中共涉及3宗闲置土地，共压占1.97公顷，土地闲置率为0.51</w:t>
      </w:r>
      <w:r>
        <w:rPr>
          <w:rFonts w:hAnsi="Times New Roman"/>
        </w:rPr>
        <w:t>%</w:t>
      </w:r>
      <w:r>
        <w:rPr>
          <w:rFonts w:hint="eastAsia" w:hAnsi="Times New Roman"/>
        </w:rPr>
        <w:t>。</w:t>
      </w:r>
    </w:p>
    <w:p>
      <w:pPr>
        <w:pStyle w:val="11"/>
        <w:spacing w:line="660" w:lineRule="exact"/>
        <w:ind w:firstLine="560"/>
        <w:rPr>
          <w:rFonts w:hAnsi="Times New Roman"/>
        </w:rPr>
      </w:pPr>
      <w:r>
        <w:rPr>
          <w:rFonts w:hint="eastAsia" w:hAnsi="Times New Roman"/>
        </w:rPr>
        <w:t>因此，合作区内近五年平均供地率大于6</w:t>
      </w:r>
      <w:r>
        <w:rPr>
          <w:rFonts w:hAnsi="Times New Roman"/>
        </w:rPr>
        <w:t>0</w:t>
      </w:r>
      <w:r>
        <w:rPr>
          <w:rFonts w:hint="eastAsia" w:hAnsi="Times New Roman"/>
        </w:rPr>
        <w:t>%且土地闲置率小于5%，不存在大量批而未供和闲置土地。</w:t>
      </w:r>
    </w:p>
    <w:p>
      <w:pPr>
        <w:pStyle w:val="4"/>
        <w:spacing w:line="660" w:lineRule="exact"/>
        <w:ind w:left="567" w:firstLine="0"/>
      </w:pPr>
      <w:r>
        <w:rPr>
          <w:rFonts w:hint="eastAsia"/>
        </w:rPr>
        <w:t>3．永久基本农田、生态保护红线</w:t>
      </w:r>
    </w:p>
    <w:p>
      <w:pPr>
        <w:ind w:firstLine="560" w:firstLineChars="200"/>
        <w:jc w:val="both"/>
        <w:rPr>
          <w:rFonts w:ascii="仿宋_GB2312"/>
          <w:sz w:val="28"/>
          <w:szCs w:val="28"/>
        </w:rPr>
      </w:pPr>
      <w:r>
        <w:rPr>
          <w:rFonts w:hint="eastAsia" w:ascii="仿宋_GB2312"/>
          <w:sz w:val="28"/>
          <w:szCs w:val="28"/>
        </w:rPr>
        <w:t>经核对合作区永久基本农田和生态保护红线的试划成果，开发地块均不涉及生态保护红线，开发地块不涉及永久基本农田。</w:t>
      </w:r>
    </w:p>
    <w:p>
      <w:pPr>
        <w:rPr>
          <w:lang w:val="zh-CN"/>
        </w:rPr>
      </w:pPr>
      <w:r>
        <w:drawing>
          <wp:inline distT="0" distB="0" distL="0" distR="0">
            <wp:extent cx="5296535" cy="3261360"/>
            <wp:effectExtent l="0" t="0" r="6985" b="0"/>
            <wp:docPr id="1" name="图片 1" descr="F:\地理所\深汕\成片开发\2022\图件\4.与永久基本农田、生态保护红线协调情况示意图2.jpg4.与永久基本农田、生态保护红线协调情况示意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地理所\深汕\成片开发\2022\图件\4.与永久基本农田、生态保护红线协调情况示意图2.jpg4.与永久基本农田、生态保护红线协调情况示意图2"/>
                    <pic:cNvPicPr>
                      <a:picLocks noChangeAspect="1"/>
                    </pic:cNvPicPr>
                  </pic:nvPicPr>
                  <pic:blipFill>
                    <a:blip r:embed="rId15"/>
                    <a:srcRect t="696"/>
                    <a:stretch>
                      <a:fillRect/>
                    </a:stretch>
                  </pic:blipFill>
                  <pic:spPr>
                    <a:xfrm>
                      <a:off x="0" y="0"/>
                      <a:ext cx="5296535" cy="3261360"/>
                    </a:xfrm>
                    <a:prstGeom prst="rect">
                      <a:avLst/>
                    </a:prstGeom>
                  </pic:spPr>
                </pic:pic>
              </a:graphicData>
            </a:graphic>
          </wp:inline>
        </w:drawing>
      </w:r>
    </w:p>
    <w:p>
      <w:pPr>
        <w:ind w:firstLine="482" w:firstLineChars="200"/>
        <w:rPr>
          <w:rFonts w:ascii="仿宋_GB2312"/>
          <w:b/>
          <w:bCs/>
          <w:sz w:val="24"/>
        </w:rPr>
      </w:pPr>
      <w:r>
        <w:rPr>
          <w:rFonts w:hint="eastAsia" w:ascii="仿宋_GB2312"/>
          <w:b/>
          <w:bCs/>
          <w:sz w:val="24"/>
        </w:rPr>
        <w:t>图</w:t>
      </w:r>
      <w:r>
        <w:rPr>
          <w:rFonts w:hint="eastAsia" w:cs="Times New Roman"/>
          <w:b/>
          <w:bCs/>
          <w:sz w:val="24"/>
        </w:rPr>
        <w:t>8</w:t>
      </w:r>
      <w:r>
        <w:rPr>
          <w:rFonts w:hint="eastAsia" w:ascii="仿宋_GB2312"/>
          <w:b/>
          <w:bCs/>
          <w:sz w:val="24"/>
        </w:rPr>
        <w:t xml:space="preserve">  成片开发范围与永久基本农田、生态保护红线协调情况示意图</w:t>
      </w:r>
    </w:p>
    <w:p>
      <w:pPr>
        <w:pStyle w:val="4"/>
        <w:spacing w:line="660" w:lineRule="exact"/>
      </w:pPr>
      <w:bookmarkStart w:id="38" w:name="_Toc88675653"/>
      <w:bookmarkStart w:id="39" w:name="_Toc88647609"/>
      <w:r>
        <w:rPr>
          <w:rFonts w:hint="eastAsia"/>
        </w:rPr>
        <w:t>4．成片开发拟征收范围内现状耕地情况</w:t>
      </w:r>
      <w:bookmarkEnd w:id="38"/>
      <w:bookmarkEnd w:id="39"/>
    </w:p>
    <w:p>
      <w:pPr>
        <w:pStyle w:val="11"/>
        <w:spacing w:line="660" w:lineRule="exact"/>
        <w:ind w:firstLine="560"/>
        <w:rPr>
          <w:rFonts w:hAnsi="Times New Roman"/>
        </w:rPr>
      </w:pPr>
      <w:r>
        <w:rPr>
          <w:rFonts w:hint="eastAsia" w:hAnsi="Times New Roman"/>
        </w:rPr>
        <w:t>根据合作区2018年度土地利用变更调查成果，成片开发范围内涉及现状耕地120.2483</w:t>
      </w:r>
      <w:r>
        <w:rPr>
          <w:rFonts w:hAnsi="Times New Roman"/>
        </w:rPr>
        <w:t>公顷</w:t>
      </w:r>
      <w:r>
        <w:rPr>
          <w:rFonts w:hint="eastAsia" w:hAnsi="Times New Roman"/>
        </w:rPr>
        <w:t>（水田110.4159</w:t>
      </w:r>
      <w:r>
        <w:rPr>
          <w:rFonts w:hAnsi="Times New Roman"/>
        </w:rPr>
        <w:t>公顷</w:t>
      </w:r>
      <w:r>
        <w:rPr>
          <w:rFonts w:hint="eastAsia" w:hAnsi="Times New Roman"/>
        </w:rPr>
        <w:t>、</w:t>
      </w:r>
      <w:r>
        <w:rPr>
          <w:rFonts w:hAnsi="Times New Roman"/>
        </w:rPr>
        <w:t>旱地</w:t>
      </w:r>
      <w:r>
        <w:rPr>
          <w:rFonts w:hint="eastAsia" w:hAnsi="Times New Roman"/>
        </w:rPr>
        <w:t>9.8324</w:t>
      </w:r>
      <w:r>
        <w:rPr>
          <w:rFonts w:hAnsi="Times New Roman"/>
        </w:rPr>
        <w:t>公顷</w:t>
      </w:r>
      <w:r>
        <w:rPr>
          <w:rFonts w:hint="eastAsia" w:hAnsi="Times New Roman"/>
        </w:rPr>
        <w:t>），另有可调整地类60.9201</w:t>
      </w:r>
      <w:r>
        <w:rPr>
          <w:rFonts w:hAnsi="Times New Roman"/>
        </w:rPr>
        <w:t>公顷</w:t>
      </w:r>
      <w:r>
        <w:rPr>
          <w:rFonts w:hint="eastAsia" w:hAnsi="Times New Roman"/>
        </w:rPr>
        <w:t>。涉及</w:t>
      </w:r>
      <w:r>
        <w:rPr>
          <w:rFonts w:hAnsi="Times New Roman"/>
        </w:rPr>
        <w:t>耕地</w:t>
      </w:r>
      <w:r>
        <w:rPr>
          <w:rFonts w:hint="eastAsia" w:hAnsi="Times New Roman"/>
        </w:rPr>
        <w:t>的</w:t>
      </w:r>
      <w:r>
        <w:rPr>
          <w:rFonts w:hAnsi="Times New Roman"/>
        </w:rPr>
        <w:t>质量等别</w:t>
      </w:r>
      <w:r>
        <w:rPr>
          <w:rFonts w:hint="eastAsia" w:hAnsi="Times New Roman"/>
        </w:rPr>
        <w:t>（国家利用等）为4等耕地44.9252</w:t>
      </w:r>
      <w:r>
        <w:rPr>
          <w:rFonts w:hAnsi="Times New Roman"/>
        </w:rPr>
        <w:t>公顷</w:t>
      </w:r>
      <w:r>
        <w:rPr>
          <w:rFonts w:hint="eastAsia" w:hAnsi="Times New Roman"/>
        </w:rPr>
        <w:t>、5等耕地84.9316</w:t>
      </w:r>
      <w:r>
        <w:rPr>
          <w:rFonts w:hAnsi="Times New Roman"/>
        </w:rPr>
        <w:t>公顷</w:t>
      </w:r>
      <w:r>
        <w:rPr>
          <w:rFonts w:hint="eastAsia" w:hAnsi="Times New Roman"/>
        </w:rPr>
        <w:t>、6等耕地5.9932</w:t>
      </w:r>
      <w:r>
        <w:rPr>
          <w:rFonts w:hAnsi="Times New Roman"/>
        </w:rPr>
        <w:t>公顷</w:t>
      </w:r>
      <w:r>
        <w:rPr>
          <w:rFonts w:hint="eastAsia" w:hAnsi="Times New Roman"/>
        </w:rPr>
        <w:t>、7等耕地43.4835</w:t>
      </w:r>
      <w:r>
        <w:rPr>
          <w:rFonts w:hAnsi="Times New Roman"/>
        </w:rPr>
        <w:t>公顷</w:t>
      </w:r>
      <w:r>
        <w:rPr>
          <w:rFonts w:hint="eastAsia" w:hAnsi="Times New Roman"/>
        </w:rPr>
        <w:t>。根据《国土资源部关于改进管理方式切实落实耕地占补平衡的通知》（国土资规〔2017〕13号）和《关于建设占用“可调整地类”落实耕地占补平衡意见的函》（自然资耕保函〔2020〕10号），相关用地项目在建设用地报批阶段需落实耕地占补平衡，拟通过城乡建设用地增减挂钩节余指标跨省域调剂方式一并解决补充耕地指标及土地利用计划指标问题。</w:t>
      </w:r>
    </w:p>
    <w:p>
      <w:pPr>
        <w:pStyle w:val="11"/>
        <w:spacing w:line="660" w:lineRule="exact"/>
        <w:ind w:firstLine="560"/>
        <w:rPr>
          <w:rFonts w:hAnsi="Times New Roman"/>
        </w:rPr>
        <w:sectPr>
          <w:pgSz w:w="11906" w:h="16838"/>
          <w:pgMar w:top="1418" w:right="1588" w:bottom="1418" w:left="1588" w:header="851" w:footer="851" w:gutter="0"/>
          <w:cols w:space="425" w:num="1"/>
          <w:docGrid w:type="lines" w:linePitch="312" w:charSpace="0"/>
        </w:sectPr>
      </w:pPr>
      <w:r>
        <w:rPr>
          <w:rFonts w:hint="eastAsia" w:hAnsi="Times New Roman"/>
        </w:rPr>
        <w:t>根据《广东省国土资源厅关于印发〈非农建设占用水田耕作层剥离再利用工作指引〉的通知》（粤国土资耕保发〔2018〕37号）和《广东省耕地质量管理规定》（广东省人民政府令第273号），非农建设占用耕地的，应当实施耕地耕作层剥离再利用，将剥离的耕地耕作层用于新开垦耕地、劣质地或者其他耕地的土壤改良等。相关用地项目在建设用地报批阶段将依据有关政策要求，按照“谁占用，谁剥离”的原则，由责任单位组织对拟占用耕地耕作层情况进行调查。对于耕作层适宜剥离再利用的，责任单位组织编制占用耕地耕作层剥离再利用方案，明确耕作层剥离、运输、堆放、管理、利用类型（剥离后直接利用、剥离后堆放统筹再利用）、再利用单位及资金安排等相关事项。对于耕作层已严重破坏或污染严重等特殊情形而无法实施耕作层剥离再利用的，由相关部门认定，经当地人民政府同意后报上一级自然资源部门备案，可以不实施耕作层剥离。</w:t>
      </w:r>
    </w:p>
    <w:p>
      <w:pPr>
        <w:pStyle w:val="2"/>
        <w:spacing w:before="240" w:after="240"/>
      </w:pPr>
      <w:bookmarkStart w:id="40" w:name="_Toc96938929"/>
      <w:r>
        <w:rPr>
          <w:rFonts w:hint="eastAsia"/>
        </w:rPr>
        <w:t>五、成片开发拟安排的建设项目、开发时序和年度实施计划</w:t>
      </w:r>
      <w:bookmarkEnd w:id="40"/>
    </w:p>
    <w:p>
      <w:pPr>
        <w:pStyle w:val="3"/>
      </w:pPr>
      <w:bookmarkStart w:id="41" w:name="_Toc96938930"/>
      <w:r>
        <w:rPr>
          <w:rFonts w:hint="eastAsia"/>
        </w:rPr>
        <w:t>（一）建设项目</w:t>
      </w:r>
      <w:bookmarkEnd w:id="41"/>
    </w:p>
    <w:p>
      <w:pPr>
        <w:pStyle w:val="11"/>
        <w:ind w:firstLine="560"/>
        <w:rPr>
          <w:rFonts w:hAnsi="Times New Roman"/>
          <w:highlight w:val="yellow"/>
        </w:rPr>
      </w:pPr>
      <w:r>
        <w:rPr>
          <w:rFonts w:hint="eastAsia" w:hAnsi="Times New Roman"/>
        </w:rPr>
        <w:t>成片开发范围内共1个地块，拟安排1个产业项目、4个配套交通设施项目、1个配套城市公园项目，总用土地面积527.5923公顷，拟征收土地面积481</w:t>
      </w:r>
      <w:r>
        <w:rPr>
          <w:rFonts w:hint="eastAsia"/>
        </w:rPr>
        <w:t>.</w:t>
      </w:r>
      <w:r>
        <w:rPr>
          <w:rFonts w:hint="eastAsia" w:hAnsi="Times New Roman"/>
        </w:rPr>
        <w:t>1050公顷，占成片开发范围面积的</w:t>
      </w:r>
      <w:r>
        <w:rPr>
          <w:rFonts w:hint="eastAsia"/>
        </w:rPr>
        <w:t>91.19</w:t>
      </w:r>
      <w:r>
        <w:rPr>
          <w:rFonts w:hint="eastAsia" w:hAnsi="Times New Roman"/>
        </w:rPr>
        <w:t>%，详见表4。</w:t>
      </w:r>
    </w:p>
    <w:p>
      <w:pPr>
        <w:pStyle w:val="14"/>
      </w:pPr>
      <w:r>
        <w:rPr>
          <w:rFonts w:hint="eastAsia"/>
        </w:rPr>
        <w:t>表</w:t>
      </w:r>
      <w:r>
        <w:rPr>
          <w:rFonts w:hint="eastAsia"/>
          <w:lang w:val="en-US"/>
        </w:rPr>
        <w:t>4</w:t>
      </w:r>
      <w:r>
        <w:rPr>
          <w:rFonts w:hint="eastAsia"/>
        </w:rPr>
        <w:t xml:space="preserve">  </w:t>
      </w:r>
      <w:r>
        <w:rPr>
          <w:rFonts w:hint="eastAsia"/>
          <w:lang w:val="en-US"/>
        </w:rPr>
        <w:t>建设项目明细</w:t>
      </w:r>
      <w:r>
        <w:rPr>
          <w:rFonts w:hint="eastAsia"/>
        </w:rPr>
        <w:t>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3280"/>
        <w:gridCol w:w="1286"/>
        <w:gridCol w:w="1132"/>
        <w:gridCol w:w="1183"/>
        <w:gridCol w:w="1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exact"/>
          <w:tblHeader/>
          <w:jc w:val="center"/>
        </w:trPr>
        <w:tc>
          <w:tcPr>
            <w:tcW w:w="656" w:type="dxa"/>
            <w:vAlign w:val="center"/>
          </w:tcPr>
          <w:p>
            <w:pPr>
              <w:spacing w:line="400" w:lineRule="exact"/>
              <w:rPr>
                <w:rFonts w:cs="Times New Roman"/>
                <w:szCs w:val="22"/>
              </w:rPr>
            </w:pPr>
            <w:r>
              <w:rPr>
                <w:rFonts w:hint="eastAsia" w:cs="Times New Roman"/>
                <w:szCs w:val="22"/>
              </w:rPr>
              <w:t>序号</w:t>
            </w:r>
          </w:p>
        </w:tc>
        <w:tc>
          <w:tcPr>
            <w:tcW w:w="3280" w:type="dxa"/>
            <w:vAlign w:val="center"/>
          </w:tcPr>
          <w:p>
            <w:pPr>
              <w:spacing w:line="400" w:lineRule="exact"/>
              <w:rPr>
                <w:rFonts w:cs="Times New Roman"/>
                <w:bCs/>
                <w:szCs w:val="22"/>
              </w:rPr>
            </w:pPr>
            <w:r>
              <w:rPr>
                <w:rFonts w:hint="eastAsia" w:cs="Times New Roman"/>
                <w:bCs/>
                <w:szCs w:val="22"/>
              </w:rPr>
              <w:t>建设项目</w:t>
            </w:r>
          </w:p>
        </w:tc>
        <w:tc>
          <w:tcPr>
            <w:tcW w:w="1286" w:type="dxa"/>
            <w:vAlign w:val="center"/>
          </w:tcPr>
          <w:p>
            <w:pPr>
              <w:spacing w:line="400" w:lineRule="exact"/>
              <w:rPr>
                <w:rFonts w:cs="Times New Roman"/>
                <w:bCs/>
                <w:szCs w:val="22"/>
              </w:rPr>
            </w:pPr>
            <w:r>
              <w:rPr>
                <w:rFonts w:hint="eastAsia" w:cs="Times New Roman"/>
                <w:bCs/>
                <w:szCs w:val="22"/>
              </w:rPr>
              <w:t>主要用途</w:t>
            </w:r>
          </w:p>
        </w:tc>
        <w:tc>
          <w:tcPr>
            <w:tcW w:w="1132" w:type="dxa"/>
            <w:vAlign w:val="center"/>
          </w:tcPr>
          <w:p>
            <w:pPr>
              <w:spacing w:line="400" w:lineRule="exact"/>
              <w:rPr>
                <w:rFonts w:cs="Times New Roman"/>
                <w:bCs/>
                <w:szCs w:val="22"/>
              </w:rPr>
            </w:pPr>
            <w:r>
              <w:rPr>
                <w:rFonts w:hint="eastAsia" w:cs="Times New Roman"/>
                <w:bCs/>
                <w:szCs w:val="22"/>
              </w:rPr>
              <w:t>用地面积</w:t>
            </w:r>
          </w:p>
          <w:p>
            <w:pPr>
              <w:spacing w:line="400" w:lineRule="exact"/>
              <w:rPr>
                <w:rFonts w:cs="Times New Roman"/>
                <w:bCs/>
                <w:szCs w:val="22"/>
              </w:rPr>
            </w:pPr>
            <w:r>
              <w:rPr>
                <w:rFonts w:hint="eastAsia" w:cs="Times New Roman"/>
                <w:bCs/>
                <w:szCs w:val="22"/>
              </w:rPr>
              <w:t>（公顷）</w:t>
            </w:r>
          </w:p>
        </w:tc>
        <w:tc>
          <w:tcPr>
            <w:tcW w:w="1183" w:type="dxa"/>
            <w:vAlign w:val="center"/>
          </w:tcPr>
          <w:p>
            <w:pPr>
              <w:spacing w:line="400" w:lineRule="exact"/>
              <w:rPr>
                <w:rFonts w:cs="Times New Roman"/>
                <w:bCs/>
                <w:szCs w:val="22"/>
              </w:rPr>
            </w:pPr>
            <w:r>
              <w:rPr>
                <w:rFonts w:hint="eastAsia" w:cs="Times New Roman"/>
                <w:bCs/>
                <w:szCs w:val="22"/>
              </w:rPr>
              <w:t>拟征面积</w:t>
            </w:r>
          </w:p>
          <w:p>
            <w:pPr>
              <w:spacing w:line="400" w:lineRule="exact"/>
              <w:rPr>
                <w:rFonts w:cs="Times New Roman"/>
                <w:bCs/>
                <w:szCs w:val="22"/>
              </w:rPr>
            </w:pPr>
            <w:r>
              <w:rPr>
                <w:rFonts w:hint="eastAsia" w:cs="Times New Roman"/>
                <w:bCs/>
                <w:szCs w:val="22"/>
              </w:rPr>
              <w:t>（公顷）</w:t>
            </w:r>
          </w:p>
        </w:tc>
        <w:tc>
          <w:tcPr>
            <w:tcW w:w="1409" w:type="dxa"/>
            <w:vAlign w:val="center"/>
          </w:tcPr>
          <w:p>
            <w:pPr>
              <w:spacing w:line="400" w:lineRule="exact"/>
              <w:rPr>
                <w:rFonts w:cs="Times New Roman"/>
                <w:bCs/>
                <w:szCs w:val="22"/>
              </w:rPr>
            </w:pPr>
            <w:r>
              <w:rPr>
                <w:rFonts w:hint="eastAsia" w:cs="Times New Roman"/>
                <w:bCs/>
                <w:szCs w:val="22"/>
              </w:rPr>
              <w:t>征收比例（%）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exact"/>
          <w:jc w:val="center"/>
        </w:trPr>
        <w:tc>
          <w:tcPr>
            <w:tcW w:w="656" w:type="dxa"/>
            <w:vAlign w:val="center"/>
          </w:tcPr>
          <w:p>
            <w:pPr>
              <w:spacing w:line="400" w:lineRule="exact"/>
              <w:rPr>
                <w:rFonts w:cs="Times New Roman"/>
                <w:szCs w:val="22"/>
              </w:rPr>
            </w:pPr>
            <w:r>
              <w:rPr>
                <w:rFonts w:hint="eastAsia" w:cs="Times New Roman"/>
                <w:szCs w:val="22"/>
              </w:rPr>
              <w:t>1</w:t>
            </w:r>
          </w:p>
        </w:tc>
        <w:tc>
          <w:tcPr>
            <w:tcW w:w="3280" w:type="dxa"/>
            <w:vAlign w:val="center"/>
          </w:tcPr>
          <w:p>
            <w:pPr>
              <w:spacing w:line="400" w:lineRule="exact"/>
              <w:rPr>
                <w:rFonts w:cs="Times New Roman"/>
                <w:szCs w:val="22"/>
              </w:rPr>
            </w:pPr>
            <w:r>
              <w:rPr>
                <w:rFonts w:hint="eastAsia"/>
              </w:rPr>
              <w:t>新能源汽车产业基地</w:t>
            </w:r>
          </w:p>
        </w:tc>
        <w:tc>
          <w:tcPr>
            <w:tcW w:w="1286" w:type="dxa"/>
            <w:vAlign w:val="center"/>
          </w:tcPr>
          <w:p>
            <w:pPr>
              <w:spacing w:line="400" w:lineRule="exact"/>
              <w:rPr>
                <w:rFonts w:cs="Times New Roman"/>
                <w:szCs w:val="22"/>
              </w:rPr>
            </w:pPr>
            <w:r>
              <w:rPr>
                <w:rFonts w:hint="eastAsia" w:cs="Times New Roman"/>
                <w:szCs w:val="22"/>
              </w:rPr>
              <w:t>工业用地公园绿地</w:t>
            </w:r>
          </w:p>
        </w:tc>
        <w:tc>
          <w:tcPr>
            <w:tcW w:w="1132" w:type="dxa"/>
            <w:vAlign w:val="center"/>
          </w:tcPr>
          <w:p>
            <w:pPr>
              <w:spacing w:line="400" w:lineRule="exact"/>
              <w:rPr>
                <w:rFonts w:cs="Times New Roman"/>
                <w:szCs w:val="22"/>
              </w:rPr>
            </w:pPr>
            <w:r>
              <w:rPr>
                <w:rFonts w:hint="eastAsia"/>
              </w:rPr>
              <w:t>325.7564</w:t>
            </w:r>
          </w:p>
        </w:tc>
        <w:tc>
          <w:tcPr>
            <w:tcW w:w="1183" w:type="dxa"/>
            <w:vAlign w:val="center"/>
          </w:tcPr>
          <w:p>
            <w:pPr>
              <w:spacing w:line="400" w:lineRule="exact"/>
              <w:rPr>
                <w:rFonts w:cs="Times New Roman"/>
                <w:szCs w:val="22"/>
              </w:rPr>
            </w:pPr>
            <w:r>
              <w:rPr>
                <w:rFonts w:hint="eastAsia" w:cs="Times New Roman"/>
                <w:szCs w:val="22"/>
              </w:rPr>
              <w:t>317.4054</w:t>
            </w:r>
          </w:p>
        </w:tc>
        <w:tc>
          <w:tcPr>
            <w:tcW w:w="1409" w:type="dxa"/>
            <w:vAlign w:val="center"/>
          </w:tcPr>
          <w:p>
            <w:pPr>
              <w:spacing w:line="400" w:lineRule="exact"/>
              <w:rPr>
                <w:rFonts w:cs="Times New Roman"/>
                <w:szCs w:val="22"/>
              </w:rPr>
            </w:pPr>
            <w:r>
              <w:rPr>
                <w:rFonts w:hint="eastAsia" w:cs="Times New Roman"/>
                <w:szCs w:val="22"/>
              </w:rPr>
              <w:t>97.44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exact"/>
          <w:jc w:val="center"/>
        </w:trPr>
        <w:tc>
          <w:tcPr>
            <w:tcW w:w="656" w:type="dxa"/>
            <w:vAlign w:val="center"/>
          </w:tcPr>
          <w:p>
            <w:pPr>
              <w:spacing w:line="400" w:lineRule="exact"/>
              <w:rPr>
                <w:rFonts w:cs="Times New Roman"/>
                <w:szCs w:val="22"/>
              </w:rPr>
            </w:pPr>
            <w:r>
              <w:rPr>
                <w:rFonts w:hint="eastAsia" w:cs="Times New Roman"/>
                <w:szCs w:val="22"/>
              </w:rPr>
              <w:t>2</w:t>
            </w:r>
          </w:p>
        </w:tc>
        <w:tc>
          <w:tcPr>
            <w:tcW w:w="3280" w:type="dxa"/>
            <w:vAlign w:val="center"/>
          </w:tcPr>
          <w:p>
            <w:pPr>
              <w:spacing w:line="400" w:lineRule="exact"/>
              <w:rPr>
                <w:rFonts w:cs="Times New Roman"/>
                <w:szCs w:val="22"/>
              </w:rPr>
            </w:pPr>
            <w:r>
              <w:rPr>
                <w:rFonts w:hint="eastAsia" w:cs="Times New Roman"/>
                <w:szCs w:val="22"/>
              </w:rPr>
              <w:t>鹏兴大道、红海大道、通港大道、小漠港口配套</w:t>
            </w:r>
            <w:r>
              <w:rPr>
                <w:rFonts w:hint="eastAsia" w:cs="Times New Roman"/>
                <w:bCs/>
                <w:color w:val="000000"/>
                <w:szCs w:val="22"/>
              </w:rPr>
              <w:t>交通设施</w:t>
            </w:r>
          </w:p>
        </w:tc>
        <w:tc>
          <w:tcPr>
            <w:tcW w:w="1286" w:type="dxa"/>
            <w:vAlign w:val="center"/>
          </w:tcPr>
          <w:p>
            <w:pPr>
              <w:spacing w:line="400" w:lineRule="exact"/>
              <w:rPr>
                <w:rFonts w:cs="Times New Roman"/>
                <w:bCs/>
                <w:color w:val="000000"/>
                <w:szCs w:val="22"/>
              </w:rPr>
            </w:pPr>
            <w:r>
              <w:rPr>
                <w:rFonts w:hint="eastAsia" w:cs="Times New Roman"/>
                <w:szCs w:val="22"/>
              </w:rPr>
              <w:t>交通设施公园绿地</w:t>
            </w:r>
          </w:p>
        </w:tc>
        <w:tc>
          <w:tcPr>
            <w:tcW w:w="1132" w:type="dxa"/>
            <w:vAlign w:val="center"/>
          </w:tcPr>
          <w:p>
            <w:pPr>
              <w:spacing w:line="400" w:lineRule="exact"/>
            </w:pPr>
            <w:r>
              <w:rPr>
                <w:rFonts w:hint="eastAsia"/>
              </w:rPr>
              <w:t>164.1332</w:t>
            </w:r>
          </w:p>
        </w:tc>
        <w:tc>
          <w:tcPr>
            <w:tcW w:w="1183" w:type="dxa"/>
            <w:vAlign w:val="center"/>
          </w:tcPr>
          <w:p>
            <w:pPr>
              <w:spacing w:line="400" w:lineRule="exact"/>
              <w:rPr>
                <w:rFonts w:cs="Times New Roman"/>
                <w:bCs/>
                <w:color w:val="000000"/>
                <w:szCs w:val="22"/>
              </w:rPr>
            </w:pPr>
            <w:r>
              <w:rPr>
                <w:rFonts w:hint="eastAsia" w:cs="Times New Roman"/>
                <w:bCs/>
                <w:color w:val="000000"/>
                <w:szCs w:val="22"/>
              </w:rPr>
              <w:t>127.4516</w:t>
            </w:r>
          </w:p>
        </w:tc>
        <w:tc>
          <w:tcPr>
            <w:tcW w:w="1409" w:type="dxa"/>
            <w:vAlign w:val="center"/>
          </w:tcPr>
          <w:p>
            <w:pPr>
              <w:spacing w:line="400" w:lineRule="exact"/>
              <w:rPr>
                <w:rFonts w:cs="Times New Roman"/>
                <w:szCs w:val="22"/>
              </w:rPr>
            </w:pPr>
            <w:r>
              <w:rPr>
                <w:rFonts w:hint="eastAsia" w:cs="Times New Roman"/>
                <w:szCs w:val="22"/>
              </w:rPr>
              <w:t>77.65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exact"/>
          <w:jc w:val="center"/>
        </w:trPr>
        <w:tc>
          <w:tcPr>
            <w:tcW w:w="656" w:type="dxa"/>
            <w:vAlign w:val="center"/>
          </w:tcPr>
          <w:p>
            <w:pPr>
              <w:spacing w:line="400" w:lineRule="exact"/>
              <w:rPr>
                <w:rFonts w:cs="Times New Roman"/>
                <w:szCs w:val="22"/>
              </w:rPr>
            </w:pPr>
            <w:r>
              <w:rPr>
                <w:rFonts w:hint="eastAsia" w:cs="Times New Roman"/>
                <w:szCs w:val="22"/>
              </w:rPr>
              <w:t>3</w:t>
            </w:r>
          </w:p>
        </w:tc>
        <w:tc>
          <w:tcPr>
            <w:tcW w:w="3280" w:type="dxa"/>
            <w:vAlign w:val="center"/>
          </w:tcPr>
          <w:p>
            <w:pPr>
              <w:spacing w:line="400" w:lineRule="exact"/>
              <w:rPr>
                <w:rFonts w:cs="Times New Roman"/>
                <w:szCs w:val="22"/>
              </w:rPr>
            </w:pPr>
            <w:r>
              <w:rPr>
                <w:rFonts w:hint="eastAsia" w:cs="Times New Roman"/>
                <w:szCs w:val="22"/>
              </w:rPr>
              <w:t>香山文化公园及配套公用设施</w:t>
            </w:r>
          </w:p>
        </w:tc>
        <w:tc>
          <w:tcPr>
            <w:tcW w:w="1286" w:type="dxa"/>
            <w:vAlign w:val="center"/>
          </w:tcPr>
          <w:p>
            <w:pPr>
              <w:spacing w:line="400" w:lineRule="exact"/>
              <w:rPr>
                <w:rFonts w:cs="Times New Roman"/>
                <w:bCs/>
                <w:color w:val="000000"/>
                <w:szCs w:val="22"/>
              </w:rPr>
            </w:pPr>
            <w:r>
              <w:rPr>
                <w:rFonts w:hint="eastAsia" w:cs="Times New Roman"/>
                <w:bCs/>
                <w:color w:val="000000"/>
                <w:szCs w:val="22"/>
              </w:rPr>
              <w:t>公园绿地</w:t>
            </w:r>
          </w:p>
          <w:p>
            <w:pPr>
              <w:spacing w:line="400" w:lineRule="exact"/>
              <w:rPr>
                <w:rFonts w:cs="Times New Roman"/>
                <w:bCs/>
                <w:color w:val="000000"/>
                <w:szCs w:val="22"/>
              </w:rPr>
            </w:pPr>
            <w:r>
              <w:rPr>
                <w:rFonts w:hint="eastAsia" w:cs="Times New Roman"/>
                <w:bCs/>
                <w:color w:val="000000"/>
                <w:szCs w:val="22"/>
              </w:rPr>
              <w:t>公用设施</w:t>
            </w:r>
          </w:p>
        </w:tc>
        <w:tc>
          <w:tcPr>
            <w:tcW w:w="1132" w:type="dxa"/>
            <w:vAlign w:val="center"/>
          </w:tcPr>
          <w:p>
            <w:pPr>
              <w:spacing w:line="400" w:lineRule="exact"/>
            </w:pPr>
            <w:r>
              <w:rPr>
                <w:rFonts w:hint="eastAsia"/>
              </w:rPr>
              <w:t>37.7027</w:t>
            </w:r>
          </w:p>
        </w:tc>
        <w:tc>
          <w:tcPr>
            <w:tcW w:w="1183" w:type="dxa"/>
            <w:vAlign w:val="center"/>
          </w:tcPr>
          <w:p>
            <w:pPr>
              <w:spacing w:line="400" w:lineRule="exact"/>
              <w:rPr>
                <w:rFonts w:cs="Times New Roman"/>
                <w:bCs/>
                <w:color w:val="000000"/>
                <w:szCs w:val="22"/>
              </w:rPr>
            </w:pPr>
            <w:r>
              <w:rPr>
                <w:rFonts w:hint="eastAsia" w:cs="Times New Roman"/>
                <w:bCs/>
                <w:color w:val="000000"/>
                <w:szCs w:val="22"/>
              </w:rPr>
              <w:t>36.2480</w:t>
            </w:r>
          </w:p>
        </w:tc>
        <w:tc>
          <w:tcPr>
            <w:tcW w:w="1409" w:type="dxa"/>
            <w:vAlign w:val="center"/>
          </w:tcPr>
          <w:p>
            <w:pPr>
              <w:spacing w:line="400" w:lineRule="exact"/>
              <w:rPr>
                <w:rFonts w:cs="Times New Roman"/>
                <w:szCs w:val="22"/>
              </w:rPr>
            </w:pPr>
            <w:r>
              <w:rPr>
                <w:rFonts w:hint="eastAsia" w:cs="Times New Roman"/>
                <w:szCs w:val="22"/>
              </w:rPr>
              <w:t>96.14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56" w:type="dxa"/>
            <w:vAlign w:val="center"/>
          </w:tcPr>
          <w:p>
            <w:pPr>
              <w:spacing w:line="400" w:lineRule="exact"/>
              <w:rPr>
                <w:rFonts w:cs="Times New Roman"/>
                <w:szCs w:val="22"/>
              </w:rPr>
            </w:pPr>
            <w:r>
              <w:rPr>
                <w:rFonts w:hint="eastAsia" w:cs="Times New Roman"/>
                <w:szCs w:val="22"/>
              </w:rPr>
              <w:t>合计</w:t>
            </w:r>
          </w:p>
        </w:tc>
        <w:tc>
          <w:tcPr>
            <w:tcW w:w="4566" w:type="dxa"/>
            <w:gridSpan w:val="2"/>
            <w:vAlign w:val="center"/>
          </w:tcPr>
          <w:p>
            <w:pPr>
              <w:spacing w:line="400" w:lineRule="exact"/>
              <w:rPr>
                <w:rFonts w:cs="Times New Roman"/>
                <w:bCs/>
                <w:color w:val="000000"/>
                <w:szCs w:val="22"/>
              </w:rPr>
            </w:pPr>
            <w:r>
              <w:rPr>
                <w:rFonts w:hint="eastAsia" w:cs="Times New Roman"/>
                <w:bCs/>
                <w:color w:val="000000"/>
                <w:szCs w:val="22"/>
              </w:rPr>
              <w:t>——</w:t>
            </w:r>
            <w:r>
              <w:rPr>
                <w:rFonts w:hint="eastAsia" w:cs="Times New Roman"/>
                <w:szCs w:val="22"/>
              </w:rPr>
              <w:t>——</w:t>
            </w:r>
          </w:p>
        </w:tc>
        <w:tc>
          <w:tcPr>
            <w:tcW w:w="1132" w:type="dxa"/>
            <w:vAlign w:val="center"/>
          </w:tcPr>
          <w:p>
            <w:pPr>
              <w:spacing w:line="400" w:lineRule="exact"/>
              <w:rPr>
                <w:rFonts w:cs="Times New Roman"/>
                <w:b/>
                <w:bCs/>
                <w:szCs w:val="22"/>
              </w:rPr>
            </w:pPr>
            <w:r>
              <w:rPr>
                <w:rFonts w:hint="eastAsia"/>
              </w:rPr>
              <w:t>527.5923</w:t>
            </w:r>
          </w:p>
        </w:tc>
        <w:tc>
          <w:tcPr>
            <w:tcW w:w="1183" w:type="dxa"/>
            <w:vAlign w:val="center"/>
          </w:tcPr>
          <w:p>
            <w:pPr>
              <w:spacing w:line="400" w:lineRule="exact"/>
              <w:rPr>
                <w:rFonts w:cs="Times New Roman"/>
                <w:b/>
                <w:bCs/>
                <w:szCs w:val="22"/>
              </w:rPr>
            </w:pPr>
            <w:r>
              <w:rPr>
                <w:rFonts w:hint="eastAsia"/>
              </w:rPr>
              <w:t>481.1050</w:t>
            </w:r>
          </w:p>
        </w:tc>
        <w:tc>
          <w:tcPr>
            <w:tcW w:w="1409" w:type="dxa"/>
            <w:vAlign w:val="center"/>
          </w:tcPr>
          <w:p>
            <w:pPr>
              <w:spacing w:line="400" w:lineRule="exact"/>
              <w:rPr>
                <w:rFonts w:cs="Times New Roman"/>
                <w:b/>
                <w:bCs/>
                <w:szCs w:val="22"/>
              </w:rPr>
            </w:pPr>
            <w:r>
              <w:rPr>
                <w:rFonts w:hint="eastAsia"/>
              </w:rPr>
              <w:t>91.19</w:t>
            </w:r>
          </w:p>
        </w:tc>
      </w:tr>
    </w:tbl>
    <w:p/>
    <w:p>
      <w:pPr>
        <w:pStyle w:val="3"/>
      </w:pPr>
      <w:bookmarkStart w:id="42" w:name="_Toc96938931"/>
      <w:r>
        <w:rPr>
          <w:rFonts w:hint="eastAsia"/>
        </w:rPr>
        <w:t>（二）开发时序及年度实施计划</w:t>
      </w:r>
      <w:bookmarkEnd w:id="42"/>
    </w:p>
    <w:p>
      <w:pPr>
        <w:pStyle w:val="11"/>
        <w:ind w:firstLine="560"/>
        <w:rPr>
          <w:rFonts w:hAnsi="Times New Roman"/>
        </w:rPr>
      </w:pPr>
      <w:r>
        <w:rPr>
          <w:rFonts w:hint="eastAsia" w:hAnsi="Times New Roman"/>
        </w:rPr>
        <w:t>结合片区规划建设进展情况、被征地单位意愿、征地资金情况、土地报批计划等因素，本次成片开发拟用地开发时序为202</w:t>
      </w:r>
      <w:r>
        <w:rPr>
          <w:rFonts w:hAnsi="Times New Roman"/>
        </w:rPr>
        <w:t>2</w:t>
      </w:r>
      <w:r>
        <w:rPr>
          <w:rFonts w:hint="eastAsia" w:hAnsi="Times New Roman"/>
        </w:rPr>
        <w:t>-2024年，即到 2024年完成全部征地工作。合作区计划2022年内开展新能源汽车产业基地的土地征收，分三年完成总面积317.4054公顷的土地征收；2023年内开展鹏兴大道、红海大道、通港大道、小漠港口配套交通设施的土地征收，分两年完成总面积127.4516公顷的土地征收；2024年内完成香山文化公园及配套公用设施总面积</w:t>
      </w:r>
      <w:r>
        <w:rPr>
          <w:rFonts w:hint="eastAsia" w:cs="Times New Roman"/>
          <w:bCs/>
          <w:color w:val="000000"/>
          <w:szCs w:val="22"/>
        </w:rPr>
        <w:t>36.2480</w:t>
      </w:r>
      <w:r>
        <w:rPr>
          <w:rFonts w:hint="eastAsia" w:hAnsi="Times New Roman"/>
        </w:rPr>
        <w:t>公顷的土地征收，详见表5</w:t>
      </w:r>
    </w:p>
    <w:p>
      <w:pPr>
        <w:pStyle w:val="11"/>
        <w:ind w:firstLine="560"/>
        <w:rPr>
          <w:rFonts w:hAnsi="Times New Roman"/>
        </w:rPr>
      </w:pPr>
    </w:p>
    <w:p>
      <w:pPr>
        <w:pStyle w:val="14"/>
      </w:pPr>
      <w:r>
        <w:rPr>
          <w:rFonts w:hint="eastAsia"/>
        </w:rPr>
        <w:t>表</w:t>
      </w:r>
      <w:r>
        <w:rPr>
          <w:rFonts w:hint="eastAsia"/>
          <w:lang w:val="en-US"/>
        </w:rPr>
        <w:t>5</w:t>
      </w:r>
      <w:r>
        <w:rPr>
          <w:rFonts w:hint="eastAsia"/>
        </w:rPr>
        <w:t xml:space="preserve">  </w:t>
      </w:r>
      <w:r>
        <w:t>成片开发范围</w:t>
      </w:r>
      <w:r>
        <w:rPr>
          <w:rFonts w:hint="eastAsia"/>
        </w:rPr>
        <w:t>实施计划表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496"/>
        <w:gridCol w:w="1104"/>
        <w:gridCol w:w="1164"/>
        <w:gridCol w:w="1200"/>
        <w:gridCol w:w="1108"/>
        <w:gridCol w:w="1108"/>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exact"/>
          <w:tblHeader/>
          <w:jc w:val="center"/>
        </w:trPr>
        <w:tc>
          <w:tcPr>
            <w:tcW w:w="656" w:type="dxa"/>
            <w:vAlign w:val="center"/>
          </w:tcPr>
          <w:p>
            <w:pPr>
              <w:spacing w:line="400" w:lineRule="exact"/>
              <w:rPr>
                <w:rFonts w:cs="Times New Roman"/>
                <w:szCs w:val="22"/>
              </w:rPr>
            </w:pPr>
            <w:r>
              <w:rPr>
                <w:rFonts w:hint="eastAsia" w:cs="Times New Roman"/>
                <w:szCs w:val="22"/>
              </w:rPr>
              <w:t>序号</w:t>
            </w:r>
          </w:p>
        </w:tc>
        <w:tc>
          <w:tcPr>
            <w:tcW w:w="1496" w:type="dxa"/>
            <w:vAlign w:val="center"/>
          </w:tcPr>
          <w:p>
            <w:pPr>
              <w:spacing w:line="400" w:lineRule="exact"/>
              <w:rPr>
                <w:rFonts w:cs="Times New Roman"/>
                <w:bCs/>
                <w:szCs w:val="22"/>
              </w:rPr>
            </w:pPr>
            <w:r>
              <w:rPr>
                <w:rFonts w:hint="eastAsia" w:cs="Times New Roman"/>
                <w:bCs/>
                <w:szCs w:val="22"/>
              </w:rPr>
              <w:t>建设项目</w:t>
            </w:r>
          </w:p>
        </w:tc>
        <w:tc>
          <w:tcPr>
            <w:tcW w:w="1104" w:type="dxa"/>
            <w:vAlign w:val="center"/>
          </w:tcPr>
          <w:p>
            <w:pPr>
              <w:spacing w:line="400" w:lineRule="exact"/>
              <w:rPr>
                <w:rFonts w:cs="Times New Roman"/>
                <w:bCs/>
                <w:szCs w:val="22"/>
              </w:rPr>
            </w:pPr>
            <w:r>
              <w:rPr>
                <w:rFonts w:hint="eastAsia" w:cs="Times New Roman"/>
                <w:bCs/>
                <w:szCs w:val="22"/>
              </w:rPr>
              <w:t>主要用途</w:t>
            </w:r>
          </w:p>
        </w:tc>
        <w:tc>
          <w:tcPr>
            <w:tcW w:w="1164" w:type="dxa"/>
            <w:vAlign w:val="center"/>
          </w:tcPr>
          <w:p>
            <w:pPr>
              <w:spacing w:line="400" w:lineRule="exact"/>
              <w:rPr>
                <w:rFonts w:cs="Times New Roman"/>
                <w:bCs/>
                <w:szCs w:val="22"/>
              </w:rPr>
            </w:pPr>
            <w:r>
              <w:rPr>
                <w:rFonts w:hint="eastAsia" w:cs="Times New Roman"/>
                <w:bCs/>
                <w:szCs w:val="22"/>
              </w:rPr>
              <w:t>用地面积</w:t>
            </w:r>
          </w:p>
          <w:p>
            <w:pPr>
              <w:spacing w:line="400" w:lineRule="exact"/>
              <w:rPr>
                <w:rFonts w:cs="Times New Roman"/>
                <w:bCs/>
                <w:szCs w:val="22"/>
              </w:rPr>
            </w:pPr>
            <w:r>
              <w:rPr>
                <w:rFonts w:hint="eastAsia" w:cs="Times New Roman"/>
                <w:bCs/>
                <w:szCs w:val="22"/>
              </w:rPr>
              <w:t>（公顷）</w:t>
            </w:r>
          </w:p>
        </w:tc>
        <w:tc>
          <w:tcPr>
            <w:tcW w:w="1200" w:type="dxa"/>
            <w:vAlign w:val="center"/>
          </w:tcPr>
          <w:p>
            <w:pPr>
              <w:spacing w:line="400" w:lineRule="exact"/>
              <w:rPr>
                <w:rFonts w:cs="Times New Roman"/>
                <w:bCs/>
                <w:szCs w:val="22"/>
              </w:rPr>
            </w:pPr>
            <w:r>
              <w:rPr>
                <w:rFonts w:hint="eastAsia" w:cs="Times New Roman"/>
                <w:bCs/>
                <w:szCs w:val="22"/>
              </w:rPr>
              <w:t>拟征面积</w:t>
            </w:r>
          </w:p>
          <w:p>
            <w:pPr>
              <w:spacing w:line="400" w:lineRule="exact"/>
              <w:rPr>
                <w:rFonts w:cs="Times New Roman"/>
                <w:bCs/>
                <w:szCs w:val="22"/>
              </w:rPr>
            </w:pPr>
            <w:r>
              <w:rPr>
                <w:rFonts w:hint="eastAsia" w:cs="Times New Roman"/>
                <w:bCs/>
                <w:szCs w:val="22"/>
              </w:rPr>
              <w:t>（公顷）</w:t>
            </w:r>
          </w:p>
        </w:tc>
        <w:tc>
          <w:tcPr>
            <w:tcW w:w="1108" w:type="dxa"/>
            <w:vAlign w:val="center"/>
          </w:tcPr>
          <w:p>
            <w:pPr>
              <w:spacing w:line="400" w:lineRule="exact"/>
              <w:rPr>
                <w:rFonts w:cs="Times New Roman"/>
                <w:bCs/>
                <w:szCs w:val="22"/>
              </w:rPr>
            </w:pPr>
            <w:r>
              <w:rPr>
                <w:rFonts w:hint="eastAsia" w:cs="Times New Roman"/>
                <w:bCs/>
                <w:szCs w:val="22"/>
              </w:rPr>
              <w:t>2022年征地计划</w:t>
            </w:r>
          </w:p>
        </w:tc>
        <w:tc>
          <w:tcPr>
            <w:tcW w:w="1108" w:type="dxa"/>
            <w:vAlign w:val="center"/>
          </w:tcPr>
          <w:p>
            <w:pPr>
              <w:spacing w:line="400" w:lineRule="exact"/>
              <w:rPr>
                <w:rFonts w:cs="Times New Roman"/>
                <w:bCs/>
                <w:szCs w:val="22"/>
              </w:rPr>
            </w:pPr>
            <w:r>
              <w:rPr>
                <w:rFonts w:hint="eastAsia" w:cs="Times New Roman"/>
                <w:bCs/>
                <w:szCs w:val="22"/>
              </w:rPr>
              <w:t>2023年征地计划</w:t>
            </w:r>
          </w:p>
        </w:tc>
        <w:tc>
          <w:tcPr>
            <w:tcW w:w="1110" w:type="dxa"/>
            <w:vAlign w:val="center"/>
          </w:tcPr>
          <w:p>
            <w:pPr>
              <w:spacing w:line="400" w:lineRule="exact"/>
              <w:rPr>
                <w:rFonts w:cs="Times New Roman"/>
                <w:bCs/>
                <w:szCs w:val="22"/>
              </w:rPr>
            </w:pPr>
            <w:r>
              <w:rPr>
                <w:rFonts w:hint="eastAsia" w:cs="Times New Roman"/>
                <w:bCs/>
                <w:szCs w:val="22"/>
              </w:rPr>
              <w:t>2024年征地计划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656" w:type="dxa"/>
            <w:vAlign w:val="center"/>
          </w:tcPr>
          <w:p>
            <w:pPr>
              <w:spacing w:line="400" w:lineRule="exact"/>
              <w:rPr>
                <w:rFonts w:cs="Times New Roman"/>
                <w:szCs w:val="22"/>
              </w:rPr>
            </w:pPr>
            <w:r>
              <w:rPr>
                <w:rFonts w:hint="eastAsia" w:cs="Times New Roman"/>
                <w:szCs w:val="22"/>
              </w:rPr>
              <w:t>1</w:t>
            </w:r>
          </w:p>
        </w:tc>
        <w:tc>
          <w:tcPr>
            <w:tcW w:w="1496" w:type="dxa"/>
            <w:vAlign w:val="center"/>
          </w:tcPr>
          <w:p>
            <w:pPr>
              <w:spacing w:line="400" w:lineRule="exact"/>
              <w:rPr>
                <w:rFonts w:cs="Times New Roman"/>
                <w:szCs w:val="22"/>
              </w:rPr>
            </w:pPr>
            <w:r>
              <w:rPr>
                <w:rFonts w:hint="eastAsia"/>
              </w:rPr>
              <w:t>新能源汽车产业基地</w:t>
            </w:r>
          </w:p>
        </w:tc>
        <w:tc>
          <w:tcPr>
            <w:tcW w:w="1104" w:type="dxa"/>
            <w:vAlign w:val="center"/>
          </w:tcPr>
          <w:p>
            <w:pPr>
              <w:spacing w:line="400" w:lineRule="exact"/>
              <w:rPr>
                <w:rFonts w:cs="Times New Roman"/>
                <w:szCs w:val="22"/>
              </w:rPr>
            </w:pPr>
            <w:r>
              <w:rPr>
                <w:rFonts w:hint="eastAsia" w:cs="Times New Roman"/>
                <w:szCs w:val="22"/>
              </w:rPr>
              <w:t>工业用地公园绿地</w:t>
            </w:r>
          </w:p>
        </w:tc>
        <w:tc>
          <w:tcPr>
            <w:tcW w:w="1164" w:type="dxa"/>
            <w:vAlign w:val="center"/>
          </w:tcPr>
          <w:p>
            <w:pPr>
              <w:spacing w:line="400" w:lineRule="exact"/>
              <w:rPr>
                <w:rFonts w:cs="Times New Roman"/>
                <w:szCs w:val="22"/>
              </w:rPr>
            </w:pPr>
            <w:r>
              <w:rPr>
                <w:rFonts w:hint="eastAsia"/>
              </w:rPr>
              <w:t>325.7564</w:t>
            </w:r>
          </w:p>
        </w:tc>
        <w:tc>
          <w:tcPr>
            <w:tcW w:w="1200" w:type="dxa"/>
            <w:vAlign w:val="center"/>
          </w:tcPr>
          <w:p>
            <w:pPr>
              <w:spacing w:line="400" w:lineRule="exact"/>
              <w:rPr>
                <w:rFonts w:cs="Times New Roman"/>
                <w:szCs w:val="22"/>
              </w:rPr>
            </w:pPr>
            <w:r>
              <w:rPr>
                <w:rFonts w:hint="eastAsia" w:cs="Times New Roman"/>
                <w:szCs w:val="22"/>
              </w:rPr>
              <w:t>317.4054</w:t>
            </w:r>
          </w:p>
        </w:tc>
        <w:tc>
          <w:tcPr>
            <w:tcW w:w="1108" w:type="dxa"/>
            <w:vAlign w:val="center"/>
          </w:tcPr>
          <w:p>
            <w:pPr>
              <w:spacing w:line="400" w:lineRule="exact"/>
              <w:rPr>
                <w:rFonts w:cs="Times New Roman"/>
                <w:szCs w:val="22"/>
              </w:rPr>
            </w:pPr>
            <w:r>
              <w:rPr>
                <w:rFonts w:hint="eastAsia" w:cs="Times New Roman"/>
                <w:szCs w:val="22"/>
              </w:rPr>
              <w:t>105.8018</w:t>
            </w:r>
          </w:p>
        </w:tc>
        <w:tc>
          <w:tcPr>
            <w:tcW w:w="1108" w:type="dxa"/>
            <w:vAlign w:val="center"/>
          </w:tcPr>
          <w:p>
            <w:pPr>
              <w:spacing w:line="400" w:lineRule="exact"/>
              <w:rPr>
                <w:rFonts w:cs="Times New Roman"/>
                <w:szCs w:val="22"/>
              </w:rPr>
            </w:pPr>
            <w:r>
              <w:rPr>
                <w:rFonts w:hint="eastAsia" w:cs="Times New Roman"/>
                <w:szCs w:val="22"/>
              </w:rPr>
              <w:t>105.8018</w:t>
            </w:r>
          </w:p>
        </w:tc>
        <w:tc>
          <w:tcPr>
            <w:tcW w:w="1110" w:type="dxa"/>
            <w:vAlign w:val="center"/>
          </w:tcPr>
          <w:p>
            <w:pPr>
              <w:spacing w:line="400" w:lineRule="exact"/>
              <w:rPr>
                <w:rFonts w:cs="Times New Roman"/>
                <w:szCs w:val="22"/>
              </w:rPr>
            </w:pPr>
            <w:r>
              <w:rPr>
                <w:rFonts w:hint="eastAsia" w:cs="Times New Roman"/>
                <w:szCs w:val="22"/>
              </w:rPr>
              <w:t>105.8018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3" w:hRule="exact"/>
          <w:jc w:val="center"/>
        </w:trPr>
        <w:tc>
          <w:tcPr>
            <w:tcW w:w="656" w:type="dxa"/>
            <w:vAlign w:val="center"/>
          </w:tcPr>
          <w:p>
            <w:pPr>
              <w:spacing w:line="400" w:lineRule="exact"/>
              <w:rPr>
                <w:rFonts w:cs="Times New Roman"/>
                <w:szCs w:val="22"/>
              </w:rPr>
            </w:pPr>
            <w:r>
              <w:rPr>
                <w:rFonts w:hint="eastAsia" w:cs="Times New Roman"/>
                <w:szCs w:val="22"/>
              </w:rPr>
              <w:t>2</w:t>
            </w:r>
          </w:p>
        </w:tc>
        <w:tc>
          <w:tcPr>
            <w:tcW w:w="1496" w:type="dxa"/>
            <w:vAlign w:val="center"/>
          </w:tcPr>
          <w:p>
            <w:pPr>
              <w:spacing w:line="400" w:lineRule="exact"/>
              <w:rPr>
                <w:rFonts w:cs="Times New Roman"/>
                <w:szCs w:val="22"/>
              </w:rPr>
            </w:pPr>
            <w:r>
              <w:rPr>
                <w:rFonts w:hint="eastAsia" w:cs="Times New Roman"/>
                <w:sz w:val="20"/>
                <w:szCs w:val="20"/>
              </w:rPr>
              <w:t>鹏兴大道、红海大道、通港大道、小漠港口配套</w:t>
            </w:r>
            <w:r>
              <w:rPr>
                <w:rFonts w:hint="eastAsia" w:cs="Times New Roman"/>
                <w:bCs/>
                <w:color w:val="000000"/>
                <w:sz w:val="20"/>
                <w:szCs w:val="20"/>
              </w:rPr>
              <w:t>交通设施</w:t>
            </w:r>
          </w:p>
        </w:tc>
        <w:tc>
          <w:tcPr>
            <w:tcW w:w="1104" w:type="dxa"/>
            <w:vAlign w:val="center"/>
          </w:tcPr>
          <w:p>
            <w:pPr>
              <w:spacing w:line="400" w:lineRule="exact"/>
              <w:rPr>
                <w:rFonts w:cs="Times New Roman"/>
                <w:bCs/>
                <w:color w:val="000000"/>
                <w:szCs w:val="22"/>
              </w:rPr>
            </w:pPr>
            <w:r>
              <w:rPr>
                <w:rFonts w:hint="eastAsia" w:cs="Times New Roman"/>
                <w:szCs w:val="22"/>
              </w:rPr>
              <w:t>交通设施公园绿地</w:t>
            </w:r>
          </w:p>
        </w:tc>
        <w:tc>
          <w:tcPr>
            <w:tcW w:w="1164" w:type="dxa"/>
            <w:vAlign w:val="center"/>
          </w:tcPr>
          <w:p>
            <w:pPr>
              <w:spacing w:line="400" w:lineRule="exact"/>
              <w:rPr>
                <w:rFonts w:cs="Times New Roman"/>
                <w:bCs/>
                <w:color w:val="000000"/>
                <w:szCs w:val="22"/>
              </w:rPr>
            </w:pPr>
            <w:r>
              <w:rPr>
                <w:rFonts w:hint="eastAsia"/>
              </w:rPr>
              <w:t>164.1332</w:t>
            </w:r>
          </w:p>
        </w:tc>
        <w:tc>
          <w:tcPr>
            <w:tcW w:w="1200" w:type="dxa"/>
            <w:vAlign w:val="center"/>
          </w:tcPr>
          <w:p>
            <w:pPr>
              <w:spacing w:line="400" w:lineRule="exact"/>
              <w:rPr>
                <w:rFonts w:cs="Times New Roman"/>
                <w:bCs/>
                <w:color w:val="000000"/>
                <w:szCs w:val="22"/>
              </w:rPr>
            </w:pPr>
            <w:r>
              <w:rPr>
                <w:rFonts w:hint="eastAsia" w:cs="Times New Roman"/>
                <w:bCs/>
                <w:color w:val="000000"/>
                <w:szCs w:val="22"/>
              </w:rPr>
              <w:t>127.4516</w:t>
            </w:r>
          </w:p>
        </w:tc>
        <w:tc>
          <w:tcPr>
            <w:tcW w:w="1108" w:type="dxa"/>
            <w:vAlign w:val="center"/>
          </w:tcPr>
          <w:p>
            <w:pPr>
              <w:spacing w:line="400" w:lineRule="exact"/>
              <w:rPr>
                <w:rFonts w:cs="Times New Roman"/>
                <w:szCs w:val="22"/>
              </w:rPr>
            </w:pPr>
            <w:r>
              <w:rPr>
                <w:rFonts w:hint="eastAsia" w:cs="Times New Roman"/>
                <w:szCs w:val="22"/>
              </w:rPr>
              <w:t>—</w:t>
            </w:r>
          </w:p>
        </w:tc>
        <w:tc>
          <w:tcPr>
            <w:tcW w:w="1108" w:type="dxa"/>
            <w:vAlign w:val="center"/>
          </w:tcPr>
          <w:p>
            <w:pPr>
              <w:spacing w:line="400" w:lineRule="exact"/>
              <w:rPr>
                <w:rFonts w:cs="Times New Roman"/>
                <w:szCs w:val="22"/>
              </w:rPr>
            </w:pPr>
            <w:r>
              <w:rPr>
                <w:rFonts w:hint="eastAsia" w:cs="Times New Roman"/>
                <w:szCs w:val="22"/>
              </w:rPr>
              <w:t>63.7258</w:t>
            </w:r>
          </w:p>
        </w:tc>
        <w:tc>
          <w:tcPr>
            <w:tcW w:w="1110" w:type="dxa"/>
            <w:vAlign w:val="center"/>
          </w:tcPr>
          <w:p>
            <w:pPr>
              <w:spacing w:line="400" w:lineRule="exact"/>
              <w:rPr>
                <w:rFonts w:cs="Times New Roman"/>
                <w:szCs w:val="22"/>
              </w:rPr>
            </w:pPr>
            <w:r>
              <w:rPr>
                <w:rFonts w:hint="eastAsia" w:cs="Times New Roman"/>
                <w:szCs w:val="22"/>
              </w:rPr>
              <w:t>63.7258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exact"/>
          <w:jc w:val="center"/>
        </w:trPr>
        <w:tc>
          <w:tcPr>
            <w:tcW w:w="656" w:type="dxa"/>
            <w:vAlign w:val="center"/>
          </w:tcPr>
          <w:p>
            <w:pPr>
              <w:spacing w:line="400" w:lineRule="exact"/>
              <w:rPr>
                <w:rFonts w:cs="Times New Roman"/>
                <w:szCs w:val="22"/>
              </w:rPr>
            </w:pPr>
            <w:r>
              <w:rPr>
                <w:rFonts w:hint="eastAsia" w:cs="Times New Roman"/>
                <w:szCs w:val="22"/>
              </w:rPr>
              <w:t>3</w:t>
            </w:r>
          </w:p>
        </w:tc>
        <w:tc>
          <w:tcPr>
            <w:tcW w:w="1496" w:type="dxa"/>
            <w:vAlign w:val="center"/>
          </w:tcPr>
          <w:p>
            <w:pPr>
              <w:spacing w:line="400" w:lineRule="exact"/>
              <w:rPr>
                <w:rFonts w:cs="Times New Roman"/>
                <w:szCs w:val="22"/>
              </w:rPr>
            </w:pPr>
            <w:r>
              <w:rPr>
                <w:rFonts w:hint="eastAsia" w:cs="Times New Roman"/>
                <w:szCs w:val="22"/>
              </w:rPr>
              <w:t>香山文化公园及配套公用设施</w:t>
            </w:r>
          </w:p>
        </w:tc>
        <w:tc>
          <w:tcPr>
            <w:tcW w:w="1104" w:type="dxa"/>
            <w:vAlign w:val="center"/>
          </w:tcPr>
          <w:p>
            <w:pPr>
              <w:spacing w:line="400" w:lineRule="exact"/>
              <w:rPr>
                <w:rFonts w:cs="Times New Roman"/>
                <w:bCs/>
                <w:color w:val="000000"/>
                <w:szCs w:val="22"/>
              </w:rPr>
            </w:pPr>
            <w:r>
              <w:rPr>
                <w:rFonts w:hint="eastAsia" w:cs="Times New Roman"/>
                <w:bCs/>
                <w:color w:val="000000"/>
                <w:szCs w:val="22"/>
              </w:rPr>
              <w:t>公园绿地</w:t>
            </w:r>
          </w:p>
          <w:p>
            <w:pPr>
              <w:spacing w:line="400" w:lineRule="exact"/>
              <w:rPr>
                <w:rFonts w:cs="Times New Roman"/>
                <w:bCs/>
                <w:color w:val="000000"/>
                <w:szCs w:val="22"/>
              </w:rPr>
            </w:pPr>
            <w:r>
              <w:rPr>
                <w:rFonts w:hint="eastAsia" w:cs="Times New Roman"/>
                <w:bCs/>
                <w:color w:val="000000"/>
                <w:szCs w:val="22"/>
              </w:rPr>
              <w:t>公用设施</w:t>
            </w:r>
          </w:p>
        </w:tc>
        <w:tc>
          <w:tcPr>
            <w:tcW w:w="1164" w:type="dxa"/>
            <w:vAlign w:val="center"/>
          </w:tcPr>
          <w:p>
            <w:pPr>
              <w:spacing w:line="400" w:lineRule="exact"/>
            </w:pPr>
            <w:r>
              <w:rPr>
                <w:rFonts w:hint="eastAsia"/>
              </w:rPr>
              <w:t>37.7027</w:t>
            </w:r>
          </w:p>
        </w:tc>
        <w:tc>
          <w:tcPr>
            <w:tcW w:w="1200" w:type="dxa"/>
            <w:vAlign w:val="center"/>
          </w:tcPr>
          <w:p>
            <w:pPr>
              <w:spacing w:line="400" w:lineRule="exact"/>
              <w:rPr>
                <w:rFonts w:cs="Times New Roman"/>
                <w:bCs/>
                <w:color w:val="000000"/>
                <w:szCs w:val="22"/>
              </w:rPr>
            </w:pPr>
            <w:r>
              <w:rPr>
                <w:rFonts w:hint="eastAsia" w:cs="Times New Roman"/>
                <w:bCs/>
                <w:color w:val="000000"/>
                <w:szCs w:val="22"/>
              </w:rPr>
              <w:t>36.2480</w:t>
            </w:r>
          </w:p>
        </w:tc>
        <w:tc>
          <w:tcPr>
            <w:tcW w:w="1108" w:type="dxa"/>
            <w:vAlign w:val="center"/>
          </w:tcPr>
          <w:p>
            <w:pPr>
              <w:spacing w:line="400" w:lineRule="exact"/>
              <w:rPr>
                <w:rFonts w:cs="Times New Roman"/>
                <w:szCs w:val="22"/>
              </w:rPr>
            </w:pPr>
            <w:r>
              <w:rPr>
                <w:rFonts w:hint="eastAsia" w:cs="Times New Roman"/>
                <w:szCs w:val="22"/>
              </w:rPr>
              <w:t>—</w:t>
            </w:r>
          </w:p>
        </w:tc>
        <w:tc>
          <w:tcPr>
            <w:tcW w:w="1108" w:type="dxa"/>
            <w:vAlign w:val="center"/>
          </w:tcPr>
          <w:p>
            <w:pPr>
              <w:spacing w:line="400" w:lineRule="exact"/>
              <w:rPr>
                <w:rFonts w:cs="Times New Roman"/>
                <w:szCs w:val="22"/>
              </w:rPr>
            </w:pPr>
            <w:r>
              <w:rPr>
                <w:rFonts w:hint="eastAsia" w:cs="Times New Roman"/>
                <w:szCs w:val="22"/>
              </w:rPr>
              <w:t>—</w:t>
            </w:r>
          </w:p>
        </w:tc>
        <w:tc>
          <w:tcPr>
            <w:tcW w:w="1110" w:type="dxa"/>
            <w:vAlign w:val="center"/>
          </w:tcPr>
          <w:p>
            <w:pPr>
              <w:spacing w:line="400" w:lineRule="exact"/>
              <w:rPr>
                <w:rFonts w:cs="Times New Roman"/>
                <w:szCs w:val="22"/>
              </w:rPr>
            </w:pPr>
            <w:r>
              <w:rPr>
                <w:rFonts w:hint="eastAsia" w:cs="Times New Roman"/>
                <w:bCs/>
                <w:color w:val="000000"/>
                <w:szCs w:val="22"/>
              </w:rPr>
              <w:t>36.2480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56" w:type="dxa"/>
            <w:vAlign w:val="center"/>
          </w:tcPr>
          <w:p>
            <w:pPr>
              <w:spacing w:line="400" w:lineRule="exact"/>
              <w:rPr>
                <w:rFonts w:cs="Times New Roman"/>
                <w:szCs w:val="22"/>
              </w:rPr>
            </w:pPr>
            <w:r>
              <w:rPr>
                <w:rFonts w:hint="eastAsia" w:cs="Times New Roman"/>
                <w:szCs w:val="22"/>
              </w:rPr>
              <w:t>合计</w:t>
            </w:r>
          </w:p>
        </w:tc>
        <w:tc>
          <w:tcPr>
            <w:tcW w:w="2600" w:type="dxa"/>
            <w:gridSpan w:val="2"/>
            <w:vAlign w:val="center"/>
          </w:tcPr>
          <w:p>
            <w:pPr>
              <w:spacing w:line="400" w:lineRule="exact"/>
              <w:rPr>
                <w:rFonts w:cs="Times New Roman"/>
                <w:bCs/>
                <w:color w:val="000000"/>
                <w:szCs w:val="22"/>
              </w:rPr>
            </w:pPr>
            <w:r>
              <w:rPr>
                <w:rFonts w:hint="eastAsia" w:cs="Times New Roman"/>
                <w:bCs/>
                <w:color w:val="000000"/>
                <w:szCs w:val="22"/>
              </w:rPr>
              <w:t>——</w:t>
            </w:r>
            <w:r>
              <w:rPr>
                <w:rFonts w:hint="eastAsia" w:cs="Times New Roman"/>
                <w:szCs w:val="22"/>
              </w:rPr>
              <w:t>——</w:t>
            </w:r>
          </w:p>
        </w:tc>
        <w:tc>
          <w:tcPr>
            <w:tcW w:w="1164" w:type="dxa"/>
            <w:vAlign w:val="center"/>
          </w:tcPr>
          <w:p>
            <w:pPr>
              <w:spacing w:line="400" w:lineRule="exact"/>
              <w:rPr>
                <w:rFonts w:cs="Times New Roman"/>
                <w:szCs w:val="22"/>
              </w:rPr>
            </w:pPr>
            <w:r>
              <w:rPr>
                <w:rFonts w:hint="eastAsia"/>
              </w:rPr>
              <w:t>527.5923</w:t>
            </w:r>
          </w:p>
        </w:tc>
        <w:tc>
          <w:tcPr>
            <w:tcW w:w="1200" w:type="dxa"/>
            <w:vAlign w:val="center"/>
          </w:tcPr>
          <w:p>
            <w:pPr>
              <w:spacing w:line="400" w:lineRule="exact"/>
              <w:rPr>
                <w:rFonts w:cs="Times New Roman"/>
                <w:szCs w:val="22"/>
              </w:rPr>
            </w:pPr>
            <w:r>
              <w:rPr>
                <w:rFonts w:hint="eastAsia"/>
              </w:rPr>
              <w:t>481.1050</w:t>
            </w:r>
          </w:p>
        </w:tc>
        <w:tc>
          <w:tcPr>
            <w:tcW w:w="3326" w:type="dxa"/>
            <w:gridSpan w:val="3"/>
            <w:vAlign w:val="center"/>
          </w:tcPr>
          <w:p>
            <w:pPr>
              <w:tabs>
                <w:tab w:val="center" w:pos="1614"/>
                <w:tab w:val="right" w:pos="3110"/>
              </w:tabs>
              <w:spacing w:line="400" w:lineRule="exact"/>
              <w:jc w:val="left"/>
              <w:rPr>
                <w:rFonts w:cs="Times New Roman"/>
                <w:szCs w:val="22"/>
              </w:rPr>
            </w:pPr>
            <w:r>
              <w:rPr>
                <w:rFonts w:hint="eastAsia" w:cs="Times New Roman"/>
                <w:szCs w:val="22"/>
              </w:rPr>
              <w:tab/>
            </w:r>
            <w:r>
              <w:rPr>
                <w:rFonts w:hint="eastAsia" w:cs="Times New Roman"/>
                <w:szCs w:val="22"/>
              </w:rPr>
              <w:t>—</w:t>
            </w:r>
          </w:p>
        </w:tc>
      </w:tr>
    </w:tbl>
    <w:p>
      <w:r>
        <w:drawing>
          <wp:inline distT="0" distB="0" distL="0" distR="0">
            <wp:extent cx="15240" cy="152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15241" cy="15241"/>
                    </a:xfrm>
                    <a:prstGeom prst="rect">
                      <a:avLst/>
                    </a:prstGeom>
                  </pic:spPr>
                </pic:pic>
              </a:graphicData>
            </a:graphic>
          </wp:inline>
        </w:drawing>
      </w:r>
      <w:r>
        <w:drawing>
          <wp:inline distT="0" distB="0" distL="0" distR="0">
            <wp:extent cx="5508625" cy="3383915"/>
            <wp:effectExtent l="9525" t="9525" r="13970" b="20320"/>
            <wp:docPr id="8" name="图片 8" descr="F:\地理所\深汕\成片开发\2022\图件\6.成片开发范围实施时序示意图2.jpg6.成片开发范围实施时序示意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地理所\深汕\成片开发\2022\图件\6.成片开发范围实施时序示意图2.jpg6.成片开发范围实施时序示意图2"/>
                    <pic:cNvPicPr>
                      <a:picLocks noChangeAspect="1"/>
                    </pic:cNvPicPr>
                  </pic:nvPicPr>
                  <pic:blipFill>
                    <a:blip r:embed="rId17"/>
                    <a:srcRect/>
                    <a:stretch>
                      <a:fillRect/>
                    </a:stretch>
                  </pic:blipFill>
                  <pic:spPr>
                    <a:xfrm>
                      <a:off x="0" y="0"/>
                      <a:ext cx="5509155" cy="3383915"/>
                    </a:xfrm>
                    <a:prstGeom prst="rect">
                      <a:avLst/>
                    </a:prstGeom>
                    <a:ln>
                      <a:solidFill>
                        <a:schemeClr val="tx1"/>
                      </a:solidFill>
                    </a:ln>
                  </pic:spPr>
                </pic:pic>
              </a:graphicData>
            </a:graphic>
          </wp:inline>
        </w:drawing>
      </w:r>
    </w:p>
    <w:p>
      <w:pPr>
        <w:pStyle w:val="14"/>
      </w:pPr>
      <w:r>
        <w:rPr>
          <w:rFonts w:hint="eastAsia"/>
        </w:rPr>
        <w:t>图</w:t>
      </w:r>
      <w:r>
        <w:rPr>
          <w:rFonts w:hint="eastAsia"/>
          <w:lang w:val="en-US"/>
        </w:rPr>
        <w:t>9</w:t>
      </w:r>
      <w:r>
        <w:rPr>
          <w:rFonts w:hint="eastAsia"/>
        </w:rPr>
        <w:t xml:space="preserve"> 成片开发范围实施时序示意图</w:t>
      </w:r>
    </w:p>
    <w:p>
      <w:pPr>
        <w:widowControl/>
        <w:jc w:val="left"/>
        <w:rPr>
          <w:rFonts w:eastAsia="黑体"/>
          <w:bCs/>
          <w:kern w:val="44"/>
          <w:sz w:val="36"/>
          <w:szCs w:val="44"/>
        </w:rPr>
      </w:pPr>
      <w:r>
        <w:br w:type="page"/>
      </w:r>
    </w:p>
    <w:p>
      <w:pPr>
        <w:pStyle w:val="2"/>
        <w:spacing w:before="240" w:after="240" w:line="660" w:lineRule="exact"/>
      </w:pPr>
      <w:bookmarkStart w:id="43" w:name="_Toc96938932"/>
      <w:r>
        <w:rPr>
          <w:rFonts w:hint="eastAsia"/>
        </w:rPr>
        <w:t>六、成片开发效益评估</w:t>
      </w:r>
      <w:bookmarkEnd w:id="43"/>
    </w:p>
    <w:p>
      <w:pPr>
        <w:pStyle w:val="3"/>
        <w:spacing w:line="660" w:lineRule="exact"/>
      </w:pPr>
      <w:bookmarkStart w:id="44" w:name="_Toc96938933"/>
      <w:r>
        <w:rPr>
          <w:rFonts w:hint="eastAsia"/>
        </w:rPr>
        <w:t>（一）土地利用效益评估</w:t>
      </w:r>
      <w:bookmarkEnd w:id="44"/>
    </w:p>
    <w:p>
      <w:pPr>
        <w:pStyle w:val="11"/>
        <w:spacing w:line="660" w:lineRule="exact"/>
        <w:ind w:firstLine="560"/>
        <w:rPr>
          <w:rFonts w:hAnsi="Times New Roman"/>
        </w:rPr>
      </w:pPr>
      <w:r>
        <w:rPr>
          <w:rFonts w:hAnsi="Times New Roman"/>
        </w:rPr>
        <w:t>本方案的实施</w:t>
      </w:r>
      <w:r>
        <w:rPr>
          <w:rFonts w:hint="eastAsia" w:hAnsi="Times New Roman"/>
        </w:rPr>
        <w:t>有利于高效开发利用现状农用地，实现产业空间集中连片布局，打造规模合理、功能完善、空间有序、适度集中的发展单元，提升小漠港区土地利用的综合效益及周边配套服务和基础设施配置的集约性和高效性。</w:t>
      </w:r>
    </w:p>
    <w:p>
      <w:pPr>
        <w:pStyle w:val="11"/>
        <w:spacing w:line="660" w:lineRule="exact"/>
        <w:ind w:firstLine="560"/>
        <w:rPr>
          <w:rFonts w:hAnsi="Times New Roman"/>
        </w:rPr>
      </w:pPr>
      <w:r>
        <w:rPr>
          <w:rFonts w:hint="eastAsia" w:hAnsi="Times New Roman"/>
        </w:rPr>
        <w:t>成片开发范围内拟安排新能源汽车产业基地集中布局形成工业园区，依托港口、机场、铁路、轨道、高速公路等交通设施，可综合协调内部交通与城市交通的关系，并与其它用地功能连片布局，共享港区的生产和生活服务设施。</w:t>
      </w:r>
    </w:p>
    <w:p>
      <w:pPr>
        <w:pStyle w:val="11"/>
        <w:spacing w:line="660" w:lineRule="exact"/>
        <w:ind w:firstLine="560"/>
        <w:rPr>
          <w:rFonts w:hAnsi="Times New Roman"/>
        </w:rPr>
      </w:pPr>
      <w:r>
        <w:rPr>
          <w:rFonts w:hint="eastAsia" w:hAnsi="Times New Roman"/>
        </w:rPr>
        <w:t>新能源汽车产业基地用地面积约5000亩，主要用于建设厂房、办公、研发、仓储、宿舍、基础设施等建筑，实行厂房、宿舍、商业、食堂、物业和基础设施等生产生活设施统一管理，后续将结合小漠港区控规进行厂区总图布局，实现工业园区内部土地功能复合与高效利用。</w:t>
      </w:r>
    </w:p>
    <w:p>
      <w:pPr>
        <w:pStyle w:val="11"/>
        <w:spacing w:line="660" w:lineRule="exact"/>
        <w:ind w:firstLine="560"/>
        <w:rPr>
          <w:rFonts w:hAnsi="Times New Roman"/>
        </w:rPr>
      </w:pPr>
      <w:r>
        <w:rPr>
          <w:rFonts w:hint="eastAsia" w:hAnsi="Times New Roman"/>
        </w:rPr>
        <w:t>新能源汽车产业基地毗邻小漠国际物流港，承担推进“深圳制造”新能源汽车走向全球的重任。项目可推动临港制造业集聚，促进对外贸易发展，为合作区出口贸易贡献重要力量，同时提升区域交通枢纽的综合利用效益。</w:t>
      </w:r>
    </w:p>
    <w:p>
      <w:pPr>
        <w:pStyle w:val="11"/>
        <w:spacing w:line="660" w:lineRule="exact"/>
        <w:ind w:firstLine="560"/>
        <w:rPr>
          <w:rFonts w:hAnsi="Times New Roman"/>
        </w:rPr>
      </w:pPr>
      <w:r>
        <w:rPr>
          <w:rFonts w:hint="eastAsia" w:hAnsi="Times New Roman"/>
        </w:rPr>
        <w:t>成片开发范围内拟安排的产业项目将严格按照城市总体规划纲要、控制性详细规划和产业政策的要求，科学合理布局内部产业设施用地、优化区域功能结构，促进南部组团临港制造和港口物流产业集聚，助力新城建设和产城融合。</w:t>
      </w:r>
    </w:p>
    <w:p>
      <w:pPr>
        <w:pStyle w:val="3"/>
        <w:spacing w:line="660" w:lineRule="exact"/>
      </w:pPr>
      <w:bookmarkStart w:id="45" w:name="_Toc96938934"/>
      <w:r>
        <w:rPr>
          <w:rFonts w:hint="eastAsia"/>
        </w:rPr>
        <w:t>（二）经济与社会效益评估</w:t>
      </w:r>
      <w:bookmarkEnd w:id="45"/>
    </w:p>
    <w:p>
      <w:pPr>
        <w:pStyle w:val="11"/>
        <w:spacing w:line="660" w:lineRule="exact"/>
        <w:ind w:firstLine="560"/>
        <w:rPr>
          <w:rFonts w:hAnsi="Times New Roman"/>
        </w:rPr>
      </w:pPr>
      <w:r>
        <w:rPr>
          <w:rFonts w:hint="eastAsia" w:hAnsi="Times New Roman"/>
        </w:rPr>
        <w:t>新能源汽车产业基地能有效发挥新能源汽车龙头企业的带动示范作用，助力合作区做大做强新能源汽车整车及零部件产业链，成为拉动合作区经济社会发展的龙头企业，助力打造新能源汽车之城，为推动制造业高质量发展坚定不移打造制造强市贡献深汕力量。</w:t>
      </w:r>
    </w:p>
    <w:p>
      <w:pPr>
        <w:pStyle w:val="11"/>
        <w:spacing w:line="660" w:lineRule="exact"/>
        <w:ind w:firstLine="560"/>
        <w:rPr>
          <w:rFonts w:hAnsi="Times New Roman"/>
        </w:rPr>
      </w:pPr>
      <w:r>
        <w:rPr>
          <w:rFonts w:hAnsi="Times New Roman"/>
        </w:rPr>
        <w:t>本方案</w:t>
      </w:r>
      <w:r>
        <w:rPr>
          <w:rFonts w:hint="eastAsia" w:hAnsi="Times New Roman"/>
        </w:rPr>
        <w:t>将保障小漠港区产业发展空间和落实产业用地空间管控，注重提高产业生产质量和效率。本</w:t>
      </w:r>
      <w:r>
        <w:rPr>
          <w:rFonts w:hAnsi="Times New Roman"/>
        </w:rPr>
        <w:t>方案</w:t>
      </w:r>
      <w:r>
        <w:rPr>
          <w:rFonts w:hint="eastAsia" w:hAnsi="Times New Roman"/>
        </w:rPr>
        <w:t>拟在成片开发范围内安排集中连片的工业用地以满足新能源汽车产业基地的用地建设需求，在成片开发范围外集中布置其他经营性用地和公共管理与公共服务设施用地以完善城市功能和满足公共利益。合作区将以小漠港区为单位平衡经济社会效益，重点保障重大项目建设，逐步完善城镇功能，实现产城融合和经济社会高质量发展。</w:t>
      </w:r>
    </w:p>
    <w:p>
      <w:pPr>
        <w:pStyle w:val="11"/>
        <w:spacing w:line="660" w:lineRule="exact"/>
        <w:ind w:firstLine="560"/>
        <w:rPr>
          <w:rFonts w:hAnsi="Times New Roman"/>
        </w:rPr>
      </w:pPr>
      <w:r>
        <w:rPr>
          <w:rFonts w:hint="eastAsia" w:hAnsi="Times New Roman"/>
        </w:rPr>
        <w:t>新能源汽车产业基地将在合作区内进行税务登记并依法缴纳各项经营税费，预计年产60万辆整车（以高端车型和出口车型为主）以及核心零部件，产值约1000亿元以上，同时预计直接新增3.6万名员工就业岗位，促进常住人口数量增长，增加财税收入，为深汕合作区新一轮高标准高起点开发建设奠定坚实基础。</w:t>
      </w:r>
    </w:p>
    <w:p>
      <w:pPr>
        <w:pStyle w:val="11"/>
        <w:spacing w:line="660" w:lineRule="exact"/>
        <w:ind w:firstLine="560"/>
        <w:rPr>
          <w:rFonts w:hAnsi="Times New Roman"/>
        </w:rPr>
      </w:pPr>
      <w:r>
        <w:rPr>
          <w:rFonts w:hint="eastAsia" w:hAnsi="Times New Roman"/>
        </w:rPr>
        <w:t>新能源汽车产业基地及其配套交通道路将构建便捷高效的交通网，满足社会生活和经济发展需求。新能源汽车产业基地涉及汽车、轨道交通、新能源和电子四大产业，可促进南部组团创新物流港内公交车、出租车、环卫车、旅游客车等汽车装备的电动化，推动充电设施、维保用地、充电桩等配套基础设施的建设，有助于构建智能交通体系框架，引导交通新业态的有序发展，提高居民出行幸福感。</w:t>
      </w:r>
    </w:p>
    <w:p>
      <w:pPr>
        <w:pStyle w:val="11"/>
        <w:spacing w:line="660" w:lineRule="exact"/>
        <w:ind w:firstLine="560"/>
        <w:rPr>
          <w:rFonts w:hAnsi="Times New Roman"/>
        </w:rPr>
      </w:pPr>
      <w:r>
        <w:rPr>
          <w:rFonts w:hint="eastAsia" w:hAnsi="Times New Roman"/>
        </w:rPr>
        <w:t>合作区将积极引导新能源汽车产业基地合理设置各类生产、生活服务设施和一定比例相对集中的绿地，与周边城市功能互动发展，实现园区生产与生活功能的协调发展。</w:t>
      </w:r>
    </w:p>
    <w:p>
      <w:pPr>
        <w:pStyle w:val="3"/>
        <w:spacing w:line="660" w:lineRule="exact"/>
      </w:pPr>
      <w:bookmarkStart w:id="46" w:name="_Toc96938935"/>
      <w:r>
        <w:rPr>
          <w:rFonts w:hint="eastAsia"/>
        </w:rPr>
        <w:t>（三）生态效益评估</w:t>
      </w:r>
      <w:bookmarkEnd w:id="46"/>
    </w:p>
    <w:p>
      <w:pPr>
        <w:pStyle w:val="11"/>
        <w:spacing w:line="660" w:lineRule="exact"/>
        <w:ind w:firstLine="560"/>
        <w:rPr>
          <w:rFonts w:hAnsi="Times New Roman"/>
        </w:rPr>
      </w:pPr>
      <w:r>
        <w:rPr>
          <w:rFonts w:hint="eastAsia" w:hAnsi="Times New Roman"/>
        </w:rPr>
        <w:t>合作区坚持生态优先，严格落实底线管控。</w:t>
      </w:r>
      <w:r>
        <w:rPr>
          <w:rFonts w:hAnsi="Times New Roman"/>
        </w:rPr>
        <w:t>成片开发范围不涉及国土空间规划</w:t>
      </w:r>
      <w:r>
        <w:rPr>
          <w:rFonts w:hint="eastAsia" w:hAnsi="Times New Roman"/>
        </w:rPr>
        <w:t>划定的</w:t>
      </w:r>
      <w:r>
        <w:rPr>
          <w:rFonts w:hAnsi="Times New Roman"/>
        </w:rPr>
        <w:t>永久基本农田、陆域生态保护红线、</w:t>
      </w:r>
      <w:r>
        <w:rPr>
          <w:rFonts w:hint="eastAsia" w:hAnsi="Times New Roman"/>
        </w:rPr>
        <w:t>海洋生态保护红线、</w:t>
      </w:r>
      <w:r>
        <w:rPr>
          <w:rFonts w:hAnsi="Times New Roman"/>
        </w:rPr>
        <w:t>自然保护地、蓝线、绿线等生态底线</w:t>
      </w:r>
      <w:r>
        <w:rPr>
          <w:rFonts w:hint="eastAsia" w:hAnsi="Times New Roman"/>
        </w:rPr>
        <w:t>和</w:t>
      </w:r>
      <w:r>
        <w:rPr>
          <w:rFonts w:hAnsi="Times New Roman"/>
        </w:rPr>
        <w:t>管控要素</w:t>
      </w:r>
      <w:r>
        <w:rPr>
          <w:rFonts w:hint="eastAsia" w:hAnsi="Times New Roman"/>
        </w:rPr>
        <w:t>。成片开发范围依托生态本底，避让生态斑块和生态廊道，顺应自然山水，助力构建系统完整、层次分明、功能复合的生态空间格局。</w:t>
      </w:r>
    </w:p>
    <w:p>
      <w:pPr>
        <w:pStyle w:val="11"/>
        <w:spacing w:line="660" w:lineRule="exact"/>
        <w:ind w:firstLine="560"/>
        <w:rPr>
          <w:rFonts w:hAnsi="Times New Roman"/>
          <w:color w:val="000000"/>
          <w:kern w:val="0"/>
          <w:lang w:bidi="ar"/>
        </w:rPr>
      </w:pPr>
      <w:r>
        <w:rPr>
          <w:rFonts w:hint="eastAsia" w:hAnsi="Times New Roman"/>
        </w:rPr>
        <w:t>合作区坚持绿色发展，打造生态友好型示</w:t>
      </w:r>
      <w:r>
        <w:rPr>
          <w:rFonts w:hint="eastAsia" w:hAnsi="Times New Roman"/>
          <w:color w:val="000000"/>
          <w:kern w:val="0"/>
          <w:lang w:bidi="ar"/>
        </w:rPr>
        <w:t>范项目。合作区将加强能源管控，协调区内清洁能源资源支持新能源汽车产业基地使用清洁绿色电力进行绿色生产，并在合作区内积极推动光伏及储能产品的应用。合作区将严格执行环境影响评价制度，落实项目环评文件中环保措施，确保新能源汽车产业基地内废水、废气、固废、噪声、重金属等达标排放。</w:t>
      </w:r>
    </w:p>
    <w:p>
      <w:pPr>
        <w:pStyle w:val="11"/>
        <w:spacing w:line="660" w:lineRule="exact"/>
        <w:ind w:firstLine="560"/>
        <w:rPr>
          <w:rFonts w:hAnsi="Times New Roman"/>
        </w:rPr>
      </w:pPr>
      <w:r>
        <w:rPr>
          <w:rFonts w:hint="eastAsia" w:hAnsi="Times New Roman"/>
        </w:rPr>
        <w:t>按照</w:t>
      </w:r>
      <w:r>
        <w:rPr>
          <w:rFonts w:hAnsi="Times New Roman"/>
        </w:rPr>
        <w:t>详细规划</w:t>
      </w:r>
      <w:r>
        <w:rPr>
          <w:rFonts w:hint="eastAsia" w:hAnsi="Times New Roman"/>
        </w:rPr>
        <w:t>及其他专项规划要求，合作区将积极引导产业基地进行多元、复合、循环化的厂区布局设计和建设。合作区将通过提高绿色建筑要求、完善环境治理机制和推广节能化设备，实现产业基地资源利用效率最大化和环境影响最小化，促进产业绿色发展和资源能源集约利用。</w:t>
      </w:r>
    </w:p>
    <w:p>
      <w:pPr>
        <w:pStyle w:val="11"/>
        <w:spacing w:line="660" w:lineRule="exact"/>
        <w:ind w:firstLine="560"/>
        <w:rPr>
          <w:rFonts w:hAnsi="Times New Roman" w:cs="Times New Roman"/>
          <w:color w:val="000000"/>
          <w:lang w:bidi="ar"/>
        </w:rPr>
      </w:pPr>
      <w:r>
        <w:rPr>
          <w:rFonts w:hint="eastAsia" w:hAnsi="Times New Roman"/>
        </w:rPr>
        <w:t>成片开发范围内拟安排的香山文化公园项目属城市公园，将通过鹏兴大道和红海大道等城市主干道为整个小漠港区提供服务，全面提升城市绿色水平。香山文化公园将充分利用现状自然景观资源进行规划建设，以游憩为主要功能兼顾应急避难功能，推动构建“城市-组团-单元/社区”三级公园系统。</w:t>
      </w:r>
    </w:p>
    <w:p>
      <w:pPr>
        <w:sectPr>
          <w:pgSz w:w="11906" w:h="16838"/>
          <w:pgMar w:top="1418" w:right="1588" w:bottom="1418" w:left="1588" w:header="851" w:footer="851" w:gutter="0"/>
          <w:cols w:space="425" w:num="1"/>
          <w:docGrid w:type="lines" w:linePitch="312" w:charSpace="0"/>
        </w:sectPr>
      </w:pPr>
    </w:p>
    <w:p>
      <w:pPr>
        <w:pStyle w:val="2"/>
        <w:spacing w:before="240" w:after="240"/>
      </w:pPr>
      <w:bookmarkStart w:id="47" w:name="_Toc96938936"/>
      <w:r>
        <w:rPr>
          <w:rFonts w:hint="eastAsia"/>
        </w:rPr>
        <w:t>七、结论</w:t>
      </w:r>
      <w:bookmarkEnd w:id="47"/>
    </w:p>
    <w:p>
      <w:pPr>
        <w:pStyle w:val="11"/>
        <w:ind w:firstLine="560"/>
        <w:rPr>
          <w:rFonts w:hAnsi="Times New Roman"/>
        </w:rPr>
      </w:pPr>
      <w:r>
        <w:rPr>
          <w:rFonts w:hint="eastAsia" w:hAnsi="Times New Roman"/>
        </w:rPr>
        <w:t>本方案以人民为中心，注重维护农民合法权益，注重保护耕地，注重节约集约用地，注重保护生态环境。本方案符合土地征收成片开发规范要求与程序，坚持规划引领，重点推动小漠港区先进制造业集中承载区，加快新城建设和产城融合，因此成片开发是必要且可行的。</w:t>
      </w:r>
    </w:p>
    <w:p>
      <w:pPr>
        <w:pStyle w:val="11"/>
        <w:ind w:firstLine="560"/>
        <w:rPr>
          <w:rFonts w:hAnsi="Times New Roman"/>
        </w:rPr>
      </w:pPr>
      <w:r>
        <w:rPr>
          <w:rFonts w:hint="eastAsia" w:hAnsi="Times New Roman"/>
        </w:rPr>
        <w:t>（1）满足可持续发展要求：本方案拟高标准进行开发建设，打造新能源汽车产业基地，可促进新能源产业、节能环保产业发展，助力合作区绿色发展。</w:t>
      </w:r>
    </w:p>
    <w:p>
      <w:pPr>
        <w:pStyle w:val="11"/>
        <w:ind w:firstLine="560"/>
        <w:rPr>
          <w:rFonts w:hAnsi="Times New Roman"/>
        </w:rPr>
      </w:pPr>
      <w:r>
        <w:rPr>
          <w:rFonts w:hint="eastAsia" w:hAnsi="Times New Roman"/>
        </w:rPr>
        <w:t>（2）满足开发建设要求：本方案用地符合合作区土地利用总体规划、城市总体规划纲要和控制性详细规划，项目已纳入国民经济和社会发展年度计划，合作区已承诺用地纳入在编的国土空间规划确定的城镇开发边界内的集中建设区。</w:t>
      </w:r>
    </w:p>
    <w:p>
      <w:pPr>
        <w:pStyle w:val="11"/>
        <w:ind w:firstLine="560"/>
        <w:rPr>
          <w:rFonts w:hAnsi="Times New Roman"/>
        </w:rPr>
      </w:pPr>
      <w:r>
        <w:rPr>
          <w:rFonts w:hint="eastAsia" w:hAnsi="Times New Roman"/>
        </w:rPr>
        <w:t>（3）满足公益性用地和拟征收土地面积比例要求：成片开发范围内的拟征收地块面积比例为91.19%，基础设施、公共服务设施和其他公益性用地比例为40.44%，符合土地征收成片开发要求。</w:t>
      </w:r>
    </w:p>
    <w:p>
      <w:pPr>
        <w:pStyle w:val="11"/>
        <w:ind w:firstLine="560"/>
        <w:rPr>
          <w:rFonts w:hAnsi="Times New Roman"/>
        </w:rPr>
      </w:pPr>
      <w:r>
        <w:rPr>
          <w:rFonts w:hint="eastAsia" w:hAnsi="Times New Roman"/>
        </w:rPr>
        <w:t>（4）成片开发的必要性：本方案的实施有利于落实国民经济和社会发展规划，保障重点项目落地，完善交通网络和城市功能，加快新城建设和城乡融合。</w:t>
      </w:r>
    </w:p>
    <w:p>
      <w:pPr>
        <w:pStyle w:val="11"/>
        <w:ind w:firstLine="560"/>
        <w:rPr>
          <w:rFonts w:hint="eastAsia" w:hAnsi="Times New Roman"/>
        </w:rPr>
      </w:pPr>
      <w:r>
        <w:rPr>
          <w:rFonts w:hint="eastAsia" w:hAnsi="Times New Roman"/>
        </w:rPr>
        <w:t>（5）满足编制条件审查要求：本方案的用地不涉及占用永久基本农田和生态保护红线，合作区不存在大量批而未供或者闲置土地，符合土地征收成片开发方案上报审查的要求。</w:t>
      </w:r>
      <w:bookmarkStart w:id="48" w:name="_GoBack"/>
      <w:bookmarkEnd w:id="48"/>
    </w:p>
    <w:sectPr>
      <w:pgSz w:w="11906" w:h="16838"/>
      <w:pgMar w:top="1418" w:right="1588" w:bottom="1418" w:left="1588" w:header="851" w:footer="85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89752368"/>
    </w:sdtPr>
    <w:sdtContent>
      <w:p>
        <w:pPr>
          <w:pStyle w:val="8"/>
        </w:pPr>
        <w:r>
          <w:rPr>
            <w:rFonts w:ascii="Times New Roman" w:hAnsi="Times New Roman" w:cs="Times New Roman"/>
            <w:sz w:val="21"/>
          </w:rPr>
          <w:fldChar w:fldCharType="begin"/>
        </w:r>
        <w:r>
          <w:rPr>
            <w:rFonts w:ascii="Times New Roman" w:hAnsi="Times New Roman" w:cs="Times New Roman"/>
            <w:sz w:val="21"/>
          </w:rPr>
          <w:instrText xml:space="preserve">PAGE   \* MERGEFORMAT</w:instrText>
        </w:r>
        <w:r>
          <w:rPr>
            <w:rFonts w:ascii="Times New Roman" w:hAnsi="Times New Roman" w:cs="Times New Roman"/>
            <w:sz w:val="21"/>
          </w:rPr>
          <w:fldChar w:fldCharType="separate"/>
        </w:r>
        <w:r>
          <w:rPr>
            <w:rFonts w:ascii="Times New Roman" w:hAnsi="Times New Roman" w:cs="Times New Roman"/>
            <w:sz w:val="21"/>
            <w:lang w:val="zh-CN"/>
          </w:rPr>
          <w:t>II</w:t>
        </w:r>
        <w:r>
          <w:rPr>
            <w:rFonts w:ascii="Times New Roman" w:hAnsi="Times New Roman" w:cs="Times New Roman"/>
            <w:sz w:val="2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9660157"/>
    </w:sdtPr>
    <w:sdtEndPr>
      <w:rPr>
        <w:rFonts w:ascii="Times New Roman" w:hAnsi="Times New Roman" w:cs="Times New Roman"/>
        <w:sz w:val="21"/>
      </w:rPr>
    </w:sdtEndPr>
    <w:sdtContent>
      <w:p>
        <w:pPr>
          <w:pStyle w:val="8"/>
          <w:rPr>
            <w:rFonts w:ascii="Times New Roman" w:hAnsi="Times New Roman" w:cs="Times New Roman"/>
            <w:sz w:val="21"/>
          </w:rPr>
        </w:pPr>
        <w:r>
          <w:rPr>
            <w:rFonts w:ascii="Times New Roman" w:hAnsi="Times New Roman" w:cs="Times New Roman"/>
            <w:sz w:val="21"/>
          </w:rPr>
          <w:fldChar w:fldCharType="begin"/>
        </w:r>
        <w:r>
          <w:rPr>
            <w:rFonts w:ascii="Times New Roman" w:hAnsi="Times New Roman" w:cs="Times New Roman"/>
            <w:sz w:val="21"/>
          </w:rPr>
          <w:instrText xml:space="preserve">PAGE   \* MERGEFORMAT</w:instrText>
        </w:r>
        <w:r>
          <w:rPr>
            <w:rFonts w:ascii="Times New Roman" w:hAnsi="Times New Roman" w:cs="Times New Roman"/>
            <w:sz w:val="21"/>
          </w:rPr>
          <w:fldChar w:fldCharType="separate"/>
        </w:r>
        <w:r>
          <w:rPr>
            <w:rFonts w:ascii="Times New Roman" w:hAnsi="Times New Roman" w:cs="Times New Roman"/>
            <w:sz w:val="21"/>
            <w:lang w:val="zh-CN"/>
          </w:rPr>
          <w:t>5</w:t>
        </w:r>
        <w:r>
          <w:rPr>
            <w:rFonts w:ascii="Times New Roman" w:hAnsi="Times New Roman" w:cs="Times New Roman"/>
            <w:sz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5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5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17C9FE"/>
    <w:multiLevelType w:val="singleLevel"/>
    <w:tmpl w:val="6A17C9FE"/>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doNotDisplayPageBoundaries w:val="1"/>
  <w:bordersDoNotSurroundHeader w:val="1"/>
  <w:bordersDoNotSurroundFooter w:val="1"/>
  <w:documentProtection w:enforcement="0"/>
  <w:defaultTabStop w:val="420"/>
  <w:drawingGridHorizontalSpacing w:val="11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574"/>
    <w:rsid w:val="0000061D"/>
    <w:rsid w:val="00000B25"/>
    <w:rsid w:val="000031C8"/>
    <w:rsid w:val="00003D58"/>
    <w:rsid w:val="000053D4"/>
    <w:rsid w:val="00005AAA"/>
    <w:rsid w:val="00014B2E"/>
    <w:rsid w:val="000164DE"/>
    <w:rsid w:val="00020233"/>
    <w:rsid w:val="00021593"/>
    <w:rsid w:val="000227D6"/>
    <w:rsid w:val="00022B77"/>
    <w:rsid w:val="00022F27"/>
    <w:rsid w:val="0002300B"/>
    <w:rsid w:val="00025D60"/>
    <w:rsid w:val="00027C4A"/>
    <w:rsid w:val="00033A70"/>
    <w:rsid w:val="00035165"/>
    <w:rsid w:val="00035D9D"/>
    <w:rsid w:val="00043B30"/>
    <w:rsid w:val="00045B0B"/>
    <w:rsid w:val="000522EF"/>
    <w:rsid w:val="000553B2"/>
    <w:rsid w:val="00056596"/>
    <w:rsid w:val="00056D09"/>
    <w:rsid w:val="00063EA5"/>
    <w:rsid w:val="00065072"/>
    <w:rsid w:val="0006780D"/>
    <w:rsid w:val="00070555"/>
    <w:rsid w:val="00074598"/>
    <w:rsid w:val="00077EC8"/>
    <w:rsid w:val="00083D24"/>
    <w:rsid w:val="00083E46"/>
    <w:rsid w:val="00085D03"/>
    <w:rsid w:val="000910EC"/>
    <w:rsid w:val="000914EE"/>
    <w:rsid w:val="0009541B"/>
    <w:rsid w:val="000A06AE"/>
    <w:rsid w:val="000A2EC6"/>
    <w:rsid w:val="000A2EF2"/>
    <w:rsid w:val="000A7A0D"/>
    <w:rsid w:val="000A7E4F"/>
    <w:rsid w:val="000B0976"/>
    <w:rsid w:val="000B0D30"/>
    <w:rsid w:val="000B2723"/>
    <w:rsid w:val="000B2A88"/>
    <w:rsid w:val="000B47BA"/>
    <w:rsid w:val="000B4AA3"/>
    <w:rsid w:val="000B6628"/>
    <w:rsid w:val="000B7813"/>
    <w:rsid w:val="000C491C"/>
    <w:rsid w:val="000C53CA"/>
    <w:rsid w:val="000C59FA"/>
    <w:rsid w:val="000C5BBC"/>
    <w:rsid w:val="000D1B23"/>
    <w:rsid w:val="000D35A4"/>
    <w:rsid w:val="000D4579"/>
    <w:rsid w:val="000D6D43"/>
    <w:rsid w:val="000E55AE"/>
    <w:rsid w:val="000E68D8"/>
    <w:rsid w:val="000E71A2"/>
    <w:rsid w:val="000F13A7"/>
    <w:rsid w:val="000F17FF"/>
    <w:rsid w:val="000F1E68"/>
    <w:rsid w:val="000F342C"/>
    <w:rsid w:val="000F4F4B"/>
    <w:rsid w:val="000F7416"/>
    <w:rsid w:val="00104513"/>
    <w:rsid w:val="001065C4"/>
    <w:rsid w:val="00111B09"/>
    <w:rsid w:val="00112068"/>
    <w:rsid w:val="00112487"/>
    <w:rsid w:val="001144B1"/>
    <w:rsid w:val="00115DAB"/>
    <w:rsid w:val="00115F32"/>
    <w:rsid w:val="00115FEE"/>
    <w:rsid w:val="001160EE"/>
    <w:rsid w:val="0011733A"/>
    <w:rsid w:val="001205B7"/>
    <w:rsid w:val="00120CBD"/>
    <w:rsid w:val="00122E18"/>
    <w:rsid w:val="00123093"/>
    <w:rsid w:val="0012321E"/>
    <w:rsid w:val="00123F59"/>
    <w:rsid w:val="00124DE3"/>
    <w:rsid w:val="00125DE4"/>
    <w:rsid w:val="001309EE"/>
    <w:rsid w:val="00131AF0"/>
    <w:rsid w:val="00132E67"/>
    <w:rsid w:val="001342CD"/>
    <w:rsid w:val="00135DB6"/>
    <w:rsid w:val="00140225"/>
    <w:rsid w:val="001417F0"/>
    <w:rsid w:val="00143756"/>
    <w:rsid w:val="00143C1C"/>
    <w:rsid w:val="001472B5"/>
    <w:rsid w:val="00157F99"/>
    <w:rsid w:val="00161E01"/>
    <w:rsid w:val="00166FFA"/>
    <w:rsid w:val="001675AF"/>
    <w:rsid w:val="00174883"/>
    <w:rsid w:val="00174CE4"/>
    <w:rsid w:val="00176D0E"/>
    <w:rsid w:val="00177F2D"/>
    <w:rsid w:val="00180FA3"/>
    <w:rsid w:val="00190D01"/>
    <w:rsid w:val="00191182"/>
    <w:rsid w:val="00191D20"/>
    <w:rsid w:val="00192502"/>
    <w:rsid w:val="00192F9A"/>
    <w:rsid w:val="0019366B"/>
    <w:rsid w:val="00195554"/>
    <w:rsid w:val="00196893"/>
    <w:rsid w:val="00196DE3"/>
    <w:rsid w:val="001A1920"/>
    <w:rsid w:val="001A322B"/>
    <w:rsid w:val="001A33B3"/>
    <w:rsid w:val="001B262E"/>
    <w:rsid w:val="001B4525"/>
    <w:rsid w:val="001B7AB6"/>
    <w:rsid w:val="001C2447"/>
    <w:rsid w:val="001C44CD"/>
    <w:rsid w:val="001C4BF4"/>
    <w:rsid w:val="001D006E"/>
    <w:rsid w:val="001D081D"/>
    <w:rsid w:val="001D18C6"/>
    <w:rsid w:val="001D23B8"/>
    <w:rsid w:val="001D2E5B"/>
    <w:rsid w:val="001D4A7E"/>
    <w:rsid w:val="001E2B4C"/>
    <w:rsid w:val="001E70DB"/>
    <w:rsid w:val="001F124E"/>
    <w:rsid w:val="001F2FEB"/>
    <w:rsid w:val="001F33B0"/>
    <w:rsid w:val="001F37B6"/>
    <w:rsid w:val="001F62A5"/>
    <w:rsid w:val="00201CAD"/>
    <w:rsid w:val="0020216D"/>
    <w:rsid w:val="00204B53"/>
    <w:rsid w:val="00206356"/>
    <w:rsid w:val="00211AB6"/>
    <w:rsid w:val="00211DF9"/>
    <w:rsid w:val="00211F8B"/>
    <w:rsid w:val="00213C62"/>
    <w:rsid w:val="00216A6F"/>
    <w:rsid w:val="00220F58"/>
    <w:rsid w:val="00223020"/>
    <w:rsid w:val="002241F2"/>
    <w:rsid w:val="002322C0"/>
    <w:rsid w:val="00233C55"/>
    <w:rsid w:val="00234E0E"/>
    <w:rsid w:val="00235B2A"/>
    <w:rsid w:val="00236546"/>
    <w:rsid w:val="00240DBF"/>
    <w:rsid w:val="0024166B"/>
    <w:rsid w:val="00242064"/>
    <w:rsid w:val="002428B8"/>
    <w:rsid w:val="00244F3A"/>
    <w:rsid w:val="00245A01"/>
    <w:rsid w:val="002464BB"/>
    <w:rsid w:val="0025108E"/>
    <w:rsid w:val="00254B83"/>
    <w:rsid w:val="002621A1"/>
    <w:rsid w:val="00265046"/>
    <w:rsid w:val="002705F9"/>
    <w:rsid w:val="00270844"/>
    <w:rsid w:val="002727C7"/>
    <w:rsid w:val="00273537"/>
    <w:rsid w:val="00273F2C"/>
    <w:rsid w:val="00274311"/>
    <w:rsid w:val="00276CCB"/>
    <w:rsid w:val="00276E22"/>
    <w:rsid w:val="00277428"/>
    <w:rsid w:val="002837D9"/>
    <w:rsid w:val="00283E3E"/>
    <w:rsid w:val="002845A2"/>
    <w:rsid w:val="00290862"/>
    <w:rsid w:val="00291BAD"/>
    <w:rsid w:val="0029200E"/>
    <w:rsid w:val="00293823"/>
    <w:rsid w:val="00296900"/>
    <w:rsid w:val="0029756C"/>
    <w:rsid w:val="002A10E1"/>
    <w:rsid w:val="002A561A"/>
    <w:rsid w:val="002A589D"/>
    <w:rsid w:val="002A6467"/>
    <w:rsid w:val="002A7027"/>
    <w:rsid w:val="002B1F68"/>
    <w:rsid w:val="002B313A"/>
    <w:rsid w:val="002B3E0E"/>
    <w:rsid w:val="002B4DC5"/>
    <w:rsid w:val="002C0024"/>
    <w:rsid w:val="002C0D65"/>
    <w:rsid w:val="002C6674"/>
    <w:rsid w:val="002C674A"/>
    <w:rsid w:val="002C6BB1"/>
    <w:rsid w:val="002C7CA1"/>
    <w:rsid w:val="002D0147"/>
    <w:rsid w:val="002D30C7"/>
    <w:rsid w:val="002D4594"/>
    <w:rsid w:val="002D47D6"/>
    <w:rsid w:val="002D506C"/>
    <w:rsid w:val="002D7997"/>
    <w:rsid w:val="002E1FC5"/>
    <w:rsid w:val="002E5A2F"/>
    <w:rsid w:val="002E5D60"/>
    <w:rsid w:val="002F478B"/>
    <w:rsid w:val="002F63E9"/>
    <w:rsid w:val="002F6F61"/>
    <w:rsid w:val="002F78E0"/>
    <w:rsid w:val="00300B7F"/>
    <w:rsid w:val="00300CA4"/>
    <w:rsid w:val="00301797"/>
    <w:rsid w:val="00301969"/>
    <w:rsid w:val="003044AF"/>
    <w:rsid w:val="00305588"/>
    <w:rsid w:val="00305589"/>
    <w:rsid w:val="0031113F"/>
    <w:rsid w:val="00312ED3"/>
    <w:rsid w:val="003133E7"/>
    <w:rsid w:val="00313D2A"/>
    <w:rsid w:val="003209FC"/>
    <w:rsid w:val="00320CB8"/>
    <w:rsid w:val="00323233"/>
    <w:rsid w:val="00325BA0"/>
    <w:rsid w:val="003303E2"/>
    <w:rsid w:val="00331009"/>
    <w:rsid w:val="003323E3"/>
    <w:rsid w:val="0033582D"/>
    <w:rsid w:val="00337A67"/>
    <w:rsid w:val="0034092C"/>
    <w:rsid w:val="003420F1"/>
    <w:rsid w:val="00343A1F"/>
    <w:rsid w:val="00347837"/>
    <w:rsid w:val="00352B3D"/>
    <w:rsid w:val="00356F72"/>
    <w:rsid w:val="003571F7"/>
    <w:rsid w:val="00357F99"/>
    <w:rsid w:val="003616FE"/>
    <w:rsid w:val="003646EC"/>
    <w:rsid w:val="0036494C"/>
    <w:rsid w:val="00365C7C"/>
    <w:rsid w:val="00371ABF"/>
    <w:rsid w:val="00373A14"/>
    <w:rsid w:val="00374E87"/>
    <w:rsid w:val="00375208"/>
    <w:rsid w:val="00375549"/>
    <w:rsid w:val="003814E3"/>
    <w:rsid w:val="00382C80"/>
    <w:rsid w:val="0038377F"/>
    <w:rsid w:val="003841BF"/>
    <w:rsid w:val="0038585A"/>
    <w:rsid w:val="0038704A"/>
    <w:rsid w:val="0039076F"/>
    <w:rsid w:val="00392079"/>
    <w:rsid w:val="00392E94"/>
    <w:rsid w:val="00393925"/>
    <w:rsid w:val="00393E94"/>
    <w:rsid w:val="003970F6"/>
    <w:rsid w:val="003978A7"/>
    <w:rsid w:val="003A087C"/>
    <w:rsid w:val="003A5767"/>
    <w:rsid w:val="003A592B"/>
    <w:rsid w:val="003A6EA0"/>
    <w:rsid w:val="003B0B7F"/>
    <w:rsid w:val="003B0C23"/>
    <w:rsid w:val="003B1927"/>
    <w:rsid w:val="003B62DC"/>
    <w:rsid w:val="003C1DC8"/>
    <w:rsid w:val="003C34F5"/>
    <w:rsid w:val="003C4499"/>
    <w:rsid w:val="003C4FE7"/>
    <w:rsid w:val="003C5EBE"/>
    <w:rsid w:val="003C7DD3"/>
    <w:rsid w:val="003C7EAB"/>
    <w:rsid w:val="003D125D"/>
    <w:rsid w:val="003D33BA"/>
    <w:rsid w:val="003D371F"/>
    <w:rsid w:val="003D45F1"/>
    <w:rsid w:val="003D56B2"/>
    <w:rsid w:val="003D7400"/>
    <w:rsid w:val="003D7E37"/>
    <w:rsid w:val="003E225D"/>
    <w:rsid w:val="003E4132"/>
    <w:rsid w:val="003E54AA"/>
    <w:rsid w:val="003E5C56"/>
    <w:rsid w:val="003F300E"/>
    <w:rsid w:val="003F3546"/>
    <w:rsid w:val="003F71BB"/>
    <w:rsid w:val="00400853"/>
    <w:rsid w:val="004011F4"/>
    <w:rsid w:val="00403BE3"/>
    <w:rsid w:val="004076B8"/>
    <w:rsid w:val="00407C5A"/>
    <w:rsid w:val="00410A18"/>
    <w:rsid w:val="00411543"/>
    <w:rsid w:val="004117EA"/>
    <w:rsid w:val="00411D8F"/>
    <w:rsid w:val="0041377E"/>
    <w:rsid w:val="00415E84"/>
    <w:rsid w:val="00417959"/>
    <w:rsid w:val="004230A2"/>
    <w:rsid w:val="004268F5"/>
    <w:rsid w:val="00426EE3"/>
    <w:rsid w:val="00432D2E"/>
    <w:rsid w:val="0043638A"/>
    <w:rsid w:val="00441583"/>
    <w:rsid w:val="00441EB8"/>
    <w:rsid w:val="00445375"/>
    <w:rsid w:val="004467D7"/>
    <w:rsid w:val="004472D5"/>
    <w:rsid w:val="004523DC"/>
    <w:rsid w:val="0045333E"/>
    <w:rsid w:val="004533E6"/>
    <w:rsid w:val="0046350F"/>
    <w:rsid w:val="00466A6F"/>
    <w:rsid w:val="00472C49"/>
    <w:rsid w:val="00474769"/>
    <w:rsid w:val="004747A5"/>
    <w:rsid w:val="00477626"/>
    <w:rsid w:val="00481660"/>
    <w:rsid w:val="00482676"/>
    <w:rsid w:val="0048454F"/>
    <w:rsid w:val="00490E65"/>
    <w:rsid w:val="004921CE"/>
    <w:rsid w:val="00492EA6"/>
    <w:rsid w:val="00497402"/>
    <w:rsid w:val="0049795D"/>
    <w:rsid w:val="004A2E10"/>
    <w:rsid w:val="004A4BBD"/>
    <w:rsid w:val="004B020B"/>
    <w:rsid w:val="004B4962"/>
    <w:rsid w:val="004B5D00"/>
    <w:rsid w:val="004B6A7B"/>
    <w:rsid w:val="004B769A"/>
    <w:rsid w:val="004C228E"/>
    <w:rsid w:val="004C24E9"/>
    <w:rsid w:val="004C30B1"/>
    <w:rsid w:val="004C3E89"/>
    <w:rsid w:val="004C4BE4"/>
    <w:rsid w:val="004C6E04"/>
    <w:rsid w:val="004C72E1"/>
    <w:rsid w:val="004C7C5C"/>
    <w:rsid w:val="004D0336"/>
    <w:rsid w:val="004D0ED0"/>
    <w:rsid w:val="004D0FB6"/>
    <w:rsid w:val="004D22AC"/>
    <w:rsid w:val="004D2C48"/>
    <w:rsid w:val="004D3C6D"/>
    <w:rsid w:val="004D4B6A"/>
    <w:rsid w:val="004D528D"/>
    <w:rsid w:val="004D6000"/>
    <w:rsid w:val="004D6FA1"/>
    <w:rsid w:val="004E16A3"/>
    <w:rsid w:val="004E1B82"/>
    <w:rsid w:val="004E393D"/>
    <w:rsid w:val="004E3BBB"/>
    <w:rsid w:val="004E6737"/>
    <w:rsid w:val="004F085F"/>
    <w:rsid w:val="004F0B3A"/>
    <w:rsid w:val="004F3815"/>
    <w:rsid w:val="004F49F8"/>
    <w:rsid w:val="004F644B"/>
    <w:rsid w:val="005007CC"/>
    <w:rsid w:val="00505073"/>
    <w:rsid w:val="005053F9"/>
    <w:rsid w:val="00507CAE"/>
    <w:rsid w:val="005103BF"/>
    <w:rsid w:val="00510AAC"/>
    <w:rsid w:val="00511238"/>
    <w:rsid w:val="00512574"/>
    <w:rsid w:val="00515C0D"/>
    <w:rsid w:val="005174F4"/>
    <w:rsid w:val="0051765A"/>
    <w:rsid w:val="00517CC9"/>
    <w:rsid w:val="00520994"/>
    <w:rsid w:val="00520F6E"/>
    <w:rsid w:val="005237D6"/>
    <w:rsid w:val="00525643"/>
    <w:rsid w:val="00525A8C"/>
    <w:rsid w:val="00526E93"/>
    <w:rsid w:val="0052707E"/>
    <w:rsid w:val="00527F71"/>
    <w:rsid w:val="0053410F"/>
    <w:rsid w:val="005370A6"/>
    <w:rsid w:val="005406EA"/>
    <w:rsid w:val="005409BB"/>
    <w:rsid w:val="0054140F"/>
    <w:rsid w:val="005419F7"/>
    <w:rsid w:val="00546908"/>
    <w:rsid w:val="00547ECC"/>
    <w:rsid w:val="005616E6"/>
    <w:rsid w:val="00561CEF"/>
    <w:rsid w:val="00563412"/>
    <w:rsid w:val="00567444"/>
    <w:rsid w:val="00576B72"/>
    <w:rsid w:val="0057780C"/>
    <w:rsid w:val="00580CB5"/>
    <w:rsid w:val="005810F7"/>
    <w:rsid w:val="005856F2"/>
    <w:rsid w:val="0058701B"/>
    <w:rsid w:val="00596FF5"/>
    <w:rsid w:val="00597A56"/>
    <w:rsid w:val="005A2F03"/>
    <w:rsid w:val="005B2071"/>
    <w:rsid w:val="005B20E5"/>
    <w:rsid w:val="005B2A8A"/>
    <w:rsid w:val="005B3DA1"/>
    <w:rsid w:val="005B6CDA"/>
    <w:rsid w:val="005C2E7A"/>
    <w:rsid w:val="005C5F4A"/>
    <w:rsid w:val="005C613E"/>
    <w:rsid w:val="005C654E"/>
    <w:rsid w:val="005D092E"/>
    <w:rsid w:val="005D235C"/>
    <w:rsid w:val="005D2BD9"/>
    <w:rsid w:val="005D3475"/>
    <w:rsid w:val="005D4097"/>
    <w:rsid w:val="005D4BF4"/>
    <w:rsid w:val="005D5522"/>
    <w:rsid w:val="005D6079"/>
    <w:rsid w:val="005D6284"/>
    <w:rsid w:val="005D63A5"/>
    <w:rsid w:val="005E331D"/>
    <w:rsid w:val="005E5DA7"/>
    <w:rsid w:val="005E7EC5"/>
    <w:rsid w:val="005F269B"/>
    <w:rsid w:val="005F274D"/>
    <w:rsid w:val="005F5DF2"/>
    <w:rsid w:val="005F698E"/>
    <w:rsid w:val="0060017A"/>
    <w:rsid w:val="006005B7"/>
    <w:rsid w:val="006024BE"/>
    <w:rsid w:val="00605E79"/>
    <w:rsid w:val="00607994"/>
    <w:rsid w:val="006112C8"/>
    <w:rsid w:val="00616CB9"/>
    <w:rsid w:val="00620388"/>
    <w:rsid w:val="00622514"/>
    <w:rsid w:val="00623FA1"/>
    <w:rsid w:val="00626BBD"/>
    <w:rsid w:val="00633976"/>
    <w:rsid w:val="0063475D"/>
    <w:rsid w:val="00640140"/>
    <w:rsid w:val="00640DAD"/>
    <w:rsid w:val="006410CA"/>
    <w:rsid w:val="00641D14"/>
    <w:rsid w:val="00644B92"/>
    <w:rsid w:val="006503D3"/>
    <w:rsid w:val="006513F3"/>
    <w:rsid w:val="00655F59"/>
    <w:rsid w:val="00656C25"/>
    <w:rsid w:val="00664474"/>
    <w:rsid w:val="00664B9C"/>
    <w:rsid w:val="006658A6"/>
    <w:rsid w:val="00666EEF"/>
    <w:rsid w:val="0067005D"/>
    <w:rsid w:val="00671FB5"/>
    <w:rsid w:val="006748E7"/>
    <w:rsid w:val="006809C4"/>
    <w:rsid w:val="006824F3"/>
    <w:rsid w:val="00687035"/>
    <w:rsid w:val="00687F04"/>
    <w:rsid w:val="006926C4"/>
    <w:rsid w:val="00692AE6"/>
    <w:rsid w:val="00692ED5"/>
    <w:rsid w:val="0069555A"/>
    <w:rsid w:val="006A1841"/>
    <w:rsid w:val="006A6CE2"/>
    <w:rsid w:val="006B1D4D"/>
    <w:rsid w:val="006B4093"/>
    <w:rsid w:val="006B5730"/>
    <w:rsid w:val="006B7E64"/>
    <w:rsid w:val="006C082E"/>
    <w:rsid w:val="006C361E"/>
    <w:rsid w:val="006C3D4B"/>
    <w:rsid w:val="006C4AB9"/>
    <w:rsid w:val="006D23D7"/>
    <w:rsid w:val="006D2DCC"/>
    <w:rsid w:val="006D3C7F"/>
    <w:rsid w:val="006D4CCD"/>
    <w:rsid w:val="006E03DC"/>
    <w:rsid w:val="006E229B"/>
    <w:rsid w:val="006E4A62"/>
    <w:rsid w:val="006E66E2"/>
    <w:rsid w:val="006F1E7E"/>
    <w:rsid w:val="006F3B9E"/>
    <w:rsid w:val="006F5587"/>
    <w:rsid w:val="006F6FD1"/>
    <w:rsid w:val="0070003A"/>
    <w:rsid w:val="007009EA"/>
    <w:rsid w:val="00701EF1"/>
    <w:rsid w:val="007032DC"/>
    <w:rsid w:val="00703D22"/>
    <w:rsid w:val="00704057"/>
    <w:rsid w:val="00714189"/>
    <w:rsid w:val="007165C5"/>
    <w:rsid w:val="0072069C"/>
    <w:rsid w:val="00721E3C"/>
    <w:rsid w:val="00721E78"/>
    <w:rsid w:val="00723DF3"/>
    <w:rsid w:val="00732285"/>
    <w:rsid w:val="00734B89"/>
    <w:rsid w:val="00735DDF"/>
    <w:rsid w:val="007403E9"/>
    <w:rsid w:val="00742E38"/>
    <w:rsid w:val="0074482B"/>
    <w:rsid w:val="00745E96"/>
    <w:rsid w:val="00746494"/>
    <w:rsid w:val="00752932"/>
    <w:rsid w:val="00753F10"/>
    <w:rsid w:val="00756D40"/>
    <w:rsid w:val="00757C82"/>
    <w:rsid w:val="0076247E"/>
    <w:rsid w:val="00763C0C"/>
    <w:rsid w:val="00764246"/>
    <w:rsid w:val="007652B2"/>
    <w:rsid w:val="0076542E"/>
    <w:rsid w:val="007654DF"/>
    <w:rsid w:val="00766A78"/>
    <w:rsid w:val="0076792E"/>
    <w:rsid w:val="00770820"/>
    <w:rsid w:val="00773557"/>
    <w:rsid w:val="007825CE"/>
    <w:rsid w:val="007828F6"/>
    <w:rsid w:val="0078321D"/>
    <w:rsid w:val="0078327E"/>
    <w:rsid w:val="00783E01"/>
    <w:rsid w:val="007848F7"/>
    <w:rsid w:val="00790FD3"/>
    <w:rsid w:val="00792314"/>
    <w:rsid w:val="00792385"/>
    <w:rsid w:val="00792663"/>
    <w:rsid w:val="00794DD4"/>
    <w:rsid w:val="007A2D7F"/>
    <w:rsid w:val="007A3D45"/>
    <w:rsid w:val="007A3F06"/>
    <w:rsid w:val="007A4098"/>
    <w:rsid w:val="007A5550"/>
    <w:rsid w:val="007A5B7B"/>
    <w:rsid w:val="007B2989"/>
    <w:rsid w:val="007C7ACA"/>
    <w:rsid w:val="007D08C7"/>
    <w:rsid w:val="007D11C7"/>
    <w:rsid w:val="007D22AA"/>
    <w:rsid w:val="007D3AAC"/>
    <w:rsid w:val="007D3C26"/>
    <w:rsid w:val="007D3E19"/>
    <w:rsid w:val="007D3F86"/>
    <w:rsid w:val="007D5157"/>
    <w:rsid w:val="007D59E5"/>
    <w:rsid w:val="007E317E"/>
    <w:rsid w:val="007E7E00"/>
    <w:rsid w:val="007F1DBF"/>
    <w:rsid w:val="007F292D"/>
    <w:rsid w:val="007F3F10"/>
    <w:rsid w:val="007F5BB7"/>
    <w:rsid w:val="00800637"/>
    <w:rsid w:val="00801B5B"/>
    <w:rsid w:val="00804FFF"/>
    <w:rsid w:val="008059B0"/>
    <w:rsid w:val="008073A2"/>
    <w:rsid w:val="00812AE7"/>
    <w:rsid w:val="00812AF7"/>
    <w:rsid w:val="00812DDB"/>
    <w:rsid w:val="0081396C"/>
    <w:rsid w:val="008168E4"/>
    <w:rsid w:val="00817C6F"/>
    <w:rsid w:val="00820907"/>
    <w:rsid w:val="00821FC7"/>
    <w:rsid w:val="00823A74"/>
    <w:rsid w:val="00823BDD"/>
    <w:rsid w:val="00825AAB"/>
    <w:rsid w:val="00825CC7"/>
    <w:rsid w:val="00825F06"/>
    <w:rsid w:val="0082790F"/>
    <w:rsid w:val="0083116B"/>
    <w:rsid w:val="00831A5D"/>
    <w:rsid w:val="008331C5"/>
    <w:rsid w:val="0083350C"/>
    <w:rsid w:val="0083566D"/>
    <w:rsid w:val="00841A53"/>
    <w:rsid w:val="00842132"/>
    <w:rsid w:val="008438EC"/>
    <w:rsid w:val="00845BB6"/>
    <w:rsid w:val="00845DA8"/>
    <w:rsid w:val="00847220"/>
    <w:rsid w:val="00847843"/>
    <w:rsid w:val="00847DAA"/>
    <w:rsid w:val="008513B5"/>
    <w:rsid w:val="008518C7"/>
    <w:rsid w:val="0085241A"/>
    <w:rsid w:val="00854C2D"/>
    <w:rsid w:val="00855B04"/>
    <w:rsid w:val="0086130D"/>
    <w:rsid w:val="00865161"/>
    <w:rsid w:val="00865785"/>
    <w:rsid w:val="00866480"/>
    <w:rsid w:val="008671AE"/>
    <w:rsid w:val="008676C7"/>
    <w:rsid w:val="0087181D"/>
    <w:rsid w:val="00872FC7"/>
    <w:rsid w:val="00880798"/>
    <w:rsid w:val="008907A6"/>
    <w:rsid w:val="008961A9"/>
    <w:rsid w:val="00896F19"/>
    <w:rsid w:val="008A13B4"/>
    <w:rsid w:val="008A1797"/>
    <w:rsid w:val="008A295B"/>
    <w:rsid w:val="008A3319"/>
    <w:rsid w:val="008A4A30"/>
    <w:rsid w:val="008A7CAC"/>
    <w:rsid w:val="008B1612"/>
    <w:rsid w:val="008B1D8B"/>
    <w:rsid w:val="008B4862"/>
    <w:rsid w:val="008B6052"/>
    <w:rsid w:val="008C09D0"/>
    <w:rsid w:val="008C0B44"/>
    <w:rsid w:val="008C26BF"/>
    <w:rsid w:val="008C3633"/>
    <w:rsid w:val="008C49B0"/>
    <w:rsid w:val="008C585A"/>
    <w:rsid w:val="008C6488"/>
    <w:rsid w:val="008D1A5C"/>
    <w:rsid w:val="008D70B0"/>
    <w:rsid w:val="008D7C52"/>
    <w:rsid w:val="008D7EC9"/>
    <w:rsid w:val="008E0B62"/>
    <w:rsid w:val="008E31BE"/>
    <w:rsid w:val="008E47DD"/>
    <w:rsid w:val="008E6B66"/>
    <w:rsid w:val="008E6F14"/>
    <w:rsid w:val="008E6F38"/>
    <w:rsid w:val="008F0B97"/>
    <w:rsid w:val="008F122A"/>
    <w:rsid w:val="008F3421"/>
    <w:rsid w:val="008F382B"/>
    <w:rsid w:val="008F5544"/>
    <w:rsid w:val="008F639C"/>
    <w:rsid w:val="008F6AC6"/>
    <w:rsid w:val="008F7C14"/>
    <w:rsid w:val="009067FE"/>
    <w:rsid w:val="00910A7A"/>
    <w:rsid w:val="00911CF3"/>
    <w:rsid w:val="009131AE"/>
    <w:rsid w:val="00913354"/>
    <w:rsid w:val="00913D27"/>
    <w:rsid w:val="00915124"/>
    <w:rsid w:val="00917259"/>
    <w:rsid w:val="00920947"/>
    <w:rsid w:val="00922A94"/>
    <w:rsid w:val="009235B2"/>
    <w:rsid w:val="00923D43"/>
    <w:rsid w:val="009242F4"/>
    <w:rsid w:val="00932447"/>
    <w:rsid w:val="00932546"/>
    <w:rsid w:val="00934450"/>
    <w:rsid w:val="009357E6"/>
    <w:rsid w:val="00937E10"/>
    <w:rsid w:val="00940360"/>
    <w:rsid w:val="00941DAF"/>
    <w:rsid w:val="00944D45"/>
    <w:rsid w:val="009452B5"/>
    <w:rsid w:val="009524C9"/>
    <w:rsid w:val="00954F34"/>
    <w:rsid w:val="00961553"/>
    <w:rsid w:val="00964AEA"/>
    <w:rsid w:val="00966F1F"/>
    <w:rsid w:val="00967A55"/>
    <w:rsid w:val="00967E23"/>
    <w:rsid w:val="009700B1"/>
    <w:rsid w:val="00971A94"/>
    <w:rsid w:val="00971BBA"/>
    <w:rsid w:val="0097253D"/>
    <w:rsid w:val="00972B60"/>
    <w:rsid w:val="0097713F"/>
    <w:rsid w:val="00980B1A"/>
    <w:rsid w:val="00984D7F"/>
    <w:rsid w:val="00987D45"/>
    <w:rsid w:val="00990912"/>
    <w:rsid w:val="00991547"/>
    <w:rsid w:val="00996616"/>
    <w:rsid w:val="0099699E"/>
    <w:rsid w:val="00996B63"/>
    <w:rsid w:val="009972E1"/>
    <w:rsid w:val="009A0972"/>
    <w:rsid w:val="009A2977"/>
    <w:rsid w:val="009A3978"/>
    <w:rsid w:val="009A5AA3"/>
    <w:rsid w:val="009B12F6"/>
    <w:rsid w:val="009B301A"/>
    <w:rsid w:val="009B34FA"/>
    <w:rsid w:val="009B3B0A"/>
    <w:rsid w:val="009B4EFB"/>
    <w:rsid w:val="009C2B1D"/>
    <w:rsid w:val="009C6FCD"/>
    <w:rsid w:val="009D1A5F"/>
    <w:rsid w:val="009D321F"/>
    <w:rsid w:val="009D4708"/>
    <w:rsid w:val="009D5548"/>
    <w:rsid w:val="009D6867"/>
    <w:rsid w:val="009D73BC"/>
    <w:rsid w:val="009D7B7D"/>
    <w:rsid w:val="009D7DDF"/>
    <w:rsid w:val="009E32BF"/>
    <w:rsid w:val="009E34FC"/>
    <w:rsid w:val="009E63FD"/>
    <w:rsid w:val="009E7ACD"/>
    <w:rsid w:val="009F2B1D"/>
    <w:rsid w:val="009F5399"/>
    <w:rsid w:val="009F5C72"/>
    <w:rsid w:val="009F6388"/>
    <w:rsid w:val="00A0224A"/>
    <w:rsid w:val="00A0285F"/>
    <w:rsid w:val="00A02B99"/>
    <w:rsid w:val="00A035A1"/>
    <w:rsid w:val="00A035F4"/>
    <w:rsid w:val="00A0567C"/>
    <w:rsid w:val="00A104FD"/>
    <w:rsid w:val="00A128D6"/>
    <w:rsid w:val="00A145AE"/>
    <w:rsid w:val="00A1476B"/>
    <w:rsid w:val="00A17E58"/>
    <w:rsid w:val="00A218C8"/>
    <w:rsid w:val="00A2368C"/>
    <w:rsid w:val="00A23865"/>
    <w:rsid w:val="00A256DC"/>
    <w:rsid w:val="00A26E9F"/>
    <w:rsid w:val="00A272CE"/>
    <w:rsid w:val="00A27FAE"/>
    <w:rsid w:val="00A3325F"/>
    <w:rsid w:val="00A40374"/>
    <w:rsid w:val="00A41FC7"/>
    <w:rsid w:val="00A431D2"/>
    <w:rsid w:val="00A46149"/>
    <w:rsid w:val="00A50FFA"/>
    <w:rsid w:val="00A51DE0"/>
    <w:rsid w:val="00A5262E"/>
    <w:rsid w:val="00A52FD9"/>
    <w:rsid w:val="00A567D1"/>
    <w:rsid w:val="00A61328"/>
    <w:rsid w:val="00A63C15"/>
    <w:rsid w:val="00A64007"/>
    <w:rsid w:val="00A746F1"/>
    <w:rsid w:val="00A82F96"/>
    <w:rsid w:val="00A83B91"/>
    <w:rsid w:val="00A84115"/>
    <w:rsid w:val="00A84E93"/>
    <w:rsid w:val="00A86E1E"/>
    <w:rsid w:val="00A87FDB"/>
    <w:rsid w:val="00A9024B"/>
    <w:rsid w:val="00A95C63"/>
    <w:rsid w:val="00AA001E"/>
    <w:rsid w:val="00AA0ECE"/>
    <w:rsid w:val="00AA29F8"/>
    <w:rsid w:val="00AA2E4B"/>
    <w:rsid w:val="00AA5124"/>
    <w:rsid w:val="00AA7759"/>
    <w:rsid w:val="00AB21B0"/>
    <w:rsid w:val="00AB40F1"/>
    <w:rsid w:val="00AB63AE"/>
    <w:rsid w:val="00AB6B45"/>
    <w:rsid w:val="00AB7137"/>
    <w:rsid w:val="00AC07C9"/>
    <w:rsid w:val="00AC4500"/>
    <w:rsid w:val="00AC52D4"/>
    <w:rsid w:val="00AD178B"/>
    <w:rsid w:val="00AD1D2F"/>
    <w:rsid w:val="00AD1DE6"/>
    <w:rsid w:val="00AD1E8C"/>
    <w:rsid w:val="00AD2150"/>
    <w:rsid w:val="00AD2A35"/>
    <w:rsid w:val="00AD5835"/>
    <w:rsid w:val="00AD67D0"/>
    <w:rsid w:val="00AE375F"/>
    <w:rsid w:val="00AE507A"/>
    <w:rsid w:val="00AE7B0F"/>
    <w:rsid w:val="00AF04A2"/>
    <w:rsid w:val="00AF0533"/>
    <w:rsid w:val="00AF3F56"/>
    <w:rsid w:val="00AF49A7"/>
    <w:rsid w:val="00AF5478"/>
    <w:rsid w:val="00B00210"/>
    <w:rsid w:val="00B00896"/>
    <w:rsid w:val="00B01816"/>
    <w:rsid w:val="00B019A0"/>
    <w:rsid w:val="00B01EAA"/>
    <w:rsid w:val="00B0260B"/>
    <w:rsid w:val="00B04299"/>
    <w:rsid w:val="00B04C96"/>
    <w:rsid w:val="00B10E6A"/>
    <w:rsid w:val="00B15697"/>
    <w:rsid w:val="00B17827"/>
    <w:rsid w:val="00B20490"/>
    <w:rsid w:val="00B205B1"/>
    <w:rsid w:val="00B2231D"/>
    <w:rsid w:val="00B22AE9"/>
    <w:rsid w:val="00B23D3A"/>
    <w:rsid w:val="00B258E6"/>
    <w:rsid w:val="00B26942"/>
    <w:rsid w:val="00B27013"/>
    <w:rsid w:val="00B30437"/>
    <w:rsid w:val="00B318DA"/>
    <w:rsid w:val="00B319F4"/>
    <w:rsid w:val="00B3352C"/>
    <w:rsid w:val="00B35226"/>
    <w:rsid w:val="00B37637"/>
    <w:rsid w:val="00B37D50"/>
    <w:rsid w:val="00B42D78"/>
    <w:rsid w:val="00B454B1"/>
    <w:rsid w:val="00B46587"/>
    <w:rsid w:val="00B4751C"/>
    <w:rsid w:val="00B477E2"/>
    <w:rsid w:val="00B5033C"/>
    <w:rsid w:val="00B515AE"/>
    <w:rsid w:val="00B55073"/>
    <w:rsid w:val="00B55B3D"/>
    <w:rsid w:val="00B56DAB"/>
    <w:rsid w:val="00B57450"/>
    <w:rsid w:val="00B61E30"/>
    <w:rsid w:val="00B63EC4"/>
    <w:rsid w:val="00B645E5"/>
    <w:rsid w:val="00B65034"/>
    <w:rsid w:val="00B6626A"/>
    <w:rsid w:val="00B6673A"/>
    <w:rsid w:val="00B66B8C"/>
    <w:rsid w:val="00B66F3F"/>
    <w:rsid w:val="00B67144"/>
    <w:rsid w:val="00B70016"/>
    <w:rsid w:val="00B75A1D"/>
    <w:rsid w:val="00B76099"/>
    <w:rsid w:val="00B770EB"/>
    <w:rsid w:val="00B77BDF"/>
    <w:rsid w:val="00B8286E"/>
    <w:rsid w:val="00B850E2"/>
    <w:rsid w:val="00B8702B"/>
    <w:rsid w:val="00B90E09"/>
    <w:rsid w:val="00B936D5"/>
    <w:rsid w:val="00B93D9B"/>
    <w:rsid w:val="00B97B3B"/>
    <w:rsid w:val="00B97F31"/>
    <w:rsid w:val="00BA2C09"/>
    <w:rsid w:val="00BA2F16"/>
    <w:rsid w:val="00BA5CE6"/>
    <w:rsid w:val="00BA6E14"/>
    <w:rsid w:val="00BA7CC9"/>
    <w:rsid w:val="00BB0019"/>
    <w:rsid w:val="00BB0B61"/>
    <w:rsid w:val="00BB2488"/>
    <w:rsid w:val="00BB4C5F"/>
    <w:rsid w:val="00BC00FD"/>
    <w:rsid w:val="00BC2F8E"/>
    <w:rsid w:val="00BC32B9"/>
    <w:rsid w:val="00BC3671"/>
    <w:rsid w:val="00BC463D"/>
    <w:rsid w:val="00BD0EB5"/>
    <w:rsid w:val="00BD1E05"/>
    <w:rsid w:val="00BD36E3"/>
    <w:rsid w:val="00BD3AAA"/>
    <w:rsid w:val="00BD6783"/>
    <w:rsid w:val="00BD7588"/>
    <w:rsid w:val="00BE0C5E"/>
    <w:rsid w:val="00BE184D"/>
    <w:rsid w:val="00BE18B2"/>
    <w:rsid w:val="00BE2221"/>
    <w:rsid w:val="00BE5D99"/>
    <w:rsid w:val="00BE665B"/>
    <w:rsid w:val="00BE66AC"/>
    <w:rsid w:val="00BF0E1F"/>
    <w:rsid w:val="00BF31D7"/>
    <w:rsid w:val="00BF5B51"/>
    <w:rsid w:val="00BF6900"/>
    <w:rsid w:val="00C01519"/>
    <w:rsid w:val="00C043C8"/>
    <w:rsid w:val="00C07672"/>
    <w:rsid w:val="00C078E8"/>
    <w:rsid w:val="00C14603"/>
    <w:rsid w:val="00C14897"/>
    <w:rsid w:val="00C16440"/>
    <w:rsid w:val="00C16F62"/>
    <w:rsid w:val="00C275A7"/>
    <w:rsid w:val="00C327B7"/>
    <w:rsid w:val="00C343BE"/>
    <w:rsid w:val="00C367A2"/>
    <w:rsid w:val="00C407F2"/>
    <w:rsid w:val="00C40D8E"/>
    <w:rsid w:val="00C429C8"/>
    <w:rsid w:val="00C4605F"/>
    <w:rsid w:val="00C478AA"/>
    <w:rsid w:val="00C53787"/>
    <w:rsid w:val="00C57F97"/>
    <w:rsid w:val="00C66D9F"/>
    <w:rsid w:val="00C676D5"/>
    <w:rsid w:val="00C70B09"/>
    <w:rsid w:val="00C72C34"/>
    <w:rsid w:val="00C84A43"/>
    <w:rsid w:val="00C85BA3"/>
    <w:rsid w:val="00C872B3"/>
    <w:rsid w:val="00C91C6C"/>
    <w:rsid w:val="00C9549D"/>
    <w:rsid w:val="00C95F60"/>
    <w:rsid w:val="00CA00B1"/>
    <w:rsid w:val="00CA184A"/>
    <w:rsid w:val="00CA39A6"/>
    <w:rsid w:val="00CA4333"/>
    <w:rsid w:val="00CA464B"/>
    <w:rsid w:val="00CA4812"/>
    <w:rsid w:val="00CA7EA1"/>
    <w:rsid w:val="00CB00ED"/>
    <w:rsid w:val="00CB110D"/>
    <w:rsid w:val="00CB18FC"/>
    <w:rsid w:val="00CB7AAD"/>
    <w:rsid w:val="00CC4E72"/>
    <w:rsid w:val="00CC5770"/>
    <w:rsid w:val="00CC5AD5"/>
    <w:rsid w:val="00CC693A"/>
    <w:rsid w:val="00CC76DA"/>
    <w:rsid w:val="00CD38A5"/>
    <w:rsid w:val="00CD6C09"/>
    <w:rsid w:val="00CE416A"/>
    <w:rsid w:val="00CE50FC"/>
    <w:rsid w:val="00CE5350"/>
    <w:rsid w:val="00CE6C0F"/>
    <w:rsid w:val="00CE7653"/>
    <w:rsid w:val="00CF2CF4"/>
    <w:rsid w:val="00CF3176"/>
    <w:rsid w:val="00CF4FD5"/>
    <w:rsid w:val="00CF5C58"/>
    <w:rsid w:val="00D01512"/>
    <w:rsid w:val="00D02030"/>
    <w:rsid w:val="00D020FC"/>
    <w:rsid w:val="00D050F3"/>
    <w:rsid w:val="00D057F5"/>
    <w:rsid w:val="00D05A66"/>
    <w:rsid w:val="00D104A7"/>
    <w:rsid w:val="00D1159E"/>
    <w:rsid w:val="00D12994"/>
    <w:rsid w:val="00D13E91"/>
    <w:rsid w:val="00D14C45"/>
    <w:rsid w:val="00D17DCB"/>
    <w:rsid w:val="00D213EB"/>
    <w:rsid w:val="00D242AB"/>
    <w:rsid w:val="00D25713"/>
    <w:rsid w:val="00D26376"/>
    <w:rsid w:val="00D271DC"/>
    <w:rsid w:val="00D308B8"/>
    <w:rsid w:val="00D32878"/>
    <w:rsid w:val="00D35DC3"/>
    <w:rsid w:val="00D40908"/>
    <w:rsid w:val="00D44A7C"/>
    <w:rsid w:val="00D44B43"/>
    <w:rsid w:val="00D45711"/>
    <w:rsid w:val="00D50F1F"/>
    <w:rsid w:val="00D51D56"/>
    <w:rsid w:val="00D535AD"/>
    <w:rsid w:val="00D54A94"/>
    <w:rsid w:val="00D57AA0"/>
    <w:rsid w:val="00D60208"/>
    <w:rsid w:val="00D61518"/>
    <w:rsid w:val="00D61F01"/>
    <w:rsid w:val="00D72AAF"/>
    <w:rsid w:val="00D72EE6"/>
    <w:rsid w:val="00D7308E"/>
    <w:rsid w:val="00D775B8"/>
    <w:rsid w:val="00D77E60"/>
    <w:rsid w:val="00D82526"/>
    <w:rsid w:val="00D8262D"/>
    <w:rsid w:val="00D84699"/>
    <w:rsid w:val="00D84B0D"/>
    <w:rsid w:val="00D86434"/>
    <w:rsid w:val="00D90232"/>
    <w:rsid w:val="00D940DF"/>
    <w:rsid w:val="00D96FAE"/>
    <w:rsid w:val="00DA028F"/>
    <w:rsid w:val="00DA1955"/>
    <w:rsid w:val="00DA201D"/>
    <w:rsid w:val="00DA26FB"/>
    <w:rsid w:val="00DA3653"/>
    <w:rsid w:val="00DA3F4B"/>
    <w:rsid w:val="00DA70FB"/>
    <w:rsid w:val="00DB150D"/>
    <w:rsid w:val="00DB2CCC"/>
    <w:rsid w:val="00DB4466"/>
    <w:rsid w:val="00DB788B"/>
    <w:rsid w:val="00DC07D1"/>
    <w:rsid w:val="00DC3848"/>
    <w:rsid w:val="00DC3DDA"/>
    <w:rsid w:val="00DC3F91"/>
    <w:rsid w:val="00DC4B86"/>
    <w:rsid w:val="00DC6E6A"/>
    <w:rsid w:val="00DC75A1"/>
    <w:rsid w:val="00DD0357"/>
    <w:rsid w:val="00DD0F0E"/>
    <w:rsid w:val="00DD128E"/>
    <w:rsid w:val="00DD4E40"/>
    <w:rsid w:val="00DE06F8"/>
    <w:rsid w:val="00DE34AF"/>
    <w:rsid w:val="00DE578A"/>
    <w:rsid w:val="00DE62A8"/>
    <w:rsid w:val="00DE6B80"/>
    <w:rsid w:val="00DE6D32"/>
    <w:rsid w:val="00DE7144"/>
    <w:rsid w:val="00DF4C01"/>
    <w:rsid w:val="00DF54D3"/>
    <w:rsid w:val="00DF7585"/>
    <w:rsid w:val="00E00500"/>
    <w:rsid w:val="00E00856"/>
    <w:rsid w:val="00E01000"/>
    <w:rsid w:val="00E042E2"/>
    <w:rsid w:val="00E0586C"/>
    <w:rsid w:val="00E06ABD"/>
    <w:rsid w:val="00E072B7"/>
    <w:rsid w:val="00E103EC"/>
    <w:rsid w:val="00E12464"/>
    <w:rsid w:val="00E1427B"/>
    <w:rsid w:val="00E22228"/>
    <w:rsid w:val="00E228C5"/>
    <w:rsid w:val="00E24B9E"/>
    <w:rsid w:val="00E27421"/>
    <w:rsid w:val="00E31568"/>
    <w:rsid w:val="00E3595E"/>
    <w:rsid w:val="00E47239"/>
    <w:rsid w:val="00E47CD9"/>
    <w:rsid w:val="00E506D5"/>
    <w:rsid w:val="00E56718"/>
    <w:rsid w:val="00E72B5B"/>
    <w:rsid w:val="00E73722"/>
    <w:rsid w:val="00E74035"/>
    <w:rsid w:val="00E7432D"/>
    <w:rsid w:val="00E75601"/>
    <w:rsid w:val="00E76853"/>
    <w:rsid w:val="00E770D9"/>
    <w:rsid w:val="00E77292"/>
    <w:rsid w:val="00E82897"/>
    <w:rsid w:val="00E847DF"/>
    <w:rsid w:val="00E856D5"/>
    <w:rsid w:val="00E85A61"/>
    <w:rsid w:val="00E87123"/>
    <w:rsid w:val="00E90B9A"/>
    <w:rsid w:val="00E90C66"/>
    <w:rsid w:val="00E9483F"/>
    <w:rsid w:val="00E9753F"/>
    <w:rsid w:val="00EA345A"/>
    <w:rsid w:val="00EA42F0"/>
    <w:rsid w:val="00EA6826"/>
    <w:rsid w:val="00EA7986"/>
    <w:rsid w:val="00EA7E93"/>
    <w:rsid w:val="00EA7F9B"/>
    <w:rsid w:val="00EB0CE7"/>
    <w:rsid w:val="00EB148C"/>
    <w:rsid w:val="00EB2482"/>
    <w:rsid w:val="00EC1FF4"/>
    <w:rsid w:val="00ED3372"/>
    <w:rsid w:val="00ED4BB4"/>
    <w:rsid w:val="00ED6C42"/>
    <w:rsid w:val="00ED7FAC"/>
    <w:rsid w:val="00EE2644"/>
    <w:rsid w:val="00EE2DEC"/>
    <w:rsid w:val="00EF048F"/>
    <w:rsid w:val="00EF3714"/>
    <w:rsid w:val="00EF4667"/>
    <w:rsid w:val="00EF4A7D"/>
    <w:rsid w:val="00EF4E39"/>
    <w:rsid w:val="00EF7635"/>
    <w:rsid w:val="00F04650"/>
    <w:rsid w:val="00F04E98"/>
    <w:rsid w:val="00F070E3"/>
    <w:rsid w:val="00F111FD"/>
    <w:rsid w:val="00F1260B"/>
    <w:rsid w:val="00F14E11"/>
    <w:rsid w:val="00F17E8E"/>
    <w:rsid w:val="00F22D6A"/>
    <w:rsid w:val="00F2318A"/>
    <w:rsid w:val="00F23B40"/>
    <w:rsid w:val="00F23ECD"/>
    <w:rsid w:val="00F24108"/>
    <w:rsid w:val="00F25859"/>
    <w:rsid w:val="00F26DB4"/>
    <w:rsid w:val="00F2716C"/>
    <w:rsid w:val="00F300B3"/>
    <w:rsid w:val="00F32145"/>
    <w:rsid w:val="00F32B1A"/>
    <w:rsid w:val="00F32D74"/>
    <w:rsid w:val="00F333CB"/>
    <w:rsid w:val="00F33A6F"/>
    <w:rsid w:val="00F349DD"/>
    <w:rsid w:val="00F37C78"/>
    <w:rsid w:val="00F40C69"/>
    <w:rsid w:val="00F42596"/>
    <w:rsid w:val="00F428BC"/>
    <w:rsid w:val="00F42D48"/>
    <w:rsid w:val="00F43DF9"/>
    <w:rsid w:val="00F463D9"/>
    <w:rsid w:val="00F46E9A"/>
    <w:rsid w:val="00F477AC"/>
    <w:rsid w:val="00F603D7"/>
    <w:rsid w:val="00F61470"/>
    <w:rsid w:val="00F61E5F"/>
    <w:rsid w:val="00F62C0D"/>
    <w:rsid w:val="00F677CD"/>
    <w:rsid w:val="00F728B4"/>
    <w:rsid w:val="00F744FC"/>
    <w:rsid w:val="00F82CDF"/>
    <w:rsid w:val="00F90F74"/>
    <w:rsid w:val="00F92487"/>
    <w:rsid w:val="00FA2E79"/>
    <w:rsid w:val="00FB0B30"/>
    <w:rsid w:val="00FB40F5"/>
    <w:rsid w:val="00FB43AE"/>
    <w:rsid w:val="00FB613A"/>
    <w:rsid w:val="00FC1C21"/>
    <w:rsid w:val="00FC3193"/>
    <w:rsid w:val="00FC3DBC"/>
    <w:rsid w:val="00FC43D2"/>
    <w:rsid w:val="00FC4684"/>
    <w:rsid w:val="00FC4E7F"/>
    <w:rsid w:val="00FC6545"/>
    <w:rsid w:val="00FC6D78"/>
    <w:rsid w:val="00FC72E1"/>
    <w:rsid w:val="00FD07CA"/>
    <w:rsid w:val="00FD3871"/>
    <w:rsid w:val="00FD6C35"/>
    <w:rsid w:val="00FD7F91"/>
    <w:rsid w:val="00FE2070"/>
    <w:rsid w:val="00FE2A47"/>
    <w:rsid w:val="00FF063E"/>
    <w:rsid w:val="016C7DF3"/>
    <w:rsid w:val="01A001CA"/>
    <w:rsid w:val="01E5651D"/>
    <w:rsid w:val="023F5DEA"/>
    <w:rsid w:val="02A13FDF"/>
    <w:rsid w:val="02DC03A2"/>
    <w:rsid w:val="038D3B40"/>
    <w:rsid w:val="03DC4E3F"/>
    <w:rsid w:val="03EB25E2"/>
    <w:rsid w:val="047029A6"/>
    <w:rsid w:val="048F0B4D"/>
    <w:rsid w:val="04A77C88"/>
    <w:rsid w:val="04CF0C6C"/>
    <w:rsid w:val="053A04CD"/>
    <w:rsid w:val="054F64FD"/>
    <w:rsid w:val="05601302"/>
    <w:rsid w:val="06173346"/>
    <w:rsid w:val="061E5F5A"/>
    <w:rsid w:val="0678643E"/>
    <w:rsid w:val="08015928"/>
    <w:rsid w:val="08363EA1"/>
    <w:rsid w:val="08526F34"/>
    <w:rsid w:val="08F707D5"/>
    <w:rsid w:val="09390F24"/>
    <w:rsid w:val="09B52FFA"/>
    <w:rsid w:val="0A0608D1"/>
    <w:rsid w:val="0A4E62FC"/>
    <w:rsid w:val="0A7D249E"/>
    <w:rsid w:val="0AA33FA5"/>
    <w:rsid w:val="0AC066EF"/>
    <w:rsid w:val="0AEE4068"/>
    <w:rsid w:val="0BE40F37"/>
    <w:rsid w:val="0BE7309C"/>
    <w:rsid w:val="0C4F643A"/>
    <w:rsid w:val="0C770550"/>
    <w:rsid w:val="0C7C13FD"/>
    <w:rsid w:val="0CC70B1E"/>
    <w:rsid w:val="0CC75675"/>
    <w:rsid w:val="0CD3067F"/>
    <w:rsid w:val="0D170427"/>
    <w:rsid w:val="0D196157"/>
    <w:rsid w:val="0D5B490D"/>
    <w:rsid w:val="0E064D6B"/>
    <w:rsid w:val="0E4E5E8A"/>
    <w:rsid w:val="0EA132E3"/>
    <w:rsid w:val="0F246D05"/>
    <w:rsid w:val="0F853355"/>
    <w:rsid w:val="0FD72D5C"/>
    <w:rsid w:val="0FF414B3"/>
    <w:rsid w:val="101563BA"/>
    <w:rsid w:val="108B58EE"/>
    <w:rsid w:val="11424921"/>
    <w:rsid w:val="11DA3E01"/>
    <w:rsid w:val="12072EE5"/>
    <w:rsid w:val="1221112D"/>
    <w:rsid w:val="12C8092C"/>
    <w:rsid w:val="13655746"/>
    <w:rsid w:val="13836E7A"/>
    <w:rsid w:val="13A73906"/>
    <w:rsid w:val="13B850FA"/>
    <w:rsid w:val="13FC1781"/>
    <w:rsid w:val="142A4177"/>
    <w:rsid w:val="145E0F39"/>
    <w:rsid w:val="14715942"/>
    <w:rsid w:val="14DF2D63"/>
    <w:rsid w:val="152C698F"/>
    <w:rsid w:val="154D0E3A"/>
    <w:rsid w:val="15D84574"/>
    <w:rsid w:val="16220276"/>
    <w:rsid w:val="16634A38"/>
    <w:rsid w:val="16890181"/>
    <w:rsid w:val="168B056F"/>
    <w:rsid w:val="16D51AF1"/>
    <w:rsid w:val="16E415A1"/>
    <w:rsid w:val="16F718D8"/>
    <w:rsid w:val="170155D6"/>
    <w:rsid w:val="17927163"/>
    <w:rsid w:val="17C229B5"/>
    <w:rsid w:val="17CB2911"/>
    <w:rsid w:val="17CB471A"/>
    <w:rsid w:val="19534F1D"/>
    <w:rsid w:val="19A966F1"/>
    <w:rsid w:val="19D7301F"/>
    <w:rsid w:val="1A400A0F"/>
    <w:rsid w:val="1A5E782B"/>
    <w:rsid w:val="1B157ADB"/>
    <w:rsid w:val="1B811C58"/>
    <w:rsid w:val="1D1553BA"/>
    <w:rsid w:val="1D495AC0"/>
    <w:rsid w:val="1D954AFE"/>
    <w:rsid w:val="1DE93A85"/>
    <w:rsid w:val="1DF323A3"/>
    <w:rsid w:val="1E0D6305"/>
    <w:rsid w:val="1E2F288D"/>
    <w:rsid w:val="1EC108EF"/>
    <w:rsid w:val="1ED435DF"/>
    <w:rsid w:val="1F1C0104"/>
    <w:rsid w:val="1F58062E"/>
    <w:rsid w:val="1F7A6DD0"/>
    <w:rsid w:val="1FFB7423"/>
    <w:rsid w:val="205E2C78"/>
    <w:rsid w:val="213D6C04"/>
    <w:rsid w:val="218F2147"/>
    <w:rsid w:val="2198170C"/>
    <w:rsid w:val="221914F4"/>
    <w:rsid w:val="23050A3E"/>
    <w:rsid w:val="233913B2"/>
    <w:rsid w:val="233D40DE"/>
    <w:rsid w:val="23691430"/>
    <w:rsid w:val="242C3A8A"/>
    <w:rsid w:val="24AB0759"/>
    <w:rsid w:val="24C81023"/>
    <w:rsid w:val="25067EA3"/>
    <w:rsid w:val="25511F25"/>
    <w:rsid w:val="25722186"/>
    <w:rsid w:val="266D3DF7"/>
    <w:rsid w:val="26D43C93"/>
    <w:rsid w:val="26F11EF3"/>
    <w:rsid w:val="278E6351"/>
    <w:rsid w:val="27AD2FCE"/>
    <w:rsid w:val="27B840FB"/>
    <w:rsid w:val="284123C7"/>
    <w:rsid w:val="284A6520"/>
    <w:rsid w:val="287B3F13"/>
    <w:rsid w:val="288477CF"/>
    <w:rsid w:val="288739E7"/>
    <w:rsid w:val="28B539B3"/>
    <w:rsid w:val="29191817"/>
    <w:rsid w:val="291E1288"/>
    <w:rsid w:val="299C1D1D"/>
    <w:rsid w:val="2A296800"/>
    <w:rsid w:val="2B112F07"/>
    <w:rsid w:val="2B476A48"/>
    <w:rsid w:val="2C524206"/>
    <w:rsid w:val="2C71660C"/>
    <w:rsid w:val="2CF31520"/>
    <w:rsid w:val="2D4D3138"/>
    <w:rsid w:val="2D500947"/>
    <w:rsid w:val="2D7953C1"/>
    <w:rsid w:val="2D814CFC"/>
    <w:rsid w:val="2DB903E1"/>
    <w:rsid w:val="2DD15ECA"/>
    <w:rsid w:val="2E826204"/>
    <w:rsid w:val="2EE61A2D"/>
    <w:rsid w:val="2EFB74C6"/>
    <w:rsid w:val="2F20453F"/>
    <w:rsid w:val="30073EAB"/>
    <w:rsid w:val="308775E7"/>
    <w:rsid w:val="30D15382"/>
    <w:rsid w:val="31643E59"/>
    <w:rsid w:val="31C616EB"/>
    <w:rsid w:val="32C56225"/>
    <w:rsid w:val="32E655FB"/>
    <w:rsid w:val="330B3A3C"/>
    <w:rsid w:val="33517DFE"/>
    <w:rsid w:val="33DC2EB1"/>
    <w:rsid w:val="348C6F36"/>
    <w:rsid w:val="35906D20"/>
    <w:rsid w:val="35A160DC"/>
    <w:rsid w:val="36DB05B3"/>
    <w:rsid w:val="36E0075D"/>
    <w:rsid w:val="36E16BA9"/>
    <w:rsid w:val="370D293A"/>
    <w:rsid w:val="376A10D7"/>
    <w:rsid w:val="37931143"/>
    <w:rsid w:val="37C376FC"/>
    <w:rsid w:val="3837645F"/>
    <w:rsid w:val="391542DD"/>
    <w:rsid w:val="395A7880"/>
    <w:rsid w:val="395B7820"/>
    <w:rsid w:val="396A0134"/>
    <w:rsid w:val="39781DB3"/>
    <w:rsid w:val="39E530AF"/>
    <w:rsid w:val="3A26658B"/>
    <w:rsid w:val="3A826D6E"/>
    <w:rsid w:val="3B0A7CA0"/>
    <w:rsid w:val="3B653821"/>
    <w:rsid w:val="3BAF461C"/>
    <w:rsid w:val="3C544749"/>
    <w:rsid w:val="3C680051"/>
    <w:rsid w:val="3C6F172B"/>
    <w:rsid w:val="3C811E55"/>
    <w:rsid w:val="3CA77AA9"/>
    <w:rsid w:val="3CAA6B3E"/>
    <w:rsid w:val="3CCB4C5F"/>
    <w:rsid w:val="3D073525"/>
    <w:rsid w:val="3D142560"/>
    <w:rsid w:val="3D972743"/>
    <w:rsid w:val="3DAD712D"/>
    <w:rsid w:val="3E204E36"/>
    <w:rsid w:val="3EC73E97"/>
    <w:rsid w:val="3ED509BF"/>
    <w:rsid w:val="3F591358"/>
    <w:rsid w:val="401E30EC"/>
    <w:rsid w:val="402F29D8"/>
    <w:rsid w:val="403306CE"/>
    <w:rsid w:val="408526F1"/>
    <w:rsid w:val="41C24454"/>
    <w:rsid w:val="41E553AE"/>
    <w:rsid w:val="425B141E"/>
    <w:rsid w:val="429A0268"/>
    <w:rsid w:val="42BD0C39"/>
    <w:rsid w:val="42D22584"/>
    <w:rsid w:val="43BA547B"/>
    <w:rsid w:val="43D2095C"/>
    <w:rsid w:val="43E63411"/>
    <w:rsid w:val="43F328B4"/>
    <w:rsid w:val="43FF3CF0"/>
    <w:rsid w:val="443906EB"/>
    <w:rsid w:val="44791551"/>
    <w:rsid w:val="44F8734B"/>
    <w:rsid w:val="47312483"/>
    <w:rsid w:val="4862316F"/>
    <w:rsid w:val="486B4392"/>
    <w:rsid w:val="48B669CD"/>
    <w:rsid w:val="48FE1569"/>
    <w:rsid w:val="496171A4"/>
    <w:rsid w:val="497B2C15"/>
    <w:rsid w:val="4B616EFE"/>
    <w:rsid w:val="4BD36D1B"/>
    <w:rsid w:val="4C110F5E"/>
    <w:rsid w:val="4C716535"/>
    <w:rsid w:val="4C9F4F4E"/>
    <w:rsid w:val="4D016896"/>
    <w:rsid w:val="4D3763E1"/>
    <w:rsid w:val="4D746D70"/>
    <w:rsid w:val="4D941BE2"/>
    <w:rsid w:val="4E031F6E"/>
    <w:rsid w:val="4EBA2D87"/>
    <w:rsid w:val="4EC268CE"/>
    <w:rsid w:val="4EF1684B"/>
    <w:rsid w:val="4F116642"/>
    <w:rsid w:val="4F932A6C"/>
    <w:rsid w:val="4FDF2969"/>
    <w:rsid w:val="50820618"/>
    <w:rsid w:val="516D7990"/>
    <w:rsid w:val="52BA55BF"/>
    <w:rsid w:val="53063A2A"/>
    <w:rsid w:val="53762540"/>
    <w:rsid w:val="53AA12DE"/>
    <w:rsid w:val="53ED701F"/>
    <w:rsid w:val="54883B6D"/>
    <w:rsid w:val="54EC1DF4"/>
    <w:rsid w:val="553C1A40"/>
    <w:rsid w:val="5601270C"/>
    <w:rsid w:val="5616250B"/>
    <w:rsid w:val="5631179A"/>
    <w:rsid w:val="56412292"/>
    <w:rsid w:val="56A01727"/>
    <w:rsid w:val="56E578BD"/>
    <w:rsid w:val="575241CF"/>
    <w:rsid w:val="57592679"/>
    <w:rsid w:val="57757857"/>
    <w:rsid w:val="57A94B67"/>
    <w:rsid w:val="57D2742E"/>
    <w:rsid w:val="58077891"/>
    <w:rsid w:val="584E0B0E"/>
    <w:rsid w:val="5855600E"/>
    <w:rsid w:val="58563E63"/>
    <w:rsid w:val="586C145B"/>
    <w:rsid w:val="586C5301"/>
    <w:rsid w:val="58772F5C"/>
    <w:rsid w:val="58A84922"/>
    <w:rsid w:val="58AA650B"/>
    <w:rsid w:val="58B4018C"/>
    <w:rsid w:val="58FD3A72"/>
    <w:rsid w:val="59BA5D29"/>
    <w:rsid w:val="59E670B1"/>
    <w:rsid w:val="5AD051E3"/>
    <w:rsid w:val="5AE862CC"/>
    <w:rsid w:val="5B2B0844"/>
    <w:rsid w:val="5B6200C2"/>
    <w:rsid w:val="5BAA3836"/>
    <w:rsid w:val="5BC90FBA"/>
    <w:rsid w:val="5C107E51"/>
    <w:rsid w:val="5C6E74E2"/>
    <w:rsid w:val="5C9307EA"/>
    <w:rsid w:val="5CBF6263"/>
    <w:rsid w:val="5CE2642B"/>
    <w:rsid w:val="5D574F71"/>
    <w:rsid w:val="5DCF3FF5"/>
    <w:rsid w:val="5E06497D"/>
    <w:rsid w:val="5E654AB4"/>
    <w:rsid w:val="5E7423D2"/>
    <w:rsid w:val="5EA278B5"/>
    <w:rsid w:val="5FAA5F1E"/>
    <w:rsid w:val="605976C5"/>
    <w:rsid w:val="60D5099D"/>
    <w:rsid w:val="60F523A1"/>
    <w:rsid w:val="610E54A3"/>
    <w:rsid w:val="612003AA"/>
    <w:rsid w:val="617B0FE2"/>
    <w:rsid w:val="61B74487"/>
    <w:rsid w:val="62387639"/>
    <w:rsid w:val="629743EB"/>
    <w:rsid w:val="629922E0"/>
    <w:rsid w:val="629943CF"/>
    <w:rsid w:val="62FB3DB0"/>
    <w:rsid w:val="632020B5"/>
    <w:rsid w:val="63853CAC"/>
    <w:rsid w:val="639D0918"/>
    <w:rsid w:val="63AA4D95"/>
    <w:rsid w:val="6408787C"/>
    <w:rsid w:val="645436BE"/>
    <w:rsid w:val="64893889"/>
    <w:rsid w:val="65034113"/>
    <w:rsid w:val="65164266"/>
    <w:rsid w:val="655F5560"/>
    <w:rsid w:val="657A28DA"/>
    <w:rsid w:val="657C1FDF"/>
    <w:rsid w:val="66327F35"/>
    <w:rsid w:val="67177393"/>
    <w:rsid w:val="671C2DDD"/>
    <w:rsid w:val="67507E79"/>
    <w:rsid w:val="679724F4"/>
    <w:rsid w:val="67B65DC2"/>
    <w:rsid w:val="67F019BF"/>
    <w:rsid w:val="67F56512"/>
    <w:rsid w:val="684B1B0E"/>
    <w:rsid w:val="688C3E7C"/>
    <w:rsid w:val="68AA495E"/>
    <w:rsid w:val="696629EA"/>
    <w:rsid w:val="69952436"/>
    <w:rsid w:val="69B957C8"/>
    <w:rsid w:val="6A51779A"/>
    <w:rsid w:val="6AB70070"/>
    <w:rsid w:val="6B463E93"/>
    <w:rsid w:val="6B957E20"/>
    <w:rsid w:val="6B9A1585"/>
    <w:rsid w:val="6BE23692"/>
    <w:rsid w:val="6BF652CB"/>
    <w:rsid w:val="6C3C5CA8"/>
    <w:rsid w:val="6C9A5A3E"/>
    <w:rsid w:val="6CAE17F8"/>
    <w:rsid w:val="6CD571EC"/>
    <w:rsid w:val="6D1E5CDC"/>
    <w:rsid w:val="6D4A09B7"/>
    <w:rsid w:val="6DF5273D"/>
    <w:rsid w:val="6E087118"/>
    <w:rsid w:val="6E22342A"/>
    <w:rsid w:val="6E323772"/>
    <w:rsid w:val="6E8B0640"/>
    <w:rsid w:val="6EAA73CC"/>
    <w:rsid w:val="6EC82F26"/>
    <w:rsid w:val="6F10314A"/>
    <w:rsid w:val="6F2934E7"/>
    <w:rsid w:val="6F565F17"/>
    <w:rsid w:val="6F693CD6"/>
    <w:rsid w:val="70037690"/>
    <w:rsid w:val="70497ED8"/>
    <w:rsid w:val="70541400"/>
    <w:rsid w:val="70C001A6"/>
    <w:rsid w:val="711728BC"/>
    <w:rsid w:val="71CC4B47"/>
    <w:rsid w:val="71DC1CFE"/>
    <w:rsid w:val="731A6DB2"/>
    <w:rsid w:val="735C1B84"/>
    <w:rsid w:val="741B416D"/>
    <w:rsid w:val="74263162"/>
    <w:rsid w:val="74277BB0"/>
    <w:rsid w:val="746F04AE"/>
    <w:rsid w:val="746F434E"/>
    <w:rsid w:val="74870C2C"/>
    <w:rsid w:val="74A76757"/>
    <w:rsid w:val="751F3CA2"/>
    <w:rsid w:val="755648F6"/>
    <w:rsid w:val="759A6929"/>
    <w:rsid w:val="759C276A"/>
    <w:rsid w:val="75F31E1E"/>
    <w:rsid w:val="76302C22"/>
    <w:rsid w:val="763B21A5"/>
    <w:rsid w:val="76677178"/>
    <w:rsid w:val="76DB2227"/>
    <w:rsid w:val="772553E7"/>
    <w:rsid w:val="781A198F"/>
    <w:rsid w:val="78A24EA0"/>
    <w:rsid w:val="78A446D6"/>
    <w:rsid w:val="794F247D"/>
    <w:rsid w:val="799F537B"/>
    <w:rsid w:val="79FA1DBA"/>
    <w:rsid w:val="7A3075BB"/>
    <w:rsid w:val="7ACC7166"/>
    <w:rsid w:val="7AED7DC7"/>
    <w:rsid w:val="7AF2660B"/>
    <w:rsid w:val="7B505669"/>
    <w:rsid w:val="7BD65A0D"/>
    <w:rsid w:val="7BE03C85"/>
    <w:rsid w:val="7C15507E"/>
    <w:rsid w:val="7C2F545D"/>
    <w:rsid w:val="7CCB4702"/>
    <w:rsid w:val="7D8D7AA5"/>
    <w:rsid w:val="7DDA2277"/>
    <w:rsid w:val="7E142AD2"/>
    <w:rsid w:val="7E692244"/>
    <w:rsid w:val="7E8F59AD"/>
    <w:rsid w:val="7E973EE5"/>
    <w:rsid w:val="7F195BF7"/>
    <w:rsid w:val="7F964E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uiPriority="9"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center"/>
    </w:pPr>
    <w:rPr>
      <w:rFonts w:ascii="Times New Roman" w:hAnsi="Times New Roman" w:eastAsia="仿宋_GB2312" w:cstheme="minorBidi"/>
      <w:kern w:val="2"/>
      <w:sz w:val="22"/>
      <w:szCs w:val="24"/>
      <w:lang w:val="en-US" w:eastAsia="zh-CN" w:bidi="ar-SA"/>
    </w:rPr>
  </w:style>
  <w:style w:type="paragraph" w:styleId="2">
    <w:name w:val="heading 1"/>
    <w:basedOn w:val="1"/>
    <w:next w:val="1"/>
    <w:link w:val="25"/>
    <w:qFormat/>
    <w:uiPriority w:val="0"/>
    <w:pPr>
      <w:keepNext/>
      <w:keepLines/>
      <w:spacing w:before="120" w:after="120" w:line="560" w:lineRule="exact"/>
      <w:jc w:val="left"/>
      <w:outlineLvl w:val="0"/>
    </w:pPr>
    <w:rPr>
      <w:rFonts w:eastAsia="黑体"/>
      <w:bCs/>
      <w:kern w:val="44"/>
      <w:sz w:val="36"/>
      <w:szCs w:val="44"/>
    </w:rPr>
  </w:style>
  <w:style w:type="paragraph" w:styleId="3">
    <w:name w:val="heading 2"/>
    <w:basedOn w:val="1"/>
    <w:next w:val="1"/>
    <w:link w:val="26"/>
    <w:qFormat/>
    <w:uiPriority w:val="0"/>
    <w:pPr>
      <w:keepNext/>
      <w:keepLines/>
      <w:spacing w:before="120" w:after="120" w:line="500" w:lineRule="exact"/>
      <w:ind w:firstLine="567"/>
      <w:jc w:val="left"/>
      <w:outlineLvl w:val="1"/>
    </w:pPr>
    <w:rPr>
      <w:rFonts w:eastAsia="黑体"/>
      <w:bCs/>
      <w:sz w:val="32"/>
      <w:szCs w:val="32"/>
    </w:rPr>
  </w:style>
  <w:style w:type="paragraph" w:styleId="4">
    <w:name w:val="heading 3"/>
    <w:basedOn w:val="1"/>
    <w:next w:val="1"/>
    <w:link w:val="27"/>
    <w:qFormat/>
    <w:uiPriority w:val="0"/>
    <w:pPr>
      <w:keepNext/>
      <w:keepLines/>
      <w:spacing w:before="80" w:after="80" w:line="500" w:lineRule="exact"/>
      <w:ind w:firstLine="567"/>
      <w:jc w:val="left"/>
      <w:outlineLvl w:val="2"/>
    </w:pPr>
    <w:rPr>
      <w:rFonts w:cs="Times New Roman"/>
      <w:b/>
      <w:bCs/>
      <w:sz w:val="28"/>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link w:val="28"/>
    <w:qFormat/>
    <w:uiPriority w:val="0"/>
    <w:pPr>
      <w:spacing w:line="440" w:lineRule="exact"/>
      <w:jc w:val="left"/>
    </w:pPr>
    <w:rPr>
      <w:rFonts w:cs="Arial"/>
      <w:sz w:val="20"/>
      <w:szCs w:val="20"/>
    </w:rPr>
  </w:style>
  <w:style w:type="paragraph" w:styleId="6">
    <w:name w:val="toc 3"/>
    <w:basedOn w:val="1"/>
    <w:next w:val="1"/>
    <w:unhideWhenUsed/>
    <w:qFormat/>
    <w:uiPriority w:val="39"/>
    <w:pPr>
      <w:spacing w:line="600" w:lineRule="exact"/>
      <w:ind w:left="200" w:leftChars="200"/>
      <w:jc w:val="both"/>
    </w:pPr>
    <w:rPr>
      <w:sz w:val="28"/>
    </w:rPr>
  </w:style>
  <w:style w:type="paragraph" w:styleId="7">
    <w:name w:val="Balloon Text"/>
    <w:basedOn w:val="1"/>
    <w:link w:val="22"/>
    <w:semiHidden/>
    <w:unhideWhenUsed/>
    <w:qFormat/>
    <w:uiPriority w:val="99"/>
    <w:rPr>
      <w:sz w:val="18"/>
      <w:szCs w:val="18"/>
    </w:rPr>
  </w:style>
  <w:style w:type="paragraph" w:styleId="8">
    <w:name w:val="footer"/>
    <w:basedOn w:val="1"/>
    <w:link w:val="20"/>
    <w:unhideWhenUsed/>
    <w:qFormat/>
    <w:uiPriority w:val="99"/>
    <w:pPr>
      <w:tabs>
        <w:tab w:val="center" w:pos="4153"/>
        <w:tab w:val="right" w:pos="8306"/>
      </w:tabs>
      <w:snapToGrid w:val="0"/>
    </w:pPr>
    <w:rPr>
      <w:rFonts w:asciiTheme="minorHAnsi" w:hAnsiTheme="minorHAnsi"/>
      <w:sz w:val="18"/>
      <w:szCs w:val="18"/>
    </w:rPr>
  </w:style>
  <w:style w:type="paragraph" w:styleId="9">
    <w:name w:val="header"/>
    <w:basedOn w:val="1"/>
    <w:link w:val="19"/>
    <w:unhideWhenUsed/>
    <w:qFormat/>
    <w:uiPriority w:val="99"/>
    <w:pPr>
      <w:pBdr>
        <w:bottom w:val="single" w:color="auto" w:sz="6" w:space="1"/>
      </w:pBdr>
      <w:tabs>
        <w:tab w:val="center" w:pos="4153"/>
        <w:tab w:val="right" w:pos="8306"/>
      </w:tabs>
      <w:snapToGrid w:val="0"/>
    </w:pPr>
    <w:rPr>
      <w:rFonts w:asciiTheme="minorHAnsi" w:hAnsiTheme="minorHAnsi"/>
      <w:sz w:val="18"/>
      <w:szCs w:val="18"/>
    </w:rPr>
  </w:style>
  <w:style w:type="paragraph" w:styleId="10">
    <w:name w:val="toc 1"/>
    <w:basedOn w:val="1"/>
    <w:next w:val="1"/>
    <w:unhideWhenUsed/>
    <w:qFormat/>
    <w:uiPriority w:val="39"/>
    <w:pPr>
      <w:spacing w:line="600" w:lineRule="exact"/>
      <w:jc w:val="both"/>
    </w:pPr>
    <w:rPr>
      <w:sz w:val="28"/>
    </w:rPr>
  </w:style>
  <w:style w:type="paragraph" w:styleId="11">
    <w:name w:val="Subtitle"/>
    <w:basedOn w:val="1"/>
    <w:next w:val="1"/>
    <w:link w:val="30"/>
    <w:qFormat/>
    <w:uiPriority w:val="0"/>
    <w:pPr>
      <w:spacing w:line="620" w:lineRule="exact"/>
      <w:ind w:firstLine="200" w:firstLineChars="200"/>
      <w:jc w:val="left"/>
    </w:pPr>
    <w:rPr>
      <w:rFonts w:hAnsi="宋体" w:cstheme="majorBidi"/>
      <w:sz w:val="28"/>
    </w:rPr>
  </w:style>
  <w:style w:type="paragraph" w:styleId="12">
    <w:name w:val="toc 2"/>
    <w:basedOn w:val="1"/>
    <w:next w:val="1"/>
    <w:unhideWhenUsed/>
    <w:qFormat/>
    <w:uiPriority w:val="39"/>
    <w:pPr>
      <w:spacing w:line="600" w:lineRule="exact"/>
      <w:ind w:left="200" w:leftChars="200"/>
      <w:jc w:val="both"/>
    </w:pPr>
    <w:rPr>
      <w:sz w:val="28"/>
    </w:rPr>
  </w:style>
  <w:style w:type="paragraph" w:styleId="13">
    <w:name w:val="Normal (Web)"/>
    <w:basedOn w:val="1"/>
    <w:semiHidden/>
    <w:unhideWhenUsed/>
    <w:qFormat/>
    <w:uiPriority w:val="99"/>
    <w:pPr>
      <w:spacing w:beforeAutospacing="1" w:afterAutospacing="1"/>
      <w:jc w:val="left"/>
    </w:pPr>
    <w:rPr>
      <w:rFonts w:cs="Times New Roman"/>
      <w:kern w:val="0"/>
      <w:sz w:val="24"/>
    </w:rPr>
  </w:style>
  <w:style w:type="paragraph" w:styleId="14">
    <w:name w:val="Title"/>
    <w:basedOn w:val="1"/>
    <w:next w:val="1"/>
    <w:link w:val="29"/>
    <w:qFormat/>
    <w:uiPriority w:val="0"/>
    <w:pPr>
      <w:spacing w:before="100" w:beforeAutospacing="1" w:after="100" w:afterAutospacing="1" w:line="360" w:lineRule="exact"/>
    </w:pPr>
    <w:rPr>
      <w:rFonts w:cs="Times New Roman"/>
      <w:b/>
      <w:bCs/>
      <w:sz w:val="24"/>
      <w:szCs w:val="32"/>
      <w:lang w:val="zh-CN"/>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563C1" w:themeColor="hyperlink"/>
      <w:u w:val="single"/>
      <w14:textFill>
        <w14:solidFill>
          <w14:schemeClr w14:val="hlink"/>
        </w14:solidFill>
      </w14:textFill>
    </w:rPr>
  </w:style>
  <w:style w:type="character" w:customStyle="1" w:styleId="19">
    <w:name w:val="页眉 字符"/>
    <w:basedOn w:val="17"/>
    <w:link w:val="9"/>
    <w:qFormat/>
    <w:uiPriority w:val="99"/>
    <w:rPr>
      <w:sz w:val="18"/>
      <w:szCs w:val="18"/>
    </w:rPr>
  </w:style>
  <w:style w:type="character" w:customStyle="1" w:styleId="20">
    <w:name w:val="页脚 字符"/>
    <w:basedOn w:val="17"/>
    <w:link w:val="8"/>
    <w:qFormat/>
    <w:uiPriority w:val="99"/>
    <w:rPr>
      <w:sz w:val="18"/>
      <w:szCs w:val="18"/>
    </w:rPr>
  </w:style>
  <w:style w:type="paragraph" w:styleId="21">
    <w:name w:val="List Paragraph"/>
    <w:basedOn w:val="1"/>
    <w:qFormat/>
    <w:uiPriority w:val="34"/>
    <w:pPr>
      <w:ind w:firstLine="420" w:firstLineChars="200"/>
    </w:pPr>
  </w:style>
  <w:style w:type="character" w:customStyle="1" w:styleId="22">
    <w:name w:val="批注框文本 字符"/>
    <w:basedOn w:val="17"/>
    <w:link w:val="7"/>
    <w:semiHidden/>
    <w:qFormat/>
    <w:uiPriority w:val="99"/>
    <w:rPr>
      <w:rFonts w:ascii="Calibri" w:hAnsi="Calibri" w:cs="Arial"/>
      <w:kern w:val="0"/>
      <w:sz w:val="18"/>
      <w:szCs w:val="18"/>
    </w:rPr>
  </w:style>
  <w:style w:type="paragraph" w:customStyle="1" w:styleId="23">
    <w:name w:val="6-表格单位"/>
    <w:basedOn w:val="5"/>
    <w:link w:val="24"/>
    <w:qFormat/>
    <w:uiPriority w:val="0"/>
    <w:pPr>
      <w:jc w:val="right"/>
    </w:pPr>
    <w:rPr>
      <w:sz w:val="22"/>
    </w:rPr>
  </w:style>
  <w:style w:type="character" w:customStyle="1" w:styleId="24">
    <w:name w:val="6-表格单位 Char"/>
    <w:link w:val="23"/>
    <w:qFormat/>
    <w:uiPriority w:val="0"/>
    <w:rPr>
      <w:rFonts w:eastAsia="仿宋_GB2312" w:cs="Arial"/>
      <w:kern w:val="2"/>
      <w:sz w:val="22"/>
    </w:rPr>
  </w:style>
  <w:style w:type="character" w:customStyle="1" w:styleId="25">
    <w:name w:val="标题 1 字符"/>
    <w:link w:val="2"/>
    <w:qFormat/>
    <w:uiPriority w:val="0"/>
    <w:rPr>
      <w:rFonts w:eastAsia="黑体" w:cstheme="minorBidi"/>
      <w:bCs/>
      <w:kern w:val="44"/>
      <w:sz w:val="36"/>
      <w:szCs w:val="44"/>
    </w:rPr>
  </w:style>
  <w:style w:type="character" w:customStyle="1" w:styleId="26">
    <w:name w:val="标题 2 字符"/>
    <w:link w:val="3"/>
    <w:qFormat/>
    <w:uiPriority w:val="0"/>
    <w:rPr>
      <w:rFonts w:eastAsia="黑体" w:cstheme="minorBidi"/>
      <w:bCs/>
      <w:kern w:val="2"/>
      <w:sz w:val="32"/>
      <w:szCs w:val="32"/>
    </w:rPr>
  </w:style>
  <w:style w:type="character" w:customStyle="1" w:styleId="27">
    <w:name w:val="标题 3 字符"/>
    <w:link w:val="4"/>
    <w:qFormat/>
    <w:uiPriority w:val="0"/>
    <w:rPr>
      <w:rFonts w:eastAsia="仿宋_GB2312"/>
      <w:b/>
      <w:bCs/>
      <w:kern w:val="2"/>
      <w:sz w:val="28"/>
      <w:szCs w:val="32"/>
    </w:rPr>
  </w:style>
  <w:style w:type="character" w:customStyle="1" w:styleId="28">
    <w:name w:val="题注 字符"/>
    <w:link w:val="5"/>
    <w:qFormat/>
    <w:uiPriority w:val="0"/>
    <w:rPr>
      <w:rFonts w:eastAsia="仿宋_GB2312" w:cs="Arial"/>
      <w:kern w:val="2"/>
    </w:rPr>
  </w:style>
  <w:style w:type="character" w:customStyle="1" w:styleId="29">
    <w:name w:val="标题 字符"/>
    <w:link w:val="14"/>
    <w:qFormat/>
    <w:uiPriority w:val="0"/>
    <w:rPr>
      <w:rFonts w:eastAsia="仿宋_GB2312"/>
      <w:b/>
      <w:bCs/>
      <w:kern w:val="2"/>
      <w:sz w:val="24"/>
      <w:szCs w:val="32"/>
      <w:lang w:val="zh-CN" w:eastAsia="zh-CN"/>
    </w:rPr>
  </w:style>
  <w:style w:type="character" w:customStyle="1" w:styleId="30">
    <w:name w:val="副标题 字符"/>
    <w:link w:val="11"/>
    <w:qFormat/>
    <w:uiPriority w:val="0"/>
    <w:rPr>
      <w:rFonts w:hAnsi="宋体" w:eastAsia="仿宋_GB2312" w:cstheme="majorBidi"/>
      <w:kern w:val="2"/>
      <w:sz w:val="28"/>
      <w:szCs w:val="24"/>
    </w:rPr>
  </w:style>
  <w:style w:type="paragraph" w:customStyle="1" w:styleId="31">
    <w:name w:val="TOC 标题1"/>
    <w:basedOn w:val="2"/>
    <w:next w:val="1"/>
    <w:semiHidden/>
    <w:unhideWhenUsed/>
    <w:qFormat/>
    <w:uiPriority w:val="39"/>
    <w:pPr>
      <w:widowControl/>
      <w:spacing w:before="480" w:after="0" w:line="276" w:lineRule="auto"/>
      <w:outlineLvl w:val="9"/>
    </w:pPr>
    <w:rPr>
      <w:rFonts w:asciiTheme="majorHAnsi" w:hAnsiTheme="majorHAnsi" w:eastAsiaTheme="majorEastAsia" w:cstheme="majorBidi"/>
      <w:b/>
      <w:color w:val="2F5597"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A2118A-C8D8-443B-893E-53F7CC7C35B6}">
  <ds:schemaRefs/>
</ds:datastoreItem>
</file>

<file path=docProps/app.xml><?xml version="1.0" encoding="utf-8"?>
<Properties xmlns="http://schemas.openxmlformats.org/officeDocument/2006/extended-properties" xmlns:vt="http://schemas.openxmlformats.org/officeDocument/2006/docPropsVTypes">
  <Template>Normal.dotm</Template>
  <Company>HP</Company>
  <Pages>33</Pages>
  <Words>1942</Words>
  <Characters>11074</Characters>
  <Lines>92</Lines>
  <Paragraphs>25</Paragraphs>
  <TotalTime>42</TotalTime>
  <ScaleCrop>false</ScaleCrop>
  <LinksUpToDate>false</LinksUpToDate>
  <CharactersWithSpaces>12991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2021-11-24T02:08:00Z</dcterms:created>
  <dc:creator>冯 嘉亮</dc:creator>
  <cp:lastModifiedBy>cyc1</cp:lastModifiedBy>
  <cp:lastPrinted>2021-11-28T07:40:00Z</cp:lastPrinted>
  <dcterms:modified xsi:type="dcterms:W3CDTF">2022-02-28T03:52:00Z</dcterms:modified>
  <cp:revision>334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6DF008250B5043C0A91166B5063F0597</vt:lpwstr>
  </property>
</Properties>
</file>