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等线" w:hAnsi="等线" w:eastAsia="等线"/>
          <w:color w:val="auto"/>
          <w:sz w:val="28"/>
          <w:szCs w:val="28"/>
          <w:highlight w:val="none"/>
        </w:rPr>
      </w:pPr>
    </w:p>
    <w:p>
      <w:pPr>
        <w:spacing w:line="600" w:lineRule="exact"/>
        <w:jc w:val="center"/>
        <w:rPr>
          <w:rFonts w:hint="eastAsia" w:ascii="方正小标宋简体" w:hAnsi="方正小标宋简体" w:eastAsia="方正小标宋简体" w:cs="方正小标宋简体"/>
          <w:b w:val="0"/>
          <w:bCs w:val="0"/>
          <w:color w:val="auto"/>
          <w:sz w:val="44"/>
          <w:szCs w:val="44"/>
          <w:highlight w:val="none"/>
        </w:rPr>
      </w:pPr>
      <w:bookmarkStart w:id="0" w:name="_GoBack"/>
      <w:r>
        <w:rPr>
          <w:rFonts w:hint="eastAsia" w:ascii="方正小标宋简体" w:hAnsi="方正小标宋简体" w:eastAsia="方正小标宋简体" w:cs="方正小标宋简体"/>
          <w:b w:val="0"/>
          <w:bCs w:val="0"/>
          <w:color w:val="auto"/>
          <w:sz w:val="44"/>
          <w:szCs w:val="44"/>
          <w:highlight w:val="none"/>
        </w:rPr>
        <w:t>对代建项目的监督检查内容表</w:t>
      </w:r>
      <w:bookmarkEnd w:id="0"/>
    </w:p>
    <w:p>
      <w:pPr>
        <w:pStyle w:val="2"/>
        <w:rPr>
          <w:rFonts w:hint="eastAsia"/>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093"/>
        <w:gridCol w:w="609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center"/>
          </w:tcPr>
          <w:p>
            <w:pPr>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方面</w:t>
            </w:r>
          </w:p>
        </w:tc>
        <w:tc>
          <w:tcPr>
            <w:tcW w:w="2093" w:type="dxa"/>
            <w:noWrap w:val="0"/>
            <w:vAlign w:val="center"/>
          </w:tcPr>
          <w:p>
            <w:pPr>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监督检查内容</w:t>
            </w:r>
          </w:p>
        </w:tc>
        <w:tc>
          <w:tcPr>
            <w:tcW w:w="6095" w:type="dxa"/>
            <w:noWrap w:val="0"/>
            <w:vAlign w:val="center"/>
          </w:tcPr>
          <w:p>
            <w:pPr>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具体违规情况</w:t>
            </w:r>
          </w:p>
        </w:tc>
        <w:tc>
          <w:tcPr>
            <w:tcW w:w="1186" w:type="dxa"/>
            <w:noWrap w:val="0"/>
            <w:vAlign w:val="center"/>
          </w:tcPr>
          <w:p>
            <w:pPr>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监督检查结果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restart"/>
            <w:noWrap w:val="0"/>
            <w:vAlign w:val="center"/>
          </w:tcPr>
          <w:p>
            <w:pPr>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8"/>
                <w:highlight w:val="none"/>
              </w:rPr>
              <w:t>合同签订</w:t>
            </w:r>
          </w:p>
        </w:tc>
        <w:tc>
          <w:tcPr>
            <w:tcW w:w="2093" w:type="dxa"/>
            <w:noWrap w:val="0"/>
            <w:vAlign w:val="center"/>
          </w:tcPr>
          <w:p>
            <w:pPr>
              <w:spacing w:line="40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8"/>
                <w:highlight w:val="none"/>
              </w:rPr>
              <w:t>履约保函或履约保证金到位情况。代建单位应当在代建合同签订前，按投标承诺的额度向委托单位提交履约保函或履约保证金。</w:t>
            </w:r>
          </w:p>
        </w:tc>
        <w:tc>
          <w:tcPr>
            <w:tcW w:w="6095" w:type="dxa"/>
            <w:noWrap w:val="0"/>
            <w:vAlign w:val="center"/>
          </w:tcPr>
          <w:p>
            <w:pPr>
              <w:spacing w:line="400" w:lineRule="exact"/>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根据代建合同备案审查情况、使用单位反映情况和检查现场情况。</w:t>
            </w:r>
          </w:p>
          <w:p>
            <w:pPr>
              <w:spacing w:line="400" w:lineRule="exact"/>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lang w:val="en-US" w:eastAsia="zh-CN"/>
              </w:rPr>
              <w:t>1.</w:t>
            </w:r>
            <w:r>
              <w:rPr>
                <w:rFonts w:hint="eastAsia" w:ascii="仿宋_GB2312" w:hAnsi="仿宋_GB2312" w:eastAsia="仿宋_GB2312" w:cs="仿宋_GB2312"/>
                <w:color w:val="auto"/>
                <w:sz w:val="24"/>
                <w:szCs w:val="28"/>
                <w:highlight w:val="none"/>
              </w:rPr>
              <w:t>未在规定时间内提供履约保函或履约保证金或未提交投标承诺足额的履约保函或履约保证金；</w:t>
            </w:r>
          </w:p>
          <w:p>
            <w:pPr>
              <w:spacing w:line="40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8"/>
                <w:highlight w:val="none"/>
                <w:lang w:val="en-US" w:eastAsia="zh-CN"/>
              </w:rPr>
              <w:t>2.</w:t>
            </w:r>
            <w:r>
              <w:rPr>
                <w:rFonts w:hint="eastAsia" w:ascii="仿宋_GB2312" w:hAnsi="仿宋_GB2312" w:eastAsia="仿宋_GB2312" w:cs="仿宋_GB2312"/>
                <w:color w:val="auto"/>
                <w:sz w:val="24"/>
                <w:szCs w:val="28"/>
                <w:highlight w:val="none"/>
              </w:rPr>
              <w:t>代建合同签订后，检查发现履约保函或履约保证金提前撤回。</w:t>
            </w:r>
          </w:p>
        </w:tc>
        <w:tc>
          <w:tcPr>
            <w:tcW w:w="1186" w:type="dxa"/>
            <w:noWrap w:val="0"/>
            <w:vAlign w:val="center"/>
          </w:tcPr>
          <w:p>
            <w:pPr>
              <w:spacing w:line="400" w:lineRule="exact"/>
              <w:rPr>
                <w:rFonts w:hint="eastAsia" w:ascii="仿宋_GB2312" w:hAnsi="仿宋_GB2312" w:eastAsia="仿宋_GB2312" w:cs="仿宋_GB2312"/>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852" w:type="dxa"/>
            <w:vMerge w:val="continue"/>
            <w:noWrap w:val="0"/>
            <w:vAlign w:val="center"/>
          </w:tcPr>
          <w:p>
            <w:pPr>
              <w:spacing w:line="400" w:lineRule="exact"/>
              <w:jc w:val="center"/>
              <w:rPr>
                <w:rFonts w:hint="eastAsia" w:ascii="仿宋_GB2312" w:hAnsi="仿宋_GB2312" w:eastAsia="仿宋_GB2312" w:cs="仿宋_GB2312"/>
                <w:b/>
                <w:bCs/>
                <w:color w:val="auto"/>
                <w:sz w:val="24"/>
                <w:szCs w:val="24"/>
                <w:highlight w:val="none"/>
              </w:rPr>
            </w:pPr>
          </w:p>
        </w:tc>
        <w:tc>
          <w:tcPr>
            <w:tcW w:w="2093" w:type="dxa"/>
            <w:noWrap w:val="0"/>
            <w:vAlign w:val="center"/>
          </w:tcPr>
          <w:p>
            <w:pPr>
              <w:spacing w:line="40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8"/>
                <w:highlight w:val="none"/>
              </w:rPr>
              <w:t>落实代建合同管理制。严格按招标文件和投标文件要求和承诺签订代建合同。代建合同签订后，按照报发改部门备案。</w:t>
            </w:r>
          </w:p>
        </w:tc>
        <w:tc>
          <w:tcPr>
            <w:tcW w:w="6095" w:type="dxa"/>
            <w:noWrap w:val="0"/>
            <w:vAlign w:val="center"/>
          </w:tcPr>
          <w:p>
            <w:pPr>
              <w:spacing w:line="400" w:lineRule="exact"/>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根据发改部门代建合同备案有关记录情况。</w:t>
            </w:r>
          </w:p>
          <w:p>
            <w:pPr>
              <w:pStyle w:val="21"/>
              <w:spacing w:line="400" w:lineRule="exact"/>
              <w:ind w:firstLine="0" w:firstLineChars="0"/>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lang w:val="en-US" w:eastAsia="zh-CN"/>
              </w:rPr>
              <w:t>1.</w:t>
            </w:r>
            <w:r>
              <w:rPr>
                <w:rFonts w:hint="eastAsia" w:ascii="仿宋_GB2312" w:hAnsi="仿宋_GB2312" w:eastAsia="仿宋_GB2312" w:cs="仿宋_GB2312"/>
                <w:color w:val="auto"/>
                <w:sz w:val="24"/>
                <w:szCs w:val="28"/>
                <w:highlight w:val="none"/>
              </w:rPr>
              <w:t>无正当理由拒绝签订代建合同或提出附加条款；</w:t>
            </w:r>
          </w:p>
          <w:p>
            <w:pPr>
              <w:pStyle w:val="21"/>
              <w:spacing w:line="400" w:lineRule="exact"/>
              <w:ind w:firstLine="0" w:firstLineChars="0"/>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lang w:val="en-US" w:eastAsia="zh-CN"/>
              </w:rPr>
              <w:t>2.</w:t>
            </w:r>
            <w:r>
              <w:rPr>
                <w:rFonts w:hint="eastAsia" w:ascii="仿宋_GB2312" w:hAnsi="仿宋_GB2312" w:eastAsia="仿宋_GB2312" w:cs="仿宋_GB2312"/>
                <w:color w:val="auto"/>
                <w:sz w:val="24"/>
                <w:szCs w:val="28"/>
                <w:highlight w:val="none"/>
              </w:rPr>
              <w:t>与委托单位私自更改合同实质性内容；</w:t>
            </w:r>
          </w:p>
          <w:p>
            <w:pPr>
              <w:pStyle w:val="21"/>
              <w:spacing w:line="400" w:lineRule="exact"/>
              <w:ind w:firstLine="0" w:firstLineChars="0"/>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lang w:val="en-US" w:eastAsia="zh-CN"/>
              </w:rPr>
              <w:t>3.</w:t>
            </w:r>
            <w:r>
              <w:rPr>
                <w:rFonts w:hint="eastAsia" w:ascii="仿宋_GB2312" w:hAnsi="仿宋_GB2312" w:eastAsia="仿宋_GB2312" w:cs="仿宋_GB2312"/>
                <w:color w:val="auto"/>
                <w:sz w:val="24"/>
                <w:szCs w:val="28"/>
                <w:highlight w:val="none"/>
              </w:rPr>
              <w:t>未经发改部门同意不按规定时间要求进行代建合同备案；</w:t>
            </w:r>
          </w:p>
          <w:p>
            <w:pPr>
              <w:pStyle w:val="21"/>
              <w:spacing w:line="400" w:lineRule="exact"/>
              <w:ind w:firstLine="0" w:firstLineChars="0"/>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lang w:val="en-US" w:eastAsia="zh-CN"/>
              </w:rPr>
              <w:t>4.</w:t>
            </w:r>
            <w:r>
              <w:rPr>
                <w:rFonts w:hint="eastAsia" w:ascii="仿宋_GB2312" w:hAnsi="仿宋_GB2312" w:eastAsia="仿宋_GB2312" w:cs="仿宋_GB2312"/>
                <w:color w:val="auto"/>
                <w:sz w:val="24"/>
                <w:szCs w:val="28"/>
                <w:highlight w:val="none"/>
              </w:rPr>
              <w:t>合同签订后未备案，代建单位擅自启动代建工作；</w:t>
            </w:r>
          </w:p>
          <w:p>
            <w:pPr>
              <w:pStyle w:val="21"/>
              <w:spacing w:line="400" w:lineRule="exact"/>
              <w:ind w:firstLine="0" w:firstLineChars="0"/>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lang w:val="en-US" w:eastAsia="zh-CN"/>
              </w:rPr>
              <w:t>5.</w:t>
            </w:r>
            <w:r>
              <w:rPr>
                <w:rFonts w:hint="eastAsia" w:ascii="仿宋_GB2312" w:hAnsi="仿宋_GB2312" w:eastAsia="仿宋_GB2312" w:cs="仿宋_GB2312"/>
                <w:color w:val="auto"/>
                <w:sz w:val="24"/>
                <w:szCs w:val="28"/>
                <w:highlight w:val="none"/>
              </w:rPr>
              <w:t>合同备案后，私自修改合同条款或签订阴阳合同；</w:t>
            </w:r>
          </w:p>
          <w:p>
            <w:pPr>
              <w:spacing w:line="40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8"/>
                <w:highlight w:val="none"/>
                <w:lang w:val="en-US" w:eastAsia="zh-CN"/>
              </w:rPr>
              <w:t>6.</w:t>
            </w:r>
            <w:r>
              <w:rPr>
                <w:rFonts w:hint="eastAsia" w:ascii="仿宋_GB2312" w:hAnsi="仿宋_GB2312" w:eastAsia="仿宋_GB2312" w:cs="仿宋_GB2312"/>
                <w:color w:val="auto"/>
                <w:sz w:val="24"/>
                <w:szCs w:val="28"/>
                <w:highlight w:val="none"/>
              </w:rPr>
              <w:t>代建单位违规分包的、转让代建业务。</w:t>
            </w:r>
          </w:p>
        </w:tc>
        <w:tc>
          <w:tcPr>
            <w:tcW w:w="1186" w:type="dxa"/>
            <w:noWrap w:val="0"/>
            <w:vAlign w:val="center"/>
          </w:tcPr>
          <w:p>
            <w:pPr>
              <w:spacing w:line="400" w:lineRule="exact"/>
              <w:rPr>
                <w:rFonts w:hint="eastAsia" w:ascii="仿宋_GB2312" w:hAnsi="仿宋_GB2312" w:eastAsia="仿宋_GB2312" w:cs="仿宋_GB2312"/>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center"/>
          </w:tcPr>
          <w:p>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人员配置</w:t>
            </w:r>
          </w:p>
        </w:tc>
        <w:tc>
          <w:tcPr>
            <w:tcW w:w="2093" w:type="dxa"/>
            <w:noWrap w:val="0"/>
            <w:vAlign w:val="center"/>
          </w:tcPr>
          <w:p>
            <w:pPr>
              <w:spacing w:line="40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代建合同签订后代建单位应当按照投标承诺成立项目管理团队，落实人员职责。</w:t>
            </w:r>
          </w:p>
        </w:tc>
        <w:tc>
          <w:tcPr>
            <w:tcW w:w="6095" w:type="dxa"/>
            <w:noWrap w:val="0"/>
            <w:vAlign w:val="center"/>
          </w:tcPr>
          <w:p>
            <w:pPr>
              <w:widowControl/>
              <w:spacing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检查现场、听取项目使用单位意见、查阅资料（团队成立配备资料、签到情况、在岗情况、各</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kern w:val="0"/>
                <w:sz w:val="24"/>
                <w:szCs w:val="24"/>
                <w:highlight w:val="none"/>
              </w:rPr>
              <w:t>员履职情况）。</w:t>
            </w:r>
          </w:p>
          <w:p>
            <w:pPr>
              <w:widowControl/>
              <w:spacing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w:t>
            </w:r>
            <w:r>
              <w:rPr>
                <w:rFonts w:hint="eastAsia" w:ascii="仿宋_GB2312" w:hAnsi="仿宋_GB2312" w:eastAsia="仿宋_GB2312" w:cs="仿宋_GB2312"/>
                <w:color w:val="auto"/>
                <w:kern w:val="0"/>
                <w:sz w:val="24"/>
                <w:szCs w:val="24"/>
                <w:highlight w:val="none"/>
              </w:rPr>
              <w:t>未按投标承诺配备团队</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kern w:val="0"/>
                <w:sz w:val="24"/>
                <w:szCs w:val="24"/>
                <w:highlight w:val="none"/>
              </w:rPr>
              <w:t>员；</w:t>
            </w:r>
          </w:p>
          <w:p>
            <w:pPr>
              <w:widowControl/>
              <w:spacing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w:t>
            </w:r>
            <w:r>
              <w:rPr>
                <w:rFonts w:hint="eastAsia" w:ascii="仿宋_GB2312" w:hAnsi="仿宋_GB2312" w:eastAsia="仿宋_GB2312" w:cs="仿宋_GB2312"/>
                <w:color w:val="auto"/>
                <w:kern w:val="0"/>
                <w:sz w:val="24"/>
                <w:szCs w:val="24"/>
                <w:highlight w:val="none"/>
              </w:rPr>
              <w:t>擅自变更不得替换的</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kern w:val="0"/>
                <w:sz w:val="24"/>
                <w:szCs w:val="24"/>
                <w:highlight w:val="none"/>
              </w:rPr>
              <w:t>员；</w:t>
            </w:r>
          </w:p>
          <w:p>
            <w:pPr>
              <w:widowControl/>
              <w:spacing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3.</w:t>
            </w:r>
            <w:r>
              <w:rPr>
                <w:rFonts w:hint="eastAsia" w:ascii="仿宋_GB2312" w:hAnsi="仿宋_GB2312" w:eastAsia="仿宋_GB2312" w:cs="仿宋_GB2312"/>
                <w:color w:val="auto"/>
                <w:kern w:val="0"/>
                <w:sz w:val="24"/>
                <w:szCs w:val="24"/>
                <w:highlight w:val="none"/>
              </w:rPr>
              <w:t>因代建单位项目经理或现场管理</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kern w:val="0"/>
                <w:sz w:val="24"/>
                <w:szCs w:val="24"/>
                <w:highlight w:val="none"/>
              </w:rPr>
              <w:t>员履职水平过低而只能撤换；</w:t>
            </w:r>
          </w:p>
          <w:p>
            <w:pPr>
              <w:spacing w:line="40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rPr>
              <w:t>4.</w:t>
            </w:r>
            <w:r>
              <w:rPr>
                <w:rFonts w:hint="eastAsia" w:ascii="仿宋_GB2312" w:hAnsi="仿宋_GB2312" w:eastAsia="仿宋_GB2312" w:cs="仿宋_GB2312"/>
                <w:color w:val="auto"/>
                <w:kern w:val="0"/>
                <w:sz w:val="24"/>
                <w:szCs w:val="24"/>
                <w:highlight w:val="none"/>
              </w:rPr>
              <w:t>检查现场时，发现团队</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kern w:val="0"/>
                <w:sz w:val="24"/>
                <w:szCs w:val="24"/>
                <w:highlight w:val="none"/>
              </w:rPr>
              <w:t>员未正常履职。</w:t>
            </w:r>
          </w:p>
        </w:tc>
        <w:tc>
          <w:tcPr>
            <w:tcW w:w="1186" w:type="dxa"/>
            <w:noWrap w:val="0"/>
            <w:vAlign w:val="center"/>
          </w:tcPr>
          <w:p>
            <w:pPr>
              <w:spacing w:line="400" w:lineRule="exact"/>
              <w:rPr>
                <w:rFonts w:hint="eastAsia" w:ascii="仿宋_GB2312" w:hAnsi="仿宋_GB2312" w:eastAsia="仿宋_GB2312" w:cs="仿宋_GB2312"/>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center"/>
          </w:tcPr>
          <w:p>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开工准备</w:t>
            </w:r>
          </w:p>
        </w:tc>
        <w:tc>
          <w:tcPr>
            <w:tcW w:w="2093" w:type="dxa"/>
            <w:noWrap w:val="0"/>
            <w:vAlign w:val="center"/>
          </w:tcPr>
          <w:p>
            <w:pPr>
              <w:spacing w:line="40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代建单位应当依据代建合同范围和法定程序，履</w:t>
            </w:r>
            <w:r>
              <w:rPr>
                <w:rFonts w:hint="eastAsia" w:ascii="仿宋_GB2312" w:hAnsi="仿宋_GB2312" w:eastAsia="仿宋_GB2312" w:cs="仿宋_GB2312"/>
                <w:color w:val="auto"/>
                <w:kern w:val="0"/>
                <w:sz w:val="24"/>
                <w:szCs w:val="24"/>
                <w:highlight w:val="none"/>
              </w:rPr>
              <w:t>行</w:t>
            </w:r>
            <w:r>
              <w:rPr>
                <w:rFonts w:hint="eastAsia" w:ascii="仿宋_GB2312" w:hAnsi="仿宋_GB2312" w:eastAsia="仿宋_GB2312" w:cs="仿宋_GB2312"/>
                <w:color w:val="auto"/>
                <w:sz w:val="24"/>
                <w:szCs w:val="24"/>
                <w:highlight w:val="none"/>
              </w:rPr>
              <w:t>把关职责，按时完成开工前的准备工作，确保概算不超估算、预算不超概算。</w:t>
            </w:r>
          </w:p>
        </w:tc>
        <w:tc>
          <w:tcPr>
            <w:tcW w:w="6095" w:type="dxa"/>
            <w:noWrap w:val="0"/>
            <w:vAlign w:val="center"/>
          </w:tcPr>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查看资料、检查现场和征询行政主管部门记录等方式。</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因手续不全、违规开工，代建单位收到停工整改通知书；</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因代建单位原因，导致前期工作推进不力，影响计划进度的；</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把关不严，工程设计出现重大缺项、漏项或重大缺陷，导致需要重新设计；</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未按政策和代建合同要求，设计评审等关键环节未及时报请发改部门参加；</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未履行规定程序，出现概算突破估算或预算突破概算或设计功能发生实质性变化。</w:t>
            </w:r>
          </w:p>
        </w:tc>
        <w:tc>
          <w:tcPr>
            <w:tcW w:w="1186" w:type="dxa"/>
            <w:noWrap w:val="0"/>
            <w:vAlign w:val="center"/>
          </w:tcPr>
          <w:p>
            <w:pPr>
              <w:spacing w:line="400" w:lineRule="exact"/>
              <w:rPr>
                <w:rFonts w:hint="eastAsia" w:ascii="仿宋_GB2312" w:hAnsi="仿宋_GB2312" w:eastAsia="仿宋_GB2312" w:cs="仿宋_GB2312"/>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restart"/>
            <w:noWrap w:val="0"/>
            <w:vAlign w:val="center"/>
          </w:tcPr>
          <w:p>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招投标及合同管理</w:t>
            </w:r>
          </w:p>
        </w:tc>
        <w:tc>
          <w:tcPr>
            <w:tcW w:w="2093" w:type="dxa"/>
            <w:noWrap w:val="0"/>
            <w:vAlign w:val="center"/>
          </w:tcPr>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代建单位应依法依规组织招标和采购活动，将招投标有关信息、文件及时报告发改部门。</w:t>
            </w:r>
          </w:p>
        </w:tc>
        <w:tc>
          <w:tcPr>
            <w:tcW w:w="6095" w:type="dxa"/>
            <w:noWrap w:val="0"/>
            <w:vAlign w:val="center"/>
          </w:tcPr>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检查现场、征询行政主管部门记录、查看招投标报告和了解实际情况。</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代建单位组织的招标或采购中出现违背招投标法或采购法情形；</w:t>
            </w:r>
          </w:p>
          <w:p>
            <w:pPr>
              <w:spacing w:line="40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未按代建合同要求，及时将招投标重点环节（招标公告发布、中标通知书发出等）的有关信息报告发改部门。</w:t>
            </w:r>
          </w:p>
        </w:tc>
        <w:tc>
          <w:tcPr>
            <w:tcW w:w="1186" w:type="dxa"/>
            <w:noWrap w:val="0"/>
            <w:vAlign w:val="center"/>
          </w:tcPr>
          <w:p>
            <w:pPr>
              <w:spacing w:line="400" w:lineRule="exact"/>
              <w:rPr>
                <w:rFonts w:hint="eastAsia" w:ascii="仿宋_GB2312" w:hAnsi="仿宋_GB2312" w:eastAsia="仿宋_GB2312" w:cs="仿宋_GB2312"/>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noWrap w:val="0"/>
            <w:vAlign w:val="center"/>
          </w:tcPr>
          <w:p>
            <w:pPr>
              <w:spacing w:line="400" w:lineRule="exact"/>
              <w:jc w:val="center"/>
              <w:rPr>
                <w:rFonts w:hint="eastAsia" w:ascii="仿宋_GB2312" w:hAnsi="仿宋_GB2312" w:eastAsia="仿宋_GB2312" w:cs="仿宋_GB2312"/>
                <w:color w:val="auto"/>
                <w:sz w:val="24"/>
                <w:szCs w:val="24"/>
                <w:highlight w:val="none"/>
              </w:rPr>
            </w:pPr>
          </w:p>
        </w:tc>
        <w:tc>
          <w:tcPr>
            <w:tcW w:w="2093" w:type="dxa"/>
            <w:noWrap w:val="0"/>
            <w:vAlign w:val="center"/>
          </w:tcPr>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代建单位应当按照投标文件中代建项目管理方案承诺，依法依规签订合同和履行合同。</w:t>
            </w:r>
          </w:p>
        </w:tc>
        <w:tc>
          <w:tcPr>
            <w:tcW w:w="6095" w:type="dxa"/>
            <w:noWrap w:val="0"/>
            <w:vAlign w:val="center"/>
          </w:tcPr>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查看合同文件资料、征询行政主管部门记录和听取有关单位情况反馈。</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按照工程进度，合同资料不全；</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合同未按要求向有关部门备案；</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出现合同违约纠纷并被追究法律责任。</w:t>
            </w:r>
          </w:p>
        </w:tc>
        <w:tc>
          <w:tcPr>
            <w:tcW w:w="1186" w:type="dxa"/>
            <w:noWrap w:val="0"/>
            <w:vAlign w:val="center"/>
          </w:tcPr>
          <w:p>
            <w:pPr>
              <w:spacing w:line="400" w:lineRule="exact"/>
              <w:rPr>
                <w:rFonts w:hint="eastAsia" w:ascii="仿宋_GB2312" w:hAnsi="仿宋_GB2312" w:eastAsia="仿宋_GB2312" w:cs="仿宋_GB2312"/>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restart"/>
            <w:noWrap w:val="0"/>
            <w:vAlign w:val="center"/>
          </w:tcPr>
          <w:p>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工程建设日常管理</w:t>
            </w:r>
          </w:p>
        </w:tc>
        <w:tc>
          <w:tcPr>
            <w:tcW w:w="2093" w:type="dxa"/>
            <w:noWrap w:val="0"/>
            <w:vAlign w:val="center"/>
          </w:tcPr>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项目部内部管理</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代建单位应当确保内部管理规范廉政，工程建设项目档案应当参照国家档案整理规范和相关行业管理要求的规定格式、标准、规范进行归档、整理。</w:t>
            </w:r>
          </w:p>
        </w:tc>
        <w:tc>
          <w:tcPr>
            <w:tcW w:w="6095" w:type="dxa"/>
            <w:noWrap w:val="0"/>
            <w:vAlign w:val="center"/>
          </w:tcPr>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检查现场和查阅资料。</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项目管理团队办公室杂乱无序、管理混乱；</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未制定代建管理工作书面制度；</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未制定档案管理书面制度</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指令违背政府有关部门批复的有效设计文件、投资规模文件开展项目建设。</w:t>
            </w:r>
          </w:p>
        </w:tc>
        <w:tc>
          <w:tcPr>
            <w:tcW w:w="1186" w:type="dxa"/>
            <w:noWrap w:val="0"/>
            <w:vAlign w:val="center"/>
          </w:tcPr>
          <w:p>
            <w:pPr>
              <w:spacing w:line="400" w:lineRule="exact"/>
              <w:rPr>
                <w:rFonts w:hint="eastAsia" w:ascii="仿宋_GB2312" w:hAnsi="仿宋_GB2312" w:eastAsia="仿宋_GB2312" w:cs="仿宋_GB2312"/>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noWrap w:val="0"/>
            <w:vAlign w:val="center"/>
          </w:tcPr>
          <w:p>
            <w:pPr>
              <w:spacing w:line="400" w:lineRule="exact"/>
              <w:jc w:val="center"/>
              <w:rPr>
                <w:rFonts w:hint="eastAsia" w:ascii="仿宋_GB2312" w:hAnsi="仿宋_GB2312" w:eastAsia="仿宋_GB2312" w:cs="仿宋_GB2312"/>
                <w:color w:val="auto"/>
                <w:sz w:val="24"/>
                <w:szCs w:val="24"/>
                <w:highlight w:val="none"/>
              </w:rPr>
            </w:pPr>
          </w:p>
        </w:tc>
        <w:tc>
          <w:tcPr>
            <w:tcW w:w="2093" w:type="dxa"/>
            <w:noWrap w:val="0"/>
            <w:vAlign w:val="center"/>
          </w:tcPr>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质量安全、环境、职业健康管理情况。</w:t>
            </w:r>
          </w:p>
          <w:p>
            <w:pPr>
              <w:rPr>
                <w:rFonts w:hint="eastAsia" w:ascii="仿宋_GB2312" w:hAnsi="仿宋_GB2312" w:eastAsia="仿宋_GB2312" w:cs="仿宋_GB2312"/>
                <w:color w:val="auto"/>
              </w:rPr>
            </w:pP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代建单位应当履行建设单位质量安全职责，对各专业单位的安全管理、环境保护、职业健康工作进行指导、检查和监督，责成各专业工作单位做好项目现场的社会治安、环境保护、职业健康工作。</w:t>
            </w:r>
          </w:p>
        </w:tc>
        <w:tc>
          <w:tcPr>
            <w:tcW w:w="6095" w:type="dxa"/>
            <w:noWrap w:val="0"/>
            <w:vAlign w:val="center"/>
          </w:tcPr>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检查现场、查阅资料、征询行政主管部门记录和听取有关情况。</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未按要求设置代建项目标示；</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未制定质量、环境、职业健康安全等书面制度；</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未采取定期和不定期检查相结合的方式对代建项目的工程质量、环境、职业健康安全等管理内容进行监督检查；</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对发现问题未及时协调处理；</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未按有关规定和合同约定向施工单位拨付建设工程现场安全文明施工措施费；</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未组织签订建设工程项目施工安全责任保证书或未组织签订两个以上施工单位在同一作业区域进行施工作业时双方之间的安全生产管理协议的；</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因管理不力，代建单位收到有关整改通知书且未整改；</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收到停工通知书；</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项目建设出现一般安全责任事故；</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出现较大以上安全责任事故，或被处以较大数额罚款。</w:t>
            </w:r>
          </w:p>
        </w:tc>
        <w:tc>
          <w:tcPr>
            <w:tcW w:w="1186" w:type="dxa"/>
            <w:noWrap w:val="0"/>
            <w:vAlign w:val="center"/>
          </w:tcPr>
          <w:p>
            <w:pPr>
              <w:spacing w:line="400" w:lineRule="exact"/>
              <w:rPr>
                <w:rFonts w:hint="eastAsia" w:ascii="仿宋_GB2312" w:hAnsi="仿宋_GB2312" w:eastAsia="仿宋_GB2312" w:cs="仿宋_GB2312"/>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noWrap w:val="0"/>
            <w:vAlign w:val="center"/>
          </w:tcPr>
          <w:p>
            <w:pPr>
              <w:spacing w:line="400" w:lineRule="exact"/>
              <w:jc w:val="center"/>
              <w:rPr>
                <w:rFonts w:hint="eastAsia" w:ascii="仿宋_GB2312" w:hAnsi="仿宋_GB2312" w:eastAsia="仿宋_GB2312" w:cs="仿宋_GB2312"/>
                <w:color w:val="auto"/>
                <w:sz w:val="24"/>
                <w:szCs w:val="24"/>
                <w:highlight w:val="none"/>
              </w:rPr>
            </w:pPr>
          </w:p>
        </w:tc>
        <w:tc>
          <w:tcPr>
            <w:tcW w:w="2093" w:type="dxa"/>
            <w:noWrap w:val="0"/>
            <w:vAlign w:val="center"/>
          </w:tcPr>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工程进度控制</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代建单位应当按照投标时代建项目管理方案的项目进度计划和管理办法确保工程进度。</w:t>
            </w:r>
          </w:p>
        </w:tc>
        <w:tc>
          <w:tcPr>
            <w:tcW w:w="6095" w:type="dxa"/>
            <w:noWrap w:val="0"/>
            <w:vAlign w:val="center"/>
          </w:tcPr>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检查现场和查阅资料。</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未制定进度计划图示；</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未制定进度管理书面制度；</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工程实际进度落后进度计划节点且无调整措施方案。</w:t>
            </w:r>
          </w:p>
        </w:tc>
        <w:tc>
          <w:tcPr>
            <w:tcW w:w="1186" w:type="dxa"/>
            <w:noWrap w:val="0"/>
            <w:vAlign w:val="center"/>
          </w:tcPr>
          <w:p>
            <w:pPr>
              <w:spacing w:line="400" w:lineRule="exact"/>
              <w:rPr>
                <w:rFonts w:hint="eastAsia" w:ascii="仿宋_GB2312" w:hAnsi="仿宋_GB2312" w:eastAsia="仿宋_GB2312" w:cs="仿宋_GB2312"/>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noWrap w:val="0"/>
            <w:vAlign w:val="center"/>
          </w:tcPr>
          <w:p>
            <w:pPr>
              <w:spacing w:line="400" w:lineRule="exact"/>
              <w:jc w:val="center"/>
              <w:rPr>
                <w:rFonts w:hint="eastAsia" w:ascii="仿宋_GB2312" w:hAnsi="仿宋_GB2312" w:eastAsia="仿宋_GB2312" w:cs="仿宋_GB2312"/>
                <w:color w:val="auto"/>
                <w:sz w:val="24"/>
                <w:szCs w:val="24"/>
                <w:highlight w:val="none"/>
              </w:rPr>
            </w:pPr>
          </w:p>
        </w:tc>
        <w:tc>
          <w:tcPr>
            <w:tcW w:w="2093" w:type="dxa"/>
            <w:noWrap w:val="0"/>
            <w:vAlign w:val="center"/>
          </w:tcPr>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财务管理</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代建单位应当严格执行财经纪律，建立健全财务管理制度。</w:t>
            </w:r>
          </w:p>
        </w:tc>
        <w:tc>
          <w:tcPr>
            <w:tcW w:w="6095" w:type="dxa"/>
            <w:noWrap w:val="0"/>
            <w:vAlign w:val="center"/>
          </w:tcPr>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检查现场、征询财政等行政主管部门记录、查看财务记录和听取有关情况。</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未制定项目资金管理、财务管理书面制度；</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财务记录不全、混乱；</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因代建单位原因未及时申请拨付资金导致出现重大纠纷；</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违反项目建设资金使用和财务管理规定。</w:t>
            </w:r>
          </w:p>
        </w:tc>
        <w:tc>
          <w:tcPr>
            <w:tcW w:w="1186" w:type="dxa"/>
            <w:noWrap w:val="0"/>
            <w:vAlign w:val="center"/>
          </w:tcPr>
          <w:p>
            <w:pPr>
              <w:spacing w:line="400" w:lineRule="exact"/>
              <w:rPr>
                <w:rFonts w:hint="eastAsia" w:ascii="仿宋_GB2312" w:hAnsi="仿宋_GB2312" w:eastAsia="仿宋_GB2312" w:cs="仿宋_GB2312"/>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center"/>
          </w:tcPr>
          <w:p>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信息沟通</w:t>
            </w:r>
          </w:p>
        </w:tc>
        <w:tc>
          <w:tcPr>
            <w:tcW w:w="2093" w:type="dxa"/>
            <w:noWrap w:val="0"/>
            <w:vAlign w:val="center"/>
          </w:tcPr>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落实项目管理月报制和重要环节报告制。</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代建单位应当将工作进度于每月5号前、项目的重要环节、争议事项及时向发改部门报告。</w:t>
            </w:r>
          </w:p>
        </w:tc>
        <w:tc>
          <w:tcPr>
            <w:tcW w:w="6095" w:type="dxa"/>
            <w:noWrap w:val="0"/>
            <w:vAlign w:val="center"/>
          </w:tcPr>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查看发展改革部门记录资料和核实了解有关情况。</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未按时报送月报；</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代建项目开工后，未及时将重要环节（项目开工、项目招标和政府采购活动、重大设计变更论证、概算调整、项目竣工验收、项目实体移交、决算、结算批复情况等）报告发改部门；</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未将重大争议事项报告发改部门，影响项目建设；</w:t>
            </w:r>
          </w:p>
          <w:p>
            <w:pPr>
              <w:spacing w:line="40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现场核实月报相关情况，情况不实。</w:t>
            </w:r>
          </w:p>
        </w:tc>
        <w:tc>
          <w:tcPr>
            <w:tcW w:w="1186" w:type="dxa"/>
            <w:noWrap w:val="0"/>
            <w:vAlign w:val="center"/>
          </w:tcPr>
          <w:p>
            <w:pPr>
              <w:spacing w:line="400" w:lineRule="exact"/>
              <w:rPr>
                <w:rFonts w:hint="eastAsia" w:ascii="仿宋_GB2312" w:hAnsi="仿宋_GB2312" w:eastAsia="仿宋_GB2312" w:cs="仿宋_GB2312"/>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852" w:type="dxa"/>
            <w:vMerge w:val="restart"/>
            <w:noWrap w:val="0"/>
            <w:vAlign w:val="center"/>
          </w:tcPr>
          <w:p>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代建目标</w:t>
            </w:r>
          </w:p>
        </w:tc>
        <w:tc>
          <w:tcPr>
            <w:tcW w:w="2093" w:type="dxa"/>
            <w:noWrap w:val="0"/>
            <w:vAlign w:val="center"/>
          </w:tcPr>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投资控制，确保决算不超概算。</w:t>
            </w:r>
          </w:p>
        </w:tc>
        <w:tc>
          <w:tcPr>
            <w:tcW w:w="6095" w:type="dxa"/>
            <w:noWrap w:val="0"/>
            <w:vAlign w:val="center"/>
          </w:tcPr>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项目决算突破最终批复的概算。</w:t>
            </w:r>
          </w:p>
        </w:tc>
        <w:tc>
          <w:tcPr>
            <w:tcW w:w="1186" w:type="dxa"/>
            <w:noWrap w:val="0"/>
            <w:vAlign w:val="center"/>
          </w:tcPr>
          <w:p>
            <w:pPr>
              <w:spacing w:line="400" w:lineRule="exact"/>
              <w:rPr>
                <w:rFonts w:hint="eastAsia" w:ascii="仿宋_GB2312" w:hAnsi="仿宋_GB2312" w:eastAsia="仿宋_GB2312" w:cs="仿宋_GB2312"/>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852" w:type="dxa"/>
            <w:vMerge w:val="continue"/>
            <w:noWrap w:val="0"/>
            <w:vAlign w:val="center"/>
          </w:tcPr>
          <w:p>
            <w:pPr>
              <w:spacing w:line="400" w:lineRule="exact"/>
              <w:jc w:val="center"/>
              <w:rPr>
                <w:rFonts w:hint="eastAsia" w:ascii="仿宋_GB2312" w:hAnsi="仿宋_GB2312" w:eastAsia="仿宋_GB2312" w:cs="仿宋_GB2312"/>
                <w:color w:val="auto"/>
                <w:sz w:val="24"/>
                <w:szCs w:val="24"/>
                <w:highlight w:val="none"/>
              </w:rPr>
            </w:pPr>
          </w:p>
        </w:tc>
        <w:tc>
          <w:tcPr>
            <w:tcW w:w="2093" w:type="dxa"/>
            <w:noWrap w:val="0"/>
            <w:vAlign w:val="center"/>
          </w:tcPr>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代建周期控制，确保按照合同约定如期移交实体。</w:t>
            </w:r>
          </w:p>
        </w:tc>
        <w:tc>
          <w:tcPr>
            <w:tcW w:w="6095" w:type="dxa"/>
            <w:noWrap w:val="0"/>
            <w:vAlign w:val="center"/>
          </w:tcPr>
          <w:p>
            <w:pPr>
              <w:spacing w:line="40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因代建单位原因致使项目代建周期延长。</w:t>
            </w:r>
          </w:p>
        </w:tc>
        <w:tc>
          <w:tcPr>
            <w:tcW w:w="1186" w:type="dxa"/>
            <w:noWrap w:val="0"/>
            <w:vAlign w:val="center"/>
          </w:tcPr>
          <w:p>
            <w:pPr>
              <w:spacing w:line="400" w:lineRule="exact"/>
              <w:rPr>
                <w:rFonts w:hint="eastAsia" w:ascii="仿宋_GB2312" w:hAnsi="仿宋_GB2312" w:eastAsia="仿宋_GB2312" w:cs="仿宋_GB2312"/>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852" w:type="dxa"/>
            <w:vMerge w:val="continue"/>
            <w:noWrap w:val="0"/>
            <w:vAlign w:val="center"/>
          </w:tcPr>
          <w:p>
            <w:pPr>
              <w:spacing w:line="400" w:lineRule="exact"/>
              <w:jc w:val="center"/>
              <w:rPr>
                <w:rFonts w:hint="eastAsia" w:ascii="仿宋_GB2312" w:hAnsi="仿宋_GB2312" w:eastAsia="仿宋_GB2312" w:cs="仿宋_GB2312"/>
                <w:color w:val="auto"/>
                <w:sz w:val="24"/>
                <w:szCs w:val="24"/>
                <w:highlight w:val="none"/>
              </w:rPr>
            </w:pPr>
          </w:p>
        </w:tc>
        <w:tc>
          <w:tcPr>
            <w:tcW w:w="2093" w:type="dxa"/>
            <w:noWrap w:val="0"/>
            <w:vAlign w:val="center"/>
          </w:tcPr>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质量控制，确保代建项目的质量合格。</w:t>
            </w:r>
          </w:p>
        </w:tc>
        <w:tc>
          <w:tcPr>
            <w:tcW w:w="6095" w:type="dxa"/>
            <w:noWrap w:val="0"/>
            <w:vAlign w:val="center"/>
          </w:tcPr>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竣工验收工程质量不合格</w:t>
            </w:r>
          </w:p>
        </w:tc>
        <w:tc>
          <w:tcPr>
            <w:tcW w:w="1186" w:type="dxa"/>
            <w:noWrap w:val="0"/>
            <w:vAlign w:val="center"/>
          </w:tcPr>
          <w:p>
            <w:pPr>
              <w:spacing w:line="400" w:lineRule="exact"/>
              <w:rPr>
                <w:rFonts w:hint="eastAsia" w:ascii="仿宋_GB2312" w:hAnsi="仿宋_GB2312" w:eastAsia="仿宋_GB2312" w:cs="仿宋_GB2312"/>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852" w:type="dxa"/>
            <w:vMerge w:val="continue"/>
            <w:noWrap w:val="0"/>
            <w:vAlign w:val="center"/>
          </w:tcPr>
          <w:p>
            <w:pPr>
              <w:spacing w:line="400" w:lineRule="exact"/>
              <w:jc w:val="center"/>
              <w:rPr>
                <w:rFonts w:hint="eastAsia" w:ascii="仿宋_GB2312" w:hAnsi="仿宋_GB2312" w:eastAsia="仿宋_GB2312" w:cs="仿宋_GB2312"/>
                <w:b/>
                <w:bCs/>
                <w:color w:val="auto"/>
                <w:sz w:val="24"/>
                <w:szCs w:val="24"/>
                <w:highlight w:val="none"/>
              </w:rPr>
            </w:pPr>
          </w:p>
        </w:tc>
        <w:tc>
          <w:tcPr>
            <w:tcW w:w="2093" w:type="dxa"/>
            <w:noWrap w:val="0"/>
            <w:vAlign w:val="center"/>
          </w:tcPr>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廉洁守法，保证国家和社会公共利益。</w:t>
            </w:r>
          </w:p>
        </w:tc>
        <w:tc>
          <w:tcPr>
            <w:tcW w:w="6095" w:type="dxa"/>
            <w:noWrap w:val="0"/>
            <w:vAlign w:val="center"/>
          </w:tcPr>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与使用单位串通，损害国家利益或者社会公共利益；</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与勘察设计、施工、监理、设备材料供应等单位串通，谋取不正当利益或者损害使用单位利益；</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在代建过程中，发生其他违背廉洁承诺、违反法律法规和政策要求行为，代建单位或单位员工因代建工作被追究刑事责任、处以责令停产停业、暂扣或者吊销许可证或者执照、较大数额罚款的。</w:t>
            </w:r>
          </w:p>
        </w:tc>
        <w:tc>
          <w:tcPr>
            <w:tcW w:w="1186" w:type="dxa"/>
            <w:noWrap w:val="0"/>
            <w:vAlign w:val="center"/>
          </w:tcPr>
          <w:p>
            <w:pPr>
              <w:spacing w:line="400" w:lineRule="exact"/>
              <w:rPr>
                <w:rFonts w:hint="eastAsia" w:ascii="仿宋_GB2312" w:hAnsi="仿宋_GB2312" w:eastAsia="仿宋_GB2312" w:cs="仿宋_GB2312"/>
                <w:b/>
                <w:bCs/>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eastAsia"/>
          <w:color w:val="auto"/>
        </w:rPr>
      </w:pPr>
      <w:r>
        <w:rPr>
          <w:color w:val="auto"/>
          <w:sz w:val="20"/>
        </w:rPr>
        <mc:AlternateContent>
          <mc:Choice Requires="wps">
            <w:drawing>
              <wp:anchor distT="0" distB="0" distL="114300" distR="114300" simplePos="0" relativeHeight="251663360" behindDoc="0" locked="0" layoutInCell="1" allowOverlap="1">
                <wp:simplePos x="0" y="0"/>
                <wp:positionH relativeFrom="column">
                  <wp:posOffset>4557395</wp:posOffset>
                </wp:positionH>
                <wp:positionV relativeFrom="paragraph">
                  <wp:posOffset>8235315</wp:posOffset>
                </wp:positionV>
                <wp:extent cx="952500" cy="225425"/>
                <wp:effectExtent l="0" t="0" r="0" b="3175"/>
                <wp:wrapNone/>
                <wp:docPr id="4" name="文本框 6"/>
                <wp:cNvGraphicFramePr/>
                <a:graphic xmlns:a="http://schemas.openxmlformats.org/drawingml/2006/main">
                  <a:graphicData uri="http://schemas.microsoft.com/office/word/2010/wordprocessingShape">
                    <wps:wsp>
                      <wps:cNvSpPr txBox="1"/>
                      <wps:spPr>
                        <a:xfrm>
                          <a:off x="0" y="0"/>
                          <a:ext cx="952500" cy="225425"/>
                        </a:xfrm>
                        <a:prstGeom prst="rect">
                          <a:avLst/>
                        </a:prstGeom>
                        <a:solidFill>
                          <a:srgbClr val="FFFFFF"/>
                        </a:solidFill>
                        <a:ln>
                          <a:noFill/>
                        </a:ln>
                      </wps:spPr>
                      <wps:txbx>
                        <w:txbxContent>
                          <w:p/>
                        </w:txbxContent>
                      </wps:txbx>
                      <wps:bodyPr upright="1"/>
                    </wps:wsp>
                  </a:graphicData>
                </a:graphic>
              </wp:anchor>
            </w:drawing>
          </mc:Choice>
          <mc:Fallback>
            <w:pict>
              <v:shape id="文本框 6" o:spid="_x0000_s1026" o:spt="202" type="#_x0000_t202" style="position:absolute;left:0pt;margin-left:358.85pt;margin-top:648.45pt;height:17.75pt;width:75pt;z-index:251663360;mso-width-relative:page;mso-height-relative:page;" fillcolor="#FFFFFF" filled="t" stroked="f" coordsize="21600,21600" o:gfxdata="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4eFmrZAAAADQEAAA8AAAAAAAAAAQAgAAAAIgAAAGRycy9kb3ducmV2Lnht&#10;bFBLAQIUABQAAAAIAIdO4kCPbB9LvwEAAHYDAAAOAAAAAAAAAAEAIAAAACgBAABkcnMvZTJvRG9j&#10;LnhtbFBLBQYAAAAABgAGAFkBAABZBQAAAAA=&#10;">
                <v:fill on="t" focussize="0,0"/>
                <v:stroke on="f"/>
                <v:imagedata o:title=""/>
                <o:lock v:ext="edit" aspectratio="f"/>
                <v:textbox>
                  <w:txbxContent>
                    <w:p/>
                  </w:txbxContent>
                </v:textbox>
              </v:shape>
            </w:pict>
          </mc:Fallback>
        </mc:AlternateContent>
      </w:r>
    </w:p>
    <w:tbl>
      <w:tblPr>
        <w:tblStyle w:val="15"/>
        <w:tblpPr w:leftFromText="180" w:rightFromText="180" w:vertAnchor="text" w:horzAnchor="page" w:tblpXSpec="center" w:tblpY="11535"/>
        <w:tblW w:w="8401" w:type="dxa"/>
        <w:jc w:val="center"/>
        <w:tblLayout w:type="fixed"/>
        <w:tblCellMar>
          <w:top w:w="0" w:type="dxa"/>
          <w:left w:w="108" w:type="dxa"/>
          <w:bottom w:w="0" w:type="dxa"/>
          <w:right w:w="108" w:type="dxa"/>
        </w:tblCellMar>
      </w:tblPr>
      <w:tblGrid>
        <w:gridCol w:w="8401"/>
      </w:tblGrid>
      <w:tr>
        <w:tblPrEx>
          <w:tblCellMar>
            <w:top w:w="0" w:type="dxa"/>
            <w:left w:w="108" w:type="dxa"/>
            <w:bottom w:w="0" w:type="dxa"/>
            <w:right w:w="108" w:type="dxa"/>
          </w:tblCellMar>
        </w:tblPrEx>
        <w:trPr>
          <w:trHeight w:val="517" w:hRule="atLeast"/>
          <w:jc w:val="center"/>
        </w:trPr>
        <w:tc>
          <w:tcPr>
            <w:tcW w:w="8401"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bidi w:val="0"/>
              <w:spacing w:line="560" w:lineRule="exact"/>
              <w:textAlignment w:val="auto"/>
              <w:rPr>
                <w:rFonts w:hint="eastAsia" w:ascii="仿宋_GB2312" w:eastAsia="仿宋_GB2312"/>
                <w:color w:val="auto"/>
                <w:sz w:val="28"/>
                <w:szCs w:val="28"/>
              </w:rPr>
            </w:pPr>
            <w:r>
              <w:rPr>
                <w:rFonts w:hint="eastAsia" w:ascii="仿宋_GB2312" w:eastAsia="仿宋_GB2312"/>
                <w:color w:val="auto"/>
                <w:sz w:val="28"/>
                <w:szCs w:val="28"/>
              </w:rPr>
              <w:t xml:space="preserve">深圳市深汕特别合作区党政办公室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19</w:t>
            </w:r>
            <w:r>
              <w:rPr>
                <w:rFonts w:hint="eastAsia" w:ascii="仿宋_GB2312" w:eastAsia="仿宋_GB2312"/>
                <w:color w:val="auto"/>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eastAsia"/>
          <w:color w:val="auto"/>
        </w:rPr>
      </w:pPr>
      <w:r>
        <w:rPr>
          <w:color w:val="auto"/>
          <w:sz w:val="20"/>
        </w:rP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7810500</wp:posOffset>
                </wp:positionV>
                <wp:extent cx="952500" cy="225425"/>
                <wp:effectExtent l="0" t="0" r="0" b="3175"/>
                <wp:wrapNone/>
                <wp:docPr id="3" name="文本框 5"/>
                <wp:cNvGraphicFramePr/>
                <a:graphic xmlns:a="http://schemas.openxmlformats.org/drawingml/2006/main">
                  <a:graphicData uri="http://schemas.microsoft.com/office/word/2010/wordprocessingShape">
                    <wps:wsp>
                      <wps:cNvSpPr txBox="1"/>
                      <wps:spPr>
                        <a:xfrm>
                          <a:off x="0" y="0"/>
                          <a:ext cx="952500" cy="225425"/>
                        </a:xfrm>
                        <a:prstGeom prst="rect">
                          <a:avLst/>
                        </a:prstGeom>
                        <a:solidFill>
                          <a:srgbClr val="FFFFFF"/>
                        </a:solidFill>
                        <a:ln>
                          <a:noFill/>
                        </a:ln>
                      </wps:spPr>
                      <wps:txbx>
                        <w:txbxContent>
                          <w:p/>
                        </w:txbxContent>
                      </wps:txbx>
                      <wps:bodyPr upright="1"/>
                    </wps:wsp>
                  </a:graphicData>
                </a:graphic>
              </wp:anchor>
            </w:drawing>
          </mc:Choice>
          <mc:Fallback>
            <w:pict>
              <v:shape id="文本框 5" o:spid="_x0000_s1026" o:spt="202" type="#_x0000_t202" style="position:absolute;left:0pt;margin-left:7.1pt;margin-top:615pt;height:17.75pt;width:75pt;z-index:251662336;mso-width-relative:page;mso-height-relative:page;" fillcolor="#FFFFFF" filled="t" stroked="f" coordsize="21600,21600" o:gfxdata="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YL4lr1gAAAAwBAAAPAAAAAAAAAAEAIAAAACIAAABkcnMvZG93bnJldi54bWxQ&#10;SwECFAAUAAAACACHTuJAVT0vF8ABAAB2AwAADgAAAAAAAAABACAAAAAlAQAAZHJzL2Uyb0RvYy54&#10;bWxQSwUGAAAAAAYABgBZAQAAVwUAAAAA&#10;">
                <v:fill on="t" focussize="0,0"/>
                <v:stroke on="f"/>
                <v:imagedata o:title=""/>
                <o:lock v:ext="edit" aspectratio="f"/>
                <v:textbox>
                  <w:txbxContent>
                    <w:p/>
                  </w:txbxContent>
                </v:textbox>
              </v:shape>
            </w:pict>
          </mc:Fallback>
        </mc:AlternateContent>
      </w:r>
      <w:r>
        <w:rPr>
          <w:color w:val="auto"/>
          <w:sz w:val="20"/>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8229600</wp:posOffset>
                </wp:positionV>
                <wp:extent cx="952500" cy="225425"/>
                <wp:effectExtent l="0" t="0" r="0" b="3175"/>
                <wp:wrapNone/>
                <wp:docPr id="1" name="文本框 2"/>
                <wp:cNvGraphicFramePr/>
                <a:graphic xmlns:a="http://schemas.openxmlformats.org/drawingml/2006/main">
                  <a:graphicData uri="http://schemas.microsoft.com/office/word/2010/wordprocessingShape">
                    <wps:wsp>
                      <wps:cNvSpPr txBox="1"/>
                      <wps:spPr>
                        <a:xfrm>
                          <a:off x="0" y="0"/>
                          <a:ext cx="952500" cy="225425"/>
                        </a:xfrm>
                        <a:prstGeom prst="rect">
                          <a:avLst/>
                        </a:prstGeom>
                        <a:solidFill>
                          <a:srgbClr val="FFFFFF"/>
                        </a:solidFill>
                        <a:ln>
                          <a:noFill/>
                        </a:ln>
                      </wps:spPr>
                      <wps:txbx>
                        <w:txbxContent>
                          <w:p/>
                        </w:txbxContent>
                      </wps:txbx>
                      <wps:bodyPr upright="1"/>
                    </wps:wsp>
                  </a:graphicData>
                </a:graphic>
              </wp:anchor>
            </w:drawing>
          </mc:Choice>
          <mc:Fallback>
            <w:pict>
              <v:shape id="文本框 2" o:spid="_x0000_s1026" o:spt="202" type="#_x0000_t202" style="position:absolute;left:0pt;margin-left:3.35pt;margin-top:648pt;height:17.75pt;width:75pt;z-index:251659264;mso-width-relative:page;mso-height-relative:page;" fillcolor="#FFFFFF" filled="t" stroked="f" coordsize="21600,21600" o:gfxdata="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OzW9f1wAAAAsBAAAPAAAAAAAAAAEAIAAAACIAAABkcnMvZG93bnJldi54bWxQSwEC&#10;FAAUAAAACACHTuJALpuBa7wBAAB2AwAADgAAAAAAAAABACAAAAAmAQAAZHJzL2Uyb0RvYy54bWxQ&#10;SwUGAAAAAAYABgBZAQAAVAUAAAAA&#10;">
                <v:fill on="t" focussize="0,0"/>
                <v:stroke on="f"/>
                <v:imagedata o:title=""/>
                <o:lock v:ext="edit" aspectratio="f"/>
                <v:textbox>
                  <w:txbxContent>
                    <w:p/>
                  </w:txbxContent>
                </v:textbox>
              </v:shape>
            </w:pict>
          </mc:Fallback>
        </mc:AlternateContent>
      </w:r>
      <w:r>
        <w:rPr>
          <w:color w:val="auto"/>
          <w:sz w:val="20"/>
        </w:rPr>
        <mc:AlternateContent>
          <mc:Choice Requires="wps">
            <w:drawing>
              <wp:anchor distT="0" distB="0" distL="114300" distR="114300" simplePos="0" relativeHeight="251661312" behindDoc="0" locked="0" layoutInCell="1" allowOverlap="1">
                <wp:simplePos x="0" y="0"/>
                <wp:positionH relativeFrom="column">
                  <wp:posOffset>4662170</wp:posOffset>
                </wp:positionH>
                <wp:positionV relativeFrom="paragraph">
                  <wp:posOffset>7084695</wp:posOffset>
                </wp:positionV>
                <wp:extent cx="952500" cy="225425"/>
                <wp:effectExtent l="0" t="0" r="0" b="3175"/>
                <wp:wrapNone/>
                <wp:docPr id="2" name="文本框 3"/>
                <wp:cNvGraphicFramePr/>
                <a:graphic xmlns:a="http://schemas.openxmlformats.org/drawingml/2006/main">
                  <a:graphicData uri="http://schemas.microsoft.com/office/word/2010/wordprocessingShape">
                    <wps:wsp>
                      <wps:cNvSpPr txBox="1"/>
                      <wps:spPr>
                        <a:xfrm>
                          <a:off x="0" y="0"/>
                          <a:ext cx="952500" cy="225425"/>
                        </a:xfrm>
                        <a:prstGeom prst="rect">
                          <a:avLst/>
                        </a:prstGeom>
                        <a:solidFill>
                          <a:srgbClr val="FFFFFF"/>
                        </a:solidFill>
                        <a:ln>
                          <a:noFill/>
                        </a:ln>
                      </wps:spPr>
                      <wps:txbx>
                        <w:txbxContent>
                          <w:p/>
                        </w:txbxContent>
                      </wps:txbx>
                      <wps:bodyPr upright="1"/>
                    </wps:wsp>
                  </a:graphicData>
                </a:graphic>
              </wp:anchor>
            </w:drawing>
          </mc:Choice>
          <mc:Fallback>
            <w:pict>
              <v:shape id="文本框 3" o:spid="_x0000_s1026" o:spt="202" type="#_x0000_t202" style="position:absolute;left:0pt;margin-left:367.1pt;margin-top:557.85pt;height:17.75pt;width:75pt;z-index:251661312;mso-width-relative:page;mso-height-relative:page;" fillcolor="#FFFFFF" filled="t" stroked="f" coordsize="21600,21600" o:gfxdata="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n80WV2AAAAA0BAAAPAAAAAAAAAAEAIAAAACIAAABkcnMvZG93bnJldi54bWxQ&#10;SwECFAAUAAAACACHTuJAlq3FQ74BAAB2AwAADgAAAAAAAAABACAAAAAnAQAAZHJzL2Uyb0RvYy54&#10;bWxQSwUGAAAAAAYABgBZAQAAVwUAAAAA&#10;">
                <v:fill on="t" focussize="0,0"/>
                <v:stroke on="f"/>
                <v:imagedata o:title=""/>
                <o:lock v:ext="edit" aspectratio="f"/>
                <v:textbox>
                  <w:txbxContent>
                    <w:p/>
                  </w:txbxContent>
                </v:textbox>
              </v:shape>
            </w:pict>
          </mc:Fallback>
        </mc:AlternateContent>
      </w:r>
    </w:p>
    <w:sectPr>
      <w:headerReference r:id="rId4" w:type="first"/>
      <w:footerReference r:id="rId6" w:type="first"/>
      <w:headerReference r:id="rId3" w:type="default"/>
      <w:footerReference r:id="rId5" w:type="default"/>
      <w:pgSz w:w="11906" w:h="16838"/>
      <w:pgMar w:top="2098" w:right="1474" w:bottom="1984" w:left="1587" w:header="851" w:footer="1587" w:gutter="0"/>
      <w:pgNumType w:fmt="decimal"/>
      <w:cols w:space="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spacing w:beforeLines="0" w:afterLines="0"/>
                            <w:ind w:left="315" w:leftChars="150" w:right="315"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VTCM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GlUwjIAQAAmQMAAA4AAAAAAAAAAQAgAAAAHgEAAGRycy9lMm9Eb2Mu&#10;eG1sUEsFBgAAAAAGAAYAWQEAAFgFAAAAAA==&#10;">
              <v:fill on="f" focussize="0,0"/>
              <v:stroke on="f"/>
              <v:imagedata o:title=""/>
              <o:lock v:ext="edit" aspectratio="f"/>
              <v:textbox inset="0mm,0mm,0mm,0mm" style="mso-fit-shape-to-text:t;">
                <w:txbxContent>
                  <w:p>
                    <w:pPr>
                      <w:snapToGrid w:val="0"/>
                      <w:spacing w:beforeLines="0" w:afterLines="0"/>
                      <w:ind w:left="315" w:leftChars="150" w:right="315"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csfile.szoa.sz.gov.cn//file/download?md5Path=9d67a59162352d4b324374d274246404@22855&amp;webOffice=1&amp;identityId=1F034FB7D73F4CB29307FB1856DCB19E&amp;token=6520e86b1323462db34b010231b2eee2&amp;identityId=1F034FB7D73F4CB29307FB1856DCB19E&amp;wjbh=B202005282&amp;hddyid=LCA010001_HD_05&amp;fileSrcName=2020_05_13_13_42_2_23DB2E1D246515544515F9E70E90C089.docx"/>
  </w:docVars>
  <w:rsids>
    <w:rsidRoot w:val="70EE4AC4"/>
    <w:rsid w:val="00321501"/>
    <w:rsid w:val="00401060"/>
    <w:rsid w:val="00557747"/>
    <w:rsid w:val="00696A4E"/>
    <w:rsid w:val="01026FCB"/>
    <w:rsid w:val="010855B5"/>
    <w:rsid w:val="01917AFC"/>
    <w:rsid w:val="02F371D4"/>
    <w:rsid w:val="039526E1"/>
    <w:rsid w:val="0398101C"/>
    <w:rsid w:val="041012CC"/>
    <w:rsid w:val="046147C2"/>
    <w:rsid w:val="05BB0036"/>
    <w:rsid w:val="06404BFA"/>
    <w:rsid w:val="071A60F3"/>
    <w:rsid w:val="079C51D3"/>
    <w:rsid w:val="07DE5A42"/>
    <w:rsid w:val="08FF5A57"/>
    <w:rsid w:val="092C2FEF"/>
    <w:rsid w:val="09576AFF"/>
    <w:rsid w:val="09B200AC"/>
    <w:rsid w:val="09B56197"/>
    <w:rsid w:val="09F601F3"/>
    <w:rsid w:val="0AAE23B4"/>
    <w:rsid w:val="0CA87C54"/>
    <w:rsid w:val="0D3B29FB"/>
    <w:rsid w:val="0D8468F4"/>
    <w:rsid w:val="0DCC65B0"/>
    <w:rsid w:val="0DE610BA"/>
    <w:rsid w:val="0E784198"/>
    <w:rsid w:val="0EC73393"/>
    <w:rsid w:val="0FAD56B7"/>
    <w:rsid w:val="0FE140F1"/>
    <w:rsid w:val="10017E03"/>
    <w:rsid w:val="10176211"/>
    <w:rsid w:val="10D06361"/>
    <w:rsid w:val="118B1402"/>
    <w:rsid w:val="11A31A8D"/>
    <w:rsid w:val="11DA35C6"/>
    <w:rsid w:val="11F648AE"/>
    <w:rsid w:val="120E497B"/>
    <w:rsid w:val="123710E1"/>
    <w:rsid w:val="12DC4090"/>
    <w:rsid w:val="13E65011"/>
    <w:rsid w:val="145614B7"/>
    <w:rsid w:val="14962FDA"/>
    <w:rsid w:val="14F45C8B"/>
    <w:rsid w:val="1509330D"/>
    <w:rsid w:val="151014E9"/>
    <w:rsid w:val="158E1520"/>
    <w:rsid w:val="15A16D5C"/>
    <w:rsid w:val="15B40089"/>
    <w:rsid w:val="16224C8B"/>
    <w:rsid w:val="16413905"/>
    <w:rsid w:val="174839F3"/>
    <w:rsid w:val="17E27E7F"/>
    <w:rsid w:val="18423557"/>
    <w:rsid w:val="193B442D"/>
    <w:rsid w:val="1ADD2159"/>
    <w:rsid w:val="1BA761AC"/>
    <w:rsid w:val="1BBD0824"/>
    <w:rsid w:val="1BEA4DD4"/>
    <w:rsid w:val="1C011674"/>
    <w:rsid w:val="1D5E72E5"/>
    <w:rsid w:val="1D695C43"/>
    <w:rsid w:val="1DE461CC"/>
    <w:rsid w:val="1E124BF0"/>
    <w:rsid w:val="1E462307"/>
    <w:rsid w:val="1ECD52F0"/>
    <w:rsid w:val="20285BDC"/>
    <w:rsid w:val="21253675"/>
    <w:rsid w:val="22936005"/>
    <w:rsid w:val="23394840"/>
    <w:rsid w:val="23B17F51"/>
    <w:rsid w:val="23E47633"/>
    <w:rsid w:val="240757AB"/>
    <w:rsid w:val="24A6067C"/>
    <w:rsid w:val="24D550FE"/>
    <w:rsid w:val="25155BE4"/>
    <w:rsid w:val="281F0DDC"/>
    <w:rsid w:val="284048F6"/>
    <w:rsid w:val="289B1CA2"/>
    <w:rsid w:val="294128FE"/>
    <w:rsid w:val="29460BAC"/>
    <w:rsid w:val="2981736B"/>
    <w:rsid w:val="298605CA"/>
    <w:rsid w:val="2B4D797C"/>
    <w:rsid w:val="2B6C6DA2"/>
    <w:rsid w:val="2BA50BDC"/>
    <w:rsid w:val="2BEC16A2"/>
    <w:rsid w:val="2D036CAF"/>
    <w:rsid w:val="2DCD7B22"/>
    <w:rsid w:val="2DED73A9"/>
    <w:rsid w:val="2E642494"/>
    <w:rsid w:val="2F5367EF"/>
    <w:rsid w:val="3223446F"/>
    <w:rsid w:val="32655057"/>
    <w:rsid w:val="32DC390E"/>
    <w:rsid w:val="332F0053"/>
    <w:rsid w:val="3422238E"/>
    <w:rsid w:val="34C154D0"/>
    <w:rsid w:val="34C3200E"/>
    <w:rsid w:val="34FC3ED1"/>
    <w:rsid w:val="353C234A"/>
    <w:rsid w:val="358A1197"/>
    <w:rsid w:val="36982210"/>
    <w:rsid w:val="38066C71"/>
    <w:rsid w:val="38CB6014"/>
    <w:rsid w:val="38D272FC"/>
    <w:rsid w:val="3A0401C5"/>
    <w:rsid w:val="3A897073"/>
    <w:rsid w:val="3A904A1D"/>
    <w:rsid w:val="3A96102E"/>
    <w:rsid w:val="3A9F5ED4"/>
    <w:rsid w:val="3B7D4BDB"/>
    <w:rsid w:val="3BAE2135"/>
    <w:rsid w:val="3C0135C8"/>
    <w:rsid w:val="3C874E4F"/>
    <w:rsid w:val="3D3F4AB6"/>
    <w:rsid w:val="3D8C031E"/>
    <w:rsid w:val="3E4E1EFB"/>
    <w:rsid w:val="3EA071E3"/>
    <w:rsid w:val="3F02780E"/>
    <w:rsid w:val="3FC727BA"/>
    <w:rsid w:val="3FE47922"/>
    <w:rsid w:val="40746F2D"/>
    <w:rsid w:val="407A2015"/>
    <w:rsid w:val="41226DA5"/>
    <w:rsid w:val="414A6376"/>
    <w:rsid w:val="42567356"/>
    <w:rsid w:val="42E01918"/>
    <w:rsid w:val="4329003B"/>
    <w:rsid w:val="43A5201A"/>
    <w:rsid w:val="44FF1485"/>
    <w:rsid w:val="45004F9D"/>
    <w:rsid w:val="456B43B3"/>
    <w:rsid w:val="45D93A39"/>
    <w:rsid w:val="46865691"/>
    <w:rsid w:val="468A51CD"/>
    <w:rsid w:val="47083718"/>
    <w:rsid w:val="482D7065"/>
    <w:rsid w:val="48573DE6"/>
    <w:rsid w:val="49684722"/>
    <w:rsid w:val="4A497275"/>
    <w:rsid w:val="4AD4081D"/>
    <w:rsid w:val="4C0237F5"/>
    <w:rsid w:val="4C41230C"/>
    <w:rsid w:val="4D487CFD"/>
    <w:rsid w:val="4D7548FF"/>
    <w:rsid w:val="4D8A5DEA"/>
    <w:rsid w:val="4D943D40"/>
    <w:rsid w:val="4DC366F9"/>
    <w:rsid w:val="4E361757"/>
    <w:rsid w:val="4E5849F3"/>
    <w:rsid w:val="4EB14695"/>
    <w:rsid w:val="4EB8157D"/>
    <w:rsid w:val="4FCD3BDD"/>
    <w:rsid w:val="4FD62619"/>
    <w:rsid w:val="519A6C4F"/>
    <w:rsid w:val="51F01A41"/>
    <w:rsid w:val="52472908"/>
    <w:rsid w:val="539F391A"/>
    <w:rsid w:val="547D574A"/>
    <w:rsid w:val="54C54F54"/>
    <w:rsid w:val="5507094D"/>
    <w:rsid w:val="55494388"/>
    <w:rsid w:val="554D6F0E"/>
    <w:rsid w:val="569C2715"/>
    <w:rsid w:val="56D90A68"/>
    <w:rsid w:val="56EB6782"/>
    <w:rsid w:val="57186E3C"/>
    <w:rsid w:val="581048D5"/>
    <w:rsid w:val="58AE3A79"/>
    <w:rsid w:val="595525EB"/>
    <w:rsid w:val="5B78780F"/>
    <w:rsid w:val="5B8E7AC3"/>
    <w:rsid w:val="5C2D0BB4"/>
    <w:rsid w:val="5C620CF5"/>
    <w:rsid w:val="5D48461D"/>
    <w:rsid w:val="5D6C36B0"/>
    <w:rsid w:val="5DB472B1"/>
    <w:rsid w:val="5DB63F25"/>
    <w:rsid w:val="5E456DD7"/>
    <w:rsid w:val="5E832F0E"/>
    <w:rsid w:val="603C6170"/>
    <w:rsid w:val="609B29E7"/>
    <w:rsid w:val="60AA1275"/>
    <w:rsid w:val="61AC5C7E"/>
    <w:rsid w:val="646E2CFC"/>
    <w:rsid w:val="64DA4E95"/>
    <w:rsid w:val="657E0199"/>
    <w:rsid w:val="65CA557B"/>
    <w:rsid w:val="66A455EF"/>
    <w:rsid w:val="67012837"/>
    <w:rsid w:val="67034220"/>
    <w:rsid w:val="671A4860"/>
    <w:rsid w:val="67A82554"/>
    <w:rsid w:val="67BF36D1"/>
    <w:rsid w:val="67F149A6"/>
    <w:rsid w:val="68015390"/>
    <w:rsid w:val="68262B0C"/>
    <w:rsid w:val="69362590"/>
    <w:rsid w:val="698550D7"/>
    <w:rsid w:val="6C250ECA"/>
    <w:rsid w:val="6E1303A4"/>
    <w:rsid w:val="6F86296E"/>
    <w:rsid w:val="70EE4AC4"/>
    <w:rsid w:val="71CC480C"/>
    <w:rsid w:val="71E06285"/>
    <w:rsid w:val="71E86D2E"/>
    <w:rsid w:val="71F20C15"/>
    <w:rsid w:val="73116D7F"/>
    <w:rsid w:val="736409F4"/>
    <w:rsid w:val="74A0435A"/>
    <w:rsid w:val="74A765F3"/>
    <w:rsid w:val="75144638"/>
    <w:rsid w:val="75B00633"/>
    <w:rsid w:val="76E068DF"/>
    <w:rsid w:val="774B348B"/>
    <w:rsid w:val="77C86065"/>
    <w:rsid w:val="78657B1D"/>
    <w:rsid w:val="792327AB"/>
    <w:rsid w:val="794F0326"/>
    <w:rsid w:val="79985A4F"/>
    <w:rsid w:val="7BE610C0"/>
    <w:rsid w:val="7CDF4B58"/>
    <w:rsid w:val="7D592ED2"/>
    <w:rsid w:val="7E320CC4"/>
    <w:rsid w:val="7E336483"/>
    <w:rsid w:val="7EAA4537"/>
    <w:rsid w:val="7EDE1782"/>
    <w:rsid w:val="7F3B69B9"/>
    <w:rsid w:val="7F916B93"/>
    <w:rsid w:val="DEF6AF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ind w:firstLine="0" w:firstLineChars="0"/>
      <w:jc w:val="center"/>
      <w:outlineLvl w:val="0"/>
    </w:pPr>
    <w:rPr>
      <w:rFonts w:hint="eastAsia" w:ascii="宋体" w:hAnsi="宋体" w:eastAsia="宋体" w:cs="宋体"/>
      <w:b/>
      <w:kern w:val="44"/>
      <w:sz w:val="44"/>
      <w:szCs w:val="48"/>
      <w:lang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tabs>
        <w:tab w:val="left" w:pos="2138"/>
      </w:tabs>
      <w:snapToGrid w:val="0"/>
      <w:spacing w:line="360" w:lineRule="auto"/>
    </w:pPr>
    <w:rPr>
      <w:rFonts w:ascii="宋体"/>
      <w:kern w:val="10"/>
      <w:sz w:val="20"/>
    </w:rPr>
  </w:style>
  <w:style w:type="paragraph" w:styleId="3">
    <w:name w:val="Title"/>
    <w:basedOn w:val="1"/>
    <w:next w:val="1"/>
    <w:qFormat/>
    <w:uiPriority w:val="10"/>
    <w:pPr>
      <w:adjustRightInd w:val="0"/>
      <w:snapToGrid w:val="0"/>
      <w:spacing w:line="560" w:lineRule="exact"/>
      <w:jc w:val="center"/>
      <w:outlineLvl w:val="0"/>
    </w:pPr>
    <w:rPr>
      <w:rFonts w:ascii="Cambria" w:hAnsi="Cambria" w:eastAsia="方正小标宋简体"/>
      <w:bCs/>
      <w:sz w:val="44"/>
      <w:szCs w:val="32"/>
    </w:rPr>
  </w:style>
  <w:style w:type="paragraph" w:styleId="5">
    <w:name w:val="index 8"/>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99"/>
    <w:pPr>
      <w:widowControl/>
      <w:ind w:firstLine="560"/>
      <w:jc w:val="left"/>
    </w:pPr>
    <w:rPr>
      <w:rFonts w:ascii="宋体" w:hAnsi="Times New Roman"/>
      <w:sz w:val="28"/>
    </w:rPr>
  </w:style>
  <w:style w:type="paragraph" w:styleId="7">
    <w:name w:val="Body Text Indent"/>
    <w:basedOn w:val="1"/>
    <w:qFormat/>
    <w:uiPriority w:val="0"/>
    <w:pPr>
      <w:spacing w:line="380" w:lineRule="atLeast"/>
      <w:ind w:firstLine="420" w:firstLineChars="200"/>
      <w:jc w:val="left"/>
    </w:pPr>
    <w:rPr>
      <w:rFonts w:ascii="宋体" w:hAnsi="宋体"/>
    </w:rPr>
  </w:style>
  <w:style w:type="paragraph" w:styleId="8">
    <w:name w:val="Plain Text"/>
    <w:next w:val="5"/>
    <w:qFormat/>
    <w:uiPriority w:val="0"/>
    <w:pPr>
      <w:widowControl w:val="0"/>
      <w:spacing w:line="240" w:lineRule="auto"/>
      <w:jc w:val="both"/>
    </w:pPr>
    <w:rPr>
      <w:rFonts w:ascii="宋体" w:hAnsi="Courier New" w:eastAsia="宋体" w:cs="Times New Roman"/>
      <w:kern w:val="2"/>
      <w:sz w:val="21"/>
      <w:szCs w:val="21"/>
      <w:lang w:val="en-US" w:eastAsia="zh-CN" w:bidi="ar-SA"/>
    </w:rPr>
  </w:style>
  <w:style w:type="paragraph" w:styleId="9">
    <w:name w:val="Body Text Indent 2"/>
    <w:basedOn w:val="1"/>
    <w:qFormat/>
    <w:uiPriority w:val="0"/>
    <w:pPr>
      <w:ind w:firstLine="570"/>
    </w:pPr>
    <w:rPr>
      <w:rFonts w:ascii="宋体" w:hAnsi="宋体" w:eastAsia="宋体"/>
      <w:b/>
      <w:bCs/>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rPr>
      <w:rFonts w:ascii="Calibri" w:hAnsi="Calibri" w:eastAsia="宋体" w:cs="Times New Roman"/>
    </w:rPr>
  </w:style>
  <w:style w:type="paragraph" w:styleId="13">
    <w:name w:val="Normal (Web)"/>
    <w:basedOn w:val="1"/>
    <w:unhideWhenUsed/>
    <w:qFormat/>
    <w:uiPriority w:val="99"/>
    <w:pPr>
      <w:spacing w:beforeAutospacing="1" w:afterAutospacing="1"/>
      <w:jc w:val="left"/>
    </w:pPr>
    <w:rPr>
      <w:kern w:val="0"/>
      <w:sz w:val="24"/>
    </w:rPr>
  </w:style>
  <w:style w:type="paragraph" w:styleId="14">
    <w:name w:val="Body Text First Indent 2"/>
    <w:qFormat/>
    <w:uiPriority w:val="0"/>
    <w:pPr>
      <w:widowControl w:val="0"/>
      <w:spacing w:after="120"/>
      <w:ind w:left="420" w:leftChars="200" w:firstLine="420" w:firstLineChars="200"/>
      <w:jc w:val="both"/>
    </w:pPr>
    <w:rPr>
      <w:rFonts w:ascii="Calibri" w:hAnsi="Calibri" w:eastAsia="仿宋_GB2312" w:cs="Times New Roman"/>
      <w:kern w:val="2"/>
      <w:sz w:val="32"/>
      <w:szCs w:val="22"/>
      <w:lang w:val="en-US" w:eastAsia="zh-CN" w:bidi="ar-SA"/>
    </w:rPr>
  </w:style>
  <w:style w:type="character" w:styleId="17">
    <w:name w:val="Hyperlink"/>
    <w:unhideWhenUsed/>
    <w:qFormat/>
    <w:uiPriority w:val="99"/>
    <w:rPr>
      <w:color w:val="0000FF"/>
      <w:u w:val="single"/>
    </w:rPr>
  </w:style>
  <w:style w:type="paragraph" w:customStyle="1" w:styleId="18">
    <w:name w:val="Body Text First Indent 21"/>
    <w:basedOn w:val="19"/>
    <w:qFormat/>
    <w:uiPriority w:val="0"/>
    <w:pPr>
      <w:spacing w:line="360" w:lineRule="auto"/>
    </w:pPr>
    <w:rPr>
      <w:rFonts w:eastAsia="宋体"/>
      <w:sz w:val="24"/>
    </w:rPr>
  </w:style>
  <w:style w:type="paragraph" w:customStyle="1" w:styleId="19">
    <w:name w:val="Body Text Indent1"/>
    <w:basedOn w:val="1"/>
    <w:qFormat/>
    <w:uiPriority w:val="0"/>
    <w:pPr>
      <w:spacing w:line="150" w:lineRule="atLeast"/>
      <w:ind w:firstLine="420" w:firstLineChars="200"/>
      <w:textAlignment w:val="baseline"/>
    </w:pPr>
  </w:style>
  <w:style w:type="paragraph" w:customStyle="1" w:styleId="20">
    <w:name w:val="Normal_0"/>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szf</Company>
  <Pages>1</Pages>
  <Words>0</Words>
  <Characters>0</Characters>
  <Lines>0</Lines>
  <Paragraphs>0</Paragraphs>
  <TotalTime>8</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2020-05-12T17:15:00Z</dcterms:created>
  <dc:creator>蓝梦</dc:creator>
  <cp:lastModifiedBy>SZNEWS</cp:lastModifiedBy>
  <cp:lastPrinted>2022-04-21T17:51:00Z</cp:lastPrinted>
  <dcterms:modified xsi:type="dcterms:W3CDTF">2022-05-27T07:40:56Z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3C109EE3EC204526A0E5DC4EFA343178</vt:lpwstr>
  </property>
</Properties>
</file>