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等线" w:hAnsi="等线" w:eastAsia="等线"/>
          <w:color w:val="auto"/>
          <w:sz w:val="28"/>
          <w:szCs w:val="28"/>
          <w:highlight w:val="none"/>
        </w:rPr>
      </w:pPr>
    </w:p>
    <w:p>
      <w:pPr>
        <w:spacing w:line="600" w:lineRule="exact"/>
        <w:jc w:val="center"/>
        <w:rPr>
          <w:rFonts w:hint="eastAsia" w:ascii="方正小标宋简体" w:hAnsi="方正小标宋简体" w:eastAsia="方正小标宋简体" w:cs="方正小标宋简体"/>
          <w:b w:val="0"/>
          <w:bCs w:val="0"/>
          <w:color w:val="auto"/>
          <w:sz w:val="44"/>
          <w:szCs w:val="44"/>
          <w:highlight w:val="none"/>
        </w:rPr>
      </w:pPr>
      <w:bookmarkStart w:id="0" w:name="_GoBack"/>
      <w:r>
        <w:rPr>
          <w:rFonts w:hint="eastAsia" w:ascii="方正小标宋简体" w:hAnsi="方正小标宋简体" w:eastAsia="方正小标宋简体" w:cs="方正小标宋简体"/>
          <w:b w:val="0"/>
          <w:bCs w:val="0"/>
          <w:color w:val="auto"/>
          <w:sz w:val="44"/>
          <w:szCs w:val="44"/>
          <w:highlight w:val="none"/>
        </w:rPr>
        <w:t>对代建项目的监督检查内容表</w:t>
      </w:r>
      <w:bookmarkEnd w:id="0"/>
    </w:p>
    <w:p>
      <w:pPr>
        <w:pStyle w:val="2"/>
        <w:rPr>
          <w:rFonts w:hint="eastAsia"/>
        </w:rPr>
      </w:pP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2093"/>
        <w:gridCol w:w="6095"/>
        <w:gridCol w:w="1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noWrap w:val="0"/>
            <w:vAlign w:val="center"/>
          </w:tcPr>
          <w:p>
            <w:pPr>
              <w:spacing w:line="400" w:lineRule="exact"/>
              <w:jc w:val="center"/>
              <w:rPr>
                <w:rFonts w:hint="eastAsia" w:ascii="仿宋_GB2312" w:hAnsi="仿宋_GB2312" w:eastAsia="仿宋_GB2312" w:cs="仿宋_GB2312"/>
                <w:b/>
                <w:bCs/>
                <w:color w:val="auto"/>
                <w:sz w:val="24"/>
                <w:szCs w:val="24"/>
                <w:highlight w:val="none"/>
              </w:rPr>
            </w:pPr>
            <w:r>
              <w:rPr>
                <w:rFonts w:hint="eastAsia" w:ascii="仿宋_GB2312" w:hAnsi="仿宋_GB2312" w:eastAsia="仿宋_GB2312" w:cs="仿宋_GB2312"/>
                <w:b/>
                <w:bCs/>
                <w:color w:val="auto"/>
                <w:sz w:val="24"/>
                <w:szCs w:val="24"/>
                <w:highlight w:val="none"/>
              </w:rPr>
              <w:t>方面</w:t>
            </w:r>
          </w:p>
        </w:tc>
        <w:tc>
          <w:tcPr>
            <w:tcW w:w="2093" w:type="dxa"/>
            <w:noWrap w:val="0"/>
            <w:vAlign w:val="center"/>
          </w:tcPr>
          <w:p>
            <w:pPr>
              <w:spacing w:line="400" w:lineRule="exact"/>
              <w:jc w:val="center"/>
              <w:rPr>
                <w:rFonts w:hint="eastAsia" w:ascii="仿宋_GB2312" w:hAnsi="仿宋_GB2312" w:eastAsia="仿宋_GB2312" w:cs="仿宋_GB2312"/>
                <w:b/>
                <w:bCs/>
                <w:color w:val="auto"/>
                <w:sz w:val="24"/>
                <w:szCs w:val="24"/>
                <w:highlight w:val="none"/>
              </w:rPr>
            </w:pPr>
            <w:r>
              <w:rPr>
                <w:rFonts w:hint="eastAsia" w:ascii="仿宋_GB2312" w:hAnsi="仿宋_GB2312" w:eastAsia="仿宋_GB2312" w:cs="仿宋_GB2312"/>
                <w:b/>
                <w:bCs/>
                <w:color w:val="auto"/>
                <w:sz w:val="24"/>
                <w:szCs w:val="24"/>
                <w:highlight w:val="none"/>
              </w:rPr>
              <w:t>监督检查内容</w:t>
            </w:r>
          </w:p>
        </w:tc>
        <w:tc>
          <w:tcPr>
            <w:tcW w:w="6095" w:type="dxa"/>
            <w:noWrap w:val="0"/>
            <w:vAlign w:val="center"/>
          </w:tcPr>
          <w:p>
            <w:pPr>
              <w:spacing w:line="400" w:lineRule="exact"/>
              <w:jc w:val="center"/>
              <w:rPr>
                <w:rFonts w:hint="eastAsia" w:ascii="仿宋_GB2312" w:hAnsi="仿宋_GB2312" w:eastAsia="仿宋_GB2312" w:cs="仿宋_GB2312"/>
                <w:b/>
                <w:bCs/>
                <w:color w:val="auto"/>
                <w:sz w:val="24"/>
                <w:szCs w:val="24"/>
                <w:highlight w:val="none"/>
              </w:rPr>
            </w:pPr>
            <w:r>
              <w:rPr>
                <w:rFonts w:hint="eastAsia" w:ascii="仿宋_GB2312" w:hAnsi="仿宋_GB2312" w:eastAsia="仿宋_GB2312" w:cs="仿宋_GB2312"/>
                <w:b/>
                <w:bCs/>
                <w:color w:val="auto"/>
                <w:sz w:val="24"/>
                <w:szCs w:val="24"/>
                <w:highlight w:val="none"/>
              </w:rPr>
              <w:t>具体违规情况</w:t>
            </w:r>
          </w:p>
        </w:tc>
        <w:tc>
          <w:tcPr>
            <w:tcW w:w="1186" w:type="dxa"/>
            <w:noWrap w:val="0"/>
            <w:vAlign w:val="center"/>
          </w:tcPr>
          <w:p>
            <w:pPr>
              <w:spacing w:line="400" w:lineRule="exact"/>
              <w:jc w:val="center"/>
              <w:rPr>
                <w:rFonts w:hint="eastAsia" w:ascii="仿宋_GB2312" w:hAnsi="仿宋_GB2312" w:eastAsia="仿宋_GB2312" w:cs="仿宋_GB2312"/>
                <w:b/>
                <w:bCs/>
                <w:color w:val="auto"/>
                <w:sz w:val="24"/>
                <w:szCs w:val="24"/>
                <w:highlight w:val="none"/>
              </w:rPr>
            </w:pPr>
            <w:r>
              <w:rPr>
                <w:rFonts w:hint="eastAsia" w:ascii="仿宋_GB2312" w:hAnsi="仿宋_GB2312" w:eastAsia="仿宋_GB2312" w:cs="仿宋_GB2312"/>
                <w:b/>
                <w:bCs/>
                <w:color w:val="auto"/>
                <w:sz w:val="24"/>
                <w:szCs w:val="24"/>
                <w:highlight w:val="none"/>
              </w:rPr>
              <w:t>监督检查结果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vMerge w:val="restart"/>
            <w:noWrap w:val="0"/>
            <w:vAlign w:val="center"/>
          </w:tcPr>
          <w:p>
            <w:pPr>
              <w:spacing w:line="400" w:lineRule="exact"/>
              <w:jc w:val="center"/>
              <w:rPr>
                <w:rFonts w:hint="eastAsia" w:ascii="仿宋_GB2312" w:hAnsi="仿宋_GB2312" w:eastAsia="仿宋_GB2312" w:cs="仿宋_GB2312"/>
                <w:b/>
                <w:bCs/>
                <w:color w:val="auto"/>
                <w:sz w:val="24"/>
                <w:szCs w:val="24"/>
                <w:highlight w:val="none"/>
              </w:rPr>
            </w:pPr>
            <w:r>
              <w:rPr>
                <w:rFonts w:hint="eastAsia" w:ascii="仿宋_GB2312" w:hAnsi="仿宋_GB2312" w:eastAsia="仿宋_GB2312" w:cs="仿宋_GB2312"/>
                <w:color w:val="auto"/>
                <w:sz w:val="24"/>
                <w:szCs w:val="28"/>
                <w:highlight w:val="none"/>
              </w:rPr>
              <w:t>合同签订</w:t>
            </w:r>
          </w:p>
        </w:tc>
        <w:tc>
          <w:tcPr>
            <w:tcW w:w="2093" w:type="dxa"/>
            <w:noWrap w:val="0"/>
            <w:vAlign w:val="center"/>
          </w:tcPr>
          <w:p>
            <w:pPr>
              <w:spacing w:line="400" w:lineRule="exact"/>
              <w:rPr>
                <w:rFonts w:hint="eastAsia" w:ascii="仿宋_GB2312" w:hAnsi="仿宋_GB2312" w:eastAsia="仿宋_GB2312" w:cs="仿宋_GB2312"/>
                <w:b/>
                <w:bCs/>
                <w:color w:val="auto"/>
                <w:sz w:val="24"/>
                <w:szCs w:val="24"/>
                <w:highlight w:val="none"/>
              </w:rPr>
            </w:pPr>
            <w:r>
              <w:rPr>
                <w:rFonts w:hint="eastAsia" w:ascii="仿宋_GB2312" w:hAnsi="仿宋_GB2312" w:eastAsia="仿宋_GB2312" w:cs="仿宋_GB2312"/>
                <w:color w:val="auto"/>
                <w:sz w:val="24"/>
                <w:szCs w:val="28"/>
                <w:highlight w:val="none"/>
              </w:rPr>
              <w:t>履约保函或履约保证金到位情况。代建单位应当在代建合同签订前，按投标承诺的额度向委托单位提交履约保函或履约保证金。</w:t>
            </w:r>
          </w:p>
        </w:tc>
        <w:tc>
          <w:tcPr>
            <w:tcW w:w="6095" w:type="dxa"/>
            <w:noWrap w:val="0"/>
            <w:vAlign w:val="center"/>
          </w:tcPr>
          <w:p>
            <w:pPr>
              <w:spacing w:line="400" w:lineRule="exact"/>
              <w:rPr>
                <w:rFonts w:hint="eastAsia" w:ascii="仿宋_GB2312" w:hAnsi="仿宋_GB2312" w:eastAsia="仿宋_GB2312" w:cs="仿宋_GB2312"/>
                <w:color w:val="auto"/>
                <w:sz w:val="24"/>
                <w:szCs w:val="28"/>
                <w:highlight w:val="none"/>
              </w:rPr>
            </w:pPr>
            <w:r>
              <w:rPr>
                <w:rFonts w:hint="eastAsia" w:ascii="仿宋_GB2312" w:hAnsi="仿宋_GB2312" w:eastAsia="仿宋_GB2312" w:cs="仿宋_GB2312"/>
                <w:color w:val="auto"/>
                <w:sz w:val="24"/>
                <w:szCs w:val="28"/>
                <w:highlight w:val="none"/>
              </w:rPr>
              <w:t>根据代建合同备案审查情况、使用单位反映情况和检查现场情况。</w:t>
            </w:r>
          </w:p>
          <w:p>
            <w:pPr>
              <w:spacing w:line="400" w:lineRule="exact"/>
              <w:rPr>
                <w:rFonts w:hint="eastAsia" w:ascii="仿宋_GB2312" w:hAnsi="仿宋_GB2312" w:eastAsia="仿宋_GB2312" w:cs="仿宋_GB2312"/>
                <w:color w:val="auto"/>
                <w:sz w:val="24"/>
                <w:szCs w:val="28"/>
                <w:highlight w:val="none"/>
              </w:rPr>
            </w:pPr>
            <w:r>
              <w:rPr>
                <w:rFonts w:hint="eastAsia" w:ascii="仿宋_GB2312" w:hAnsi="仿宋_GB2312" w:eastAsia="仿宋_GB2312" w:cs="仿宋_GB2312"/>
                <w:color w:val="auto"/>
                <w:sz w:val="24"/>
                <w:szCs w:val="28"/>
                <w:highlight w:val="none"/>
                <w:lang w:val="en-US" w:eastAsia="zh-CN"/>
              </w:rPr>
              <w:t>1.</w:t>
            </w:r>
            <w:r>
              <w:rPr>
                <w:rFonts w:hint="eastAsia" w:ascii="仿宋_GB2312" w:hAnsi="仿宋_GB2312" w:eastAsia="仿宋_GB2312" w:cs="仿宋_GB2312"/>
                <w:color w:val="auto"/>
                <w:sz w:val="24"/>
                <w:szCs w:val="28"/>
                <w:highlight w:val="none"/>
              </w:rPr>
              <w:t>未在规定时间内提供履约保函或履约保证金或未提交投标承诺足额的履约保函或履约保证金；</w:t>
            </w:r>
          </w:p>
          <w:p>
            <w:pPr>
              <w:spacing w:line="400" w:lineRule="exact"/>
              <w:rPr>
                <w:rFonts w:hint="eastAsia" w:ascii="仿宋_GB2312" w:hAnsi="仿宋_GB2312" w:eastAsia="仿宋_GB2312" w:cs="仿宋_GB2312"/>
                <w:b/>
                <w:bCs/>
                <w:color w:val="auto"/>
                <w:sz w:val="24"/>
                <w:szCs w:val="24"/>
                <w:highlight w:val="none"/>
              </w:rPr>
            </w:pPr>
            <w:r>
              <w:rPr>
                <w:rFonts w:hint="eastAsia" w:ascii="仿宋_GB2312" w:hAnsi="仿宋_GB2312" w:eastAsia="仿宋_GB2312" w:cs="仿宋_GB2312"/>
                <w:color w:val="auto"/>
                <w:sz w:val="24"/>
                <w:szCs w:val="28"/>
                <w:highlight w:val="none"/>
                <w:lang w:val="en-US" w:eastAsia="zh-CN"/>
              </w:rPr>
              <w:t>2.</w:t>
            </w:r>
            <w:r>
              <w:rPr>
                <w:rFonts w:hint="eastAsia" w:ascii="仿宋_GB2312" w:hAnsi="仿宋_GB2312" w:eastAsia="仿宋_GB2312" w:cs="仿宋_GB2312"/>
                <w:color w:val="auto"/>
                <w:sz w:val="24"/>
                <w:szCs w:val="28"/>
                <w:highlight w:val="none"/>
              </w:rPr>
              <w:t>代建合同签订后，检查发现履约保函或履约保证金提前撤回。</w:t>
            </w:r>
          </w:p>
        </w:tc>
        <w:tc>
          <w:tcPr>
            <w:tcW w:w="1186" w:type="dxa"/>
            <w:noWrap w:val="0"/>
            <w:vAlign w:val="center"/>
          </w:tcPr>
          <w:p>
            <w:pPr>
              <w:spacing w:line="400" w:lineRule="exact"/>
              <w:rPr>
                <w:rFonts w:hint="eastAsia" w:ascii="仿宋_GB2312" w:hAnsi="仿宋_GB2312" w:eastAsia="仿宋_GB2312" w:cs="仿宋_GB2312"/>
                <w:b/>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7" w:hRule="atLeast"/>
          <w:jc w:val="center"/>
        </w:trPr>
        <w:tc>
          <w:tcPr>
            <w:tcW w:w="852" w:type="dxa"/>
            <w:vMerge w:val="continue"/>
            <w:noWrap w:val="0"/>
            <w:vAlign w:val="center"/>
          </w:tcPr>
          <w:p>
            <w:pPr>
              <w:spacing w:line="400" w:lineRule="exact"/>
              <w:jc w:val="center"/>
              <w:rPr>
                <w:rFonts w:hint="eastAsia" w:ascii="仿宋_GB2312" w:hAnsi="仿宋_GB2312" w:eastAsia="仿宋_GB2312" w:cs="仿宋_GB2312"/>
                <w:b/>
                <w:bCs/>
                <w:color w:val="auto"/>
                <w:sz w:val="24"/>
                <w:szCs w:val="24"/>
                <w:highlight w:val="none"/>
              </w:rPr>
            </w:pPr>
          </w:p>
        </w:tc>
        <w:tc>
          <w:tcPr>
            <w:tcW w:w="2093" w:type="dxa"/>
            <w:noWrap w:val="0"/>
            <w:vAlign w:val="center"/>
          </w:tcPr>
          <w:p>
            <w:pPr>
              <w:spacing w:line="400" w:lineRule="exact"/>
              <w:rPr>
                <w:rFonts w:hint="eastAsia" w:ascii="仿宋_GB2312" w:hAnsi="仿宋_GB2312" w:eastAsia="仿宋_GB2312" w:cs="仿宋_GB2312"/>
                <w:b/>
                <w:bCs/>
                <w:color w:val="auto"/>
                <w:sz w:val="24"/>
                <w:szCs w:val="24"/>
                <w:highlight w:val="none"/>
              </w:rPr>
            </w:pPr>
            <w:r>
              <w:rPr>
                <w:rFonts w:hint="eastAsia" w:ascii="仿宋_GB2312" w:hAnsi="仿宋_GB2312" w:eastAsia="仿宋_GB2312" w:cs="仿宋_GB2312"/>
                <w:color w:val="auto"/>
                <w:sz w:val="24"/>
                <w:szCs w:val="28"/>
                <w:highlight w:val="none"/>
              </w:rPr>
              <w:t>落实代建合同管理制。严格按招标文件和投标文件要求和承诺签订代建合同。代建合同签订后，按照报发改部门备案。</w:t>
            </w:r>
          </w:p>
        </w:tc>
        <w:tc>
          <w:tcPr>
            <w:tcW w:w="6095" w:type="dxa"/>
            <w:noWrap w:val="0"/>
            <w:vAlign w:val="center"/>
          </w:tcPr>
          <w:p>
            <w:pPr>
              <w:spacing w:line="400" w:lineRule="exact"/>
              <w:rPr>
                <w:rFonts w:hint="eastAsia" w:ascii="仿宋_GB2312" w:hAnsi="仿宋_GB2312" w:eastAsia="仿宋_GB2312" w:cs="仿宋_GB2312"/>
                <w:color w:val="auto"/>
                <w:sz w:val="24"/>
                <w:szCs w:val="28"/>
                <w:highlight w:val="none"/>
              </w:rPr>
            </w:pPr>
            <w:r>
              <w:rPr>
                <w:rFonts w:hint="eastAsia" w:ascii="仿宋_GB2312" w:hAnsi="仿宋_GB2312" w:eastAsia="仿宋_GB2312" w:cs="仿宋_GB2312"/>
                <w:color w:val="auto"/>
                <w:sz w:val="24"/>
                <w:szCs w:val="28"/>
                <w:highlight w:val="none"/>
              </w:rPr>
              <w:t>根据发改部门代建合同备案有关记录情况。</w:t>
            </w:r>
          </w:p>
          <w:p>
            <w:pPr>
              <w:pStyle w:val="21"/>
              <w:spacing w:line="400" w:lineRule="exact"/>
              <w:ind w:firstLine="0" w:firstLineChars="0"/>
              <w:rPr>
                <w:rFonts w:hint="eastAsia" w:ascii="仿宋_GB2312" w:hAnsi="仿宋_GB2312" w:eastAsia="仿宋_GB2312" w:cs="仿宋_GB2312"/>
                <w:color w:val="auto"/>
                <w:sz w:val="24"/>
                <w:szCs w:val="28"/>
                <w:highlight w:val="none"/>
              </w:rPr>
            </w:pPr>
            <w:r>
              <w:rPr>
                <w:rFonts w:hint="eastAsia" w:ascii="仿宋_GB2312" w:hAnsi="仿宋_GB2312" w:eastAsia="仿宋_GB2312" w:cs="仿宋_GB2312"/>
                <w:color w:val="auto"/>
                <w:sz w:val="24"/>
                <w:szCs w:val="28"/>
                <w:highlight w:val="none"/>
                <w:lang w:val="en-US" w:eastAsia="zh-CN"/>
              </w:rPr>
              <w:t>1.</w:t>
            </w:r>
            <w:r>
              <w:rPr>
                <w:rFonts w:hint="eastAsia" w:ascii="仿宋_GB2312" w:hAnsi="仿宋_GB2312" w:eastAsia="仿宋_GB2312" w:cs="仿宋_GB2312"/>
                <w:color w:val="auto"/>
                <w:sz w:val="24"/>
                <w:szCs w:val="28"/>
                <w:highlight w:val="none"/>
              </w:rPr>
              <w:t>无正当理由拒绝签订代建合同或提出附加条款；</w:t>
            </w:r>
          </w:p>
          <w:p>
            <w:pPr>
              <w:pStyle w:val="21"/>
              <w:spacing w:line="400" w:lineRule="exact"/>
              <w:ind w:firstLine="0" w:firstLineChars="0"/>
              <w:rPr>
                <w:rFonts w:hint="eastAsia" w:ascii="仿宋_GB2312" w:hAnsi="仿宋_GB2312" w:eastAsia="仿宋_GB2312" w:cs="仿宋_GB2312"/>
                <w:color w:val="auto"/>
                <w:sz w:val="24"/>
                <w:szCs w:val="28"/>
                <w:highlight w:val="none"/>
              </w:rPr>
            </w:pPr>
            <w:r>
              <w:rPr>
                <w:rFonts w:hint="eastAsia" w:ascii="仿宋_GB2312" w:hAnsi="仿宋_GB2312" w:eastAsia="仿宋_GB2312" w:cs="仿宋_GB2312"/>
                <w:color w:val="auto"/>
                <w:sz w:val="24"/>
                <w:szCs w:val="28"/>
                <w:highlight w:val="none"/>
                <w:lang w:val="en-US" w:eastAsia="zh-CN"/>
              </w:rPr>
              <w:t>2.</w:t>
            </w:r>
            <w:r>
              <w:rPr>
                <w:rFonts w:hint="eastAsia" w:ascii="仿宋_GB2312" w:hAnsi="仿宋_GB2312" w:eastAsia="仿宋_GB2312" w:cs="仿宋_GB2312"/>
                <w:color w:val="auto"/>
                <w:sz w:val="24"/>
                <w:szCs w:val="28"/>
                <w:highlight w:val="none"/>
              </w:rPr>
              <w:t>与委托单位私自更改合同实质性内容；</w:t>
            </w:r>
          </w:p>
          <w:p>
            <w:pPr>
              <w:pStyle w:val="21"/>
              <w:spacing w:line="400" w:lineRule="exact"/>
              <w:ind w:firstLine="0" w:firstLineChars="0"/>
              <w:rPr>
                <w:rFonts w:hint="eastAsia" w:ascii="仿宋_GB2312" w:hAnsi="仿宋_GB2312" w:eastAsia="仿宋_GB2312" w:cs="仿宋_GB2312"/>
                <w:color w:val="auto"/>
                <w:sz w:val="24"/>
                <w:szCs w:val="28"/>
                <w:highlight w:val="none"/>
              </w:rPr>
            </w:pPr>
            <w:r>
              <w:rPr>
                <w:rFonts w:hint="eastAsia" w:ascii="仿宋_GB2312" w:hAnsi="仿宋_GB2312" w:eastAsia="仿宋_GB2312" w:cs="仿宋_GB2312"/>
                <w:color w:val="auto"/>
                <w:sz w:val="24"/>
                <w:szCs w:val="28"/>
                <w:highlight w:val="none"/>
                <w:lang w:val="en-US" w:eastAsia="zh-CN"/>
              </w:rPr>
              <w:t>3.</w:t>
            </w:r>
            <w:r>
              <w:rPr>
                <w:rFonts w:hint="eastAsia" w:ascii="仿宋_GB2312" w:hAnsi="仿宋_GB2312" w:eastAsia="仿宋_GB2312" w:cs="仿宋_GB2312"/>
                <w:color w:val="auto"/>
                <w:sz w:val="24"/>
                <w:szCs w:val="28"/>
                <w:highlight w:val="none"/>
              </w:rPr>
              <w:t>未经发改部门同意不按规定时间要求进行代建合同备案；</w:t>
            </w:r>
          </w:p>
          <w:p>
            <w:pPr>
              <w:pStyle w:val="21"/>
              <w:spacing w:line="400" w:lineRule="exact"/>
              <w:ind w:firstLine="0" w:firstLineChars="0"/>
              <w:rPr>
                <w:rFonts w:hint="eastAsia" w:ascii="仿宋_GB2312" w:hAnsi="仿宋_GB2312" w:eastAsia="仿宋_GB2312" w:cs="仿宋_GB2312"/>
                <w:color w:val="auto"/>
                <w:sz w:val="24"/>
                <w:szCs w:val="28"/>
                <w:highlight w:val="none"/>
              </w:rPr>
            </w:pPr>
            <w:r>
              <w:rPr>
                <w:rFonts w:hint="eastAsia" w:ascii="仿宋_GB2312" w:hAnsi="仿宋_GB2312" w:eastAsia="仿宋_GB2312" w:cs="仿宋_GB2312"/>
                <w:color w:val="auto"/>
                <w:sz w:val="24"/>
                <w:szCs w:val="28"/>
                <w:highlight w:val="none"/>
                <w:lang w:val="en-US" w:eastAsia="zh-CN"/>
              </w:rPr>
              <w:t>4.</w:t>
            </w:r>
            <w:r>
              <w:rPr>
                <w:rFonts w:hint="eastAsia" w:ascii="仿宋_GB2312" w:hAnsi="仿宋_GB2312" w:eastAsia="仿宋_GB2312" w:cs="仿宋_GB2312"/>
                <w:color w:val="auto"/>
                <w:sz w:val="24"/>
                <w:szCs w:val="28"/>
                <w:highlight w:val="none"/>
              </w:rPr>
              <w:t>合同签订后未备案，代建单位擅自启动代建工作；</w:t>
            </w:r>
          </w:p>
          <w:p>
            <w:pPr>
              <w:pStyle w:val="21"/>
              <w:spacing w:line="400" w:lineRule="exact"/>
              <w:ind w:firstLine="0" w:firstLineChars="0"/>
              <w:rPr>
                <w:rFonts w:hint="eastAsia" w:ascii="仿宋_GB2312" w:hAnsi="仿宋_GB2312" w:eastAsia="仿宋_GB2312" w:cs="仿宋_GB2312"/>
                <w:color w:val="auto"/>
                <w:sz w:val="24"/>
                <w:szCs w:val="28"/>
                <w:highlight w:val="none"/>
              </w:rPr>
            </w:pPr>
            <w:r>
              <w:rPr>
                <w:rFonts w:hint="eastAsia" w:ascii="仿宋_GB2312" w:hAnsi="仿宋_GB2312" w:eastAsia="仿宋_GB2312" w:cs="仿宋_GB2312"/>
                <w:color w:val="auto"/>
                <w:sz w:val="24"/>
                <w:szCs w:val="28"/>
                <w:highlight w:val="none"/>
                <w:lang w:val="en-US" w:eastAsia="zh-CN"/>
              </w:rPr>
              <w:t>5.</w:t>
            </w:r>
            <w:r>
              <w:rPr>
                <w:rFonts w:hint="eastAsia" w:ascii="仿宋_GB2312" w:hAnsi="仿宋_GB2312" w:eastAsia="仿宋_GB2312" w:cs="仿宋_GB2312"/>
                <w:color w:val="auto"/>
                <w:sz w:val="24"/>
                <w:szCs w:val="28"/>
                <w:highlight w:val="none"/>
              </w:rPr>
              <w:t>合同备案后，私自修改合同条款或签订阴阳合同；</w:t>
            </w:r>
          </w:p>
          <w:p>
            <w:pPr>
              <w:spacing w:line="400" w:lineRule="exact"/>
              <w:rPr>
                <w:rFonts w:hint="eastAsia" w:ascii="仿宋_GB2312" w:hAnsi="仿宋_GB2312" w:eastAsia="仿宋_GB2312" w:cs="仿宋_GB2312"/>
                <w:b/>
                <w:bCs/>
                <w:color w:val="auto"/>
                <w:sz w:val="24"/>
                <w:szCs w:val="24"/>
                <w:highlight w:val="none"/>
              </w:rPr>
            </w:pPr>
            <w:r>
              <w:rPr>
                <w:rFonts w:hint="eastAsia" w:ascii="仿宋_GB2312" w:hAnsi="仿宋_GB2312" w:eastAsia="仿宋_GB2312" w:cs="仿宋_GB2312"/>
                <w:color w:val="auto"/>
                <w:sz w:val="24"/>
                <w:szCs w:val="28"/>
                <w:highlight w:val="none"/>
                <w:lang w:val="en-US" w:eastAsia="zh-CN"/>
              </w:rPr>
              <w:t>6.</w:t>
            </w:r>
            <w:r>
              <w:rPr>
                <w:rFonts w:hint="eastAsia" w:ascii="仿宋_GB2312" w:hAnsi="仿宋_GB2312" w:eastAsia="仿宋_GB2312" w:cs="仿宋_GB2312"/>
                <w:color w:val="auto"/>
                <w:sz w:val="24"/>
                <w:szCs w:val="28"/>
                <w:highlight w:val="none"/>
              </w:rPr>
              <w:t>代建单位违规分包的、转让代建业务。</w:t>
            </w:r>
          </w:p>
        </w:tc>
        <w:tc>
          <w:tcPr>
            <w:tcW w:w="1186" w:type="dxa"/>
            <w:noWrap w:val="0"/>
            <w:vAlign w:val="center"/>
          </w:tcPr>
          <w:p>
            <w:pPr>
              <w:spacing w:line="400" w:lineRule="exact"/>
              <w:rPr>
                <w:rFonts w:hint="eastAsia" w:ascii="仿宋_GB2312" w:hAnsi="仿宋_GB2312" w:eastAsia="仿宋_GB2312" w:cs="仿宋_GB2312"/>
                <w:b/>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noWrap w:val="0"/>
            <w:vAlign w:val="center"/>
          </w:tcPr>
          <w:p>
            <w:pPr>
              <w:spacing w:line="400" w:lineRule="exact"/>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人员配置</w:t>
            </w:r>
          </w:p>
        </w:tc>
        <w:tc>
          <w:tcPr>
            <w:tcW w:w="2093" w:type="dxa"/>
            <w:noWrap w:val="0"/>
            <w:vAlign w:val="center"/>
          </w:tcPr>
          <w:p>
            <w:pPr>
              <w:spacing w:line="400" w:lineRule="exact"/>
              <w:rPr>
                <w:rFonts w:hint="eastAsia" w:ascii="仿宋_GB2312" w:hAnsi="仿宋_GB2312" w:eastAsia="仿宋_GB2312" w:cs="仿宋_GB2312"/>
                <w:b/>
                <w:bCs/>
                <w:color w:val="auto"/>
                <w:sz w:val="24"/>
                <w:szCs w:val="24"/>
                <w:highlight w:val="none"/>
              </w:rPr>
            </w:pPr>
            <w:r>
              <w:rPr>
                <w:rFonts w:hint="eastAsia" w:ascii="仿宋_GB2312" w:hAnsi="仿宋_GB2312" w:eastAsia="仿宋_GB2312" w:cs="仿宋_GB2312"/>
                <w:color w:val="auto"/>
                <w:sz w:val="24"/>
                <w:szCs w:val="24"/>
                <w:highlight w:val="none"/>
              </w:rPr>
              <w:t>代建合同签订后代建单位应当按照投标承诺成立项目管理团队，落实人员职责。</w:t>
            </w:r>
          </w:p>
        </w:tc>
        <w:tc>
          <w:tcPr>
            <w:tcW w:w="6095" w:type="dxa"/>
            <w:noWrap w:val="0"/>
            <w:vAlign w:val="center"/>
          </w:tcPr>
          <w:p>
            <w:pPr>
              <w:widowControl/>
              <w:spacing w:line="400" w:lineRule="exact"/>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检查现场、听取项目使用单位意见、查阅资料（团队成立配备资料、签到情况、在岗情况、各</w:t>
            </w:r>
            <w:r>
              <w:rPr>
                <w:rFonts w:hint="eastAsia" w:ascii="仿宋_GB2312" w:hAnsi="仿宋_GB2312" w:eastAsia="仿宋_GB2312" w:cs="仿宋_GB2312"/>
                <w:color w:val="auto"/>
                <w:sz w:val="24"/>
                <w:szCs w:val="24"/>
                <w:highlight w:val="none"/>
              </w:rPr>
              <w:t>人</w:t>
            </w:r>
            <w:r>
              <w:rPr>
                <w:rFonts w:hint="eastAsia" w:ascii="仿宋_GB2312" w:hAnsi="仿宋_GB2312" w:eastAsia="仿宋_GB2312" w:cs="仿宋_GB2312"/>
                <w:color w:val="auto"/>
                <w:kern w:val="0"/>
                <w:sz w:val="24"/>
                <w:szCs w:val="24"/>
                <w:highlight w:val="none"/>
              </w:rPr>
              <w:t>员履职情况）。</w:t>
            </w:r>
          </w:p>
          <w:p>
            <w:pPr>
              <w:widowControl/>
              <w:spacing w:line="400" w:lineRule="exact"/>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lang w:val="en-US" w:eastAsia="zh-CN"/>
              </w:rPr>
              <w:t>1.</w:t>
            </w:r>
            <w:r>
              <w:rPr>
                <w:rFonts w:hint="eastAsia" w:ascii="仿宋_GB2312" w:hAnsi="仿宋_GB2312" w:eastAsia="仿宋_GB2312" w:cs="仿宋_GB2312"/>
                <w:color w:val="auto"/>
                <w:kern w:val="0"/>
                <w:sz w:val="24"/>
                <w:szCs w:val="24"/>
                <w:highlight w:val="none"/>
              </w:rPr>
              <w:t>未按投标承诺配备团队</w:t>
            </w:r>
            <w:r>
              <w:rPr>
                <w:rFonts w:hint="eastAsia" w:ascii="仿宋_GB2312" w:hAnsi="仿宋_GB2312" w:eastAsia="仿宋_GB2312" w:cs="仿宋_GB2312"/>
                <w:color w:val="auto"/>
                <w:sz w:val="24"/>
                <w:szCs w:val="24"/>
                <w:highlight w:val="none"/>
              </w:rPr>
              <w:t>人</w:t>
            </w:r>
            <w:r>
              <w:rPr>
                <w:rFonts w:hint="eastAsia" w:ascii="仿宋_GB2312" w:hAnsi="仿宋_GB2312" w:eastAsia="仿宋_GB2312" w:cs="仿宋_GB2312"/>
                <w:color w:val="auto"/>
                <w:kern w:val="0"/>
                <w:sz w:val="24"/>
                <w:szCs w:val="24"/>
                <w:highlight w:val="none"/>
              </w:rPr>
              <w:t>员；</w:t>
            </w:r>
          </w:p>
          <w:p>
            <w:pPr>
              <w:widowControl/>
              <w:spacing w:line="400" w:lineRule="exact"/>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lang w:val="en-US" w:eastAsia="zh-CN"/>
              </w:rPr>
              <w:t>2.</w:t>
            </w:r>
            <w:r>
              <w:rPr>
                <w:rFonts w:hint="eastAsia" w:ascii="仿宋_GB2312" w:hAnsi="仿宋_GB2312" w:eastAsia="仿宋_GB2312" w:cs="仿宋_GB2312"/>
                <w:color w:val="auto"/>
                <w:kern w:val="0"/>
                <w:sz w:val="24"/>
                <w:szCs w:val="24"/>
                <w:highlight w:val="none"/>
              </w:rPr>
              <w:t>擅自变更不得替换的</w:t>
            </w:r>
            <w:r>
              <w:rPr>
                <w:rFonts w:hint="eastAsia" w:ascii="仿宋_GB2312" w:hAnsi="仿宋_GB2312" w:eastAsia="仿宋_GB2312" w:cs="仿宋_GB2312"/>
                <w:color w:val="auto"/>
                <w:sz w:val="24"/>
                <w:szCs w:val="24"/>
                <w:highlight w:val="none"/>
              </w:rPr>
              <w:t>人</w:t>
            </w:r>
            <w:r>
              <w:rPr>
                <w:rFonts w:hint="eastAsia" w:ascii="仿宋_GB2312" w:hAnsi="仿宋_GB2312" w:eastAsia="仿宋_GB2312" w:cs="仿宋_GB2312"/>
                <w:color w:val="auto"/>
                <w:kern w:val="0"/>
                <w:sz w:val="24"/>
                <w:szCs w:val="24"/>
                <w:highlight w:val="none"/>
              </w:rPr>
              <w:t>员；</w:t>
            </w:r>
          </w:p>
          <w:p>
            <w:pPr>
              <w:widowControl/>
              <w:spacing w:line="400" w:lineRule="exact"/>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lang w:val="en-US" w:eastAsia="zh-CN"/>
              </w:rPr>
              <w:t>3.</w:t>
            </w:r>
            <w:r>
              <w:rPr>
                <w:rFonts w:hint="eastAsia" w:ascii="仿宋_GB2312" w:hAnsi="仿宋_GB2312" w:eastAsia="仿宋_GB2312" w:cs="仿宋_GB2312"/>
                <w:color w:val="auto"/>
                <w:kern w:val="0"/>
                <w:sz w:val="24"/>
                <w:szCs w:val="24"/>
                <w:highlight w:val="none"/>
              </w:rPr>
              <w:t>因代建单位项目经理或现场管理</w:t>
            </w:r>
            <w:r>
              <w:rPr>
                <w:rFonts w:hint="eastAsia" w:ascii="仿宋_GB2312" w:hAnsi="仿宋_GB2312" w:eastAsia="仿宋_GB2312" w:cs="仿宋_GB2312"/>
                <w:color w:val="auto"/>
                <w:sz w:val="24"/>
                <w:szCs w:val="24"/>
                <w:highlight w:val="none"/>
              </w:rPr>
              <w:t>人</w:t>
            </w:r>
            <w:r>
              <w:rPr>
                <w:rFonts w:hint="eastAsia" w:ascii="仿宋_GB2312" w:hAnsi="仿宋_GB2312" w:eastAsia="仿宋_GB2312" w:cs="仿宋_GB2312"/>
                <w:color w:val="auto"/>
                <w:kern w:val="0"/>
                <w:sz w:val="24"/>
                <w:szCs w:val="24"/>
                <w:highlight w:val="none"/>
              </w:rPr>
              <w:t>员履职水平过低而只能撤换；</w:t>
            </w:r>
          </w:p>
          <w:p>
            <w:pPr>
              <w:spacing w:line="400" w:lineRule="exact"/>
              <w:rPr>
                <w:rFonts w:hint="eastAsia" w:ascii="仿宋_GB2312" w:hAnsi="仿宋_GB2312" w:eastAsia="仿宋_GB2312" w:cs="仿宋_GB2312"/>
                <w:b/>
                <w:bCs/>
                <w:color w:val="auto"/>
                <w:sz w:val="24"/>
                <w:szCs w:val="24"/>
                <w:highlight w:val="none"/>
              </w:rPr>
            </w:pPr>
            <w:r>
              <w:rPr>
                <w:rFonts w:hint="eastAsia" w:ascii="仿宋_GB2312" w:hAnsi="仿宋_GB2312" w:eastAsia="仿宋_GB2312" w:cs="仿宋_GB2312"/>
                <w:color w:val="auto"/>
                <w:kern w:val="0"/>
                <w:sz w:val="24"/>
                <w:szCs w:val="24"/>
                <w:highlight w:val="none"/>
                <w:lang w:val="en-US" w:eastAsia="zh-CN"/>
              </w:rPr>
              <w:t>4.</w:t>
            </w:r>
            <w:r>
              <w:rPr>
                <w:rFonts w:hint="eastAsia" w:ascii="仿宋_GB2312" w:hAnsi="仿宋_GB2312" w:eastAsia="仿宋_GB2312" w:cs="仿宋_GB2312"/>
                <w:color w:val="auto"/>
                <w:kern w:val="0"/>
                <w:sz w:val="24"/>
                <w:szCs w:val="24"/>
                <w:highlight w:val="none"/>
              </w:rPr>
              <w:t>检查现场时，发现团队</w:t>
            </w:r>
            <w:r>
              <w:rPr>
                <w:rFonts w:hint="eastAsia" w:ascii="仿宋_GB2312" w:hAnsi="仿宋_GB2312" w:eastAsia="仿宋_GB2312" w:cs="仿宋_GB2312"/>
                <w:color w:val="auto"/>
                <w:sz w:val="24"/>
                <w:szCs w:val="24"/>
                <w:highlight w:val="none"/>
              </w:rPr>
              <w:t>人</w:t>
            </w:r>
            <w:r>
              <w:rPr>
                <w:rFonts w:hint="eastAsia" w:ascii="仿宋_GB2312" w:hAnsi="仿宋_GB2312" w:eastAsia="仿宋_GB2312" w:cs="仿宋_GB2312"/>
                <w:color w:val="auto"/>
                <w:kern w:val="0"/>
                <w:sz w:val="24"/>
                <w:szCs w:val="24"/>
                <w:highlight w:val="none"/>
              </w:rPr>
              <w:t>员未正常履职。</w:t>
            </w:r>
          </w:p>
        </w:tc>
        <w:tc>
          <w:tcPr>
            <w:tcW w:w="1186" w:type="dxa"/>
            <w:noWrap w:val="0"/>
            <w:vAlign w:val="center"/>
          </w:tcPr>
          <w:p>
            <w:pPr>
              <w:spacing w:line="400" w:lineRule="exact"/>
              <w:rPr>
                <w:rFonts w:hint="eastAsia" w:ascii="仿宋_GB2312" w:hAnsi="仿宋_GB2312" w:eastAsia="仿宋_GB2312" w:cs="仿宋_GB2312"/>
                <w:b/>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noWrap w:val="0"/>
            <w:vAlign w:val="center"/>
          </w:tcPr>
          <w:p>
            <w:pPr>
              <w:spacing w:line="400" w:lineRule="exact"/>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开工准备</w:t>
            </w:r>
          </w:p>
        </w:tc>
        <w:tc>
          <w:tcPr>
            <w:tcW w:w="2093" w:type="dxa"/>
            <w:noWrap w:val="0"/>
            <w:vAlign w:val="center"/>
          </w:tcPr>
          <w:p>
            <w:pPr>
              <w:spacing w:line="400" w:lineRule="exact"/>
              <w:rPr>
                <w:rFonts w:hint="eastAsia" w:ascii="仿宋_GB2312" w:hAnsi="仿宋_GB2312" w:eastAsia="仿宋_GB2312" w:cs="仿宋_GB2312"/>
                <w:b/>
                <w:bCs/>
                <w:color w:val="auto"/>
                <w:sz w:val="24"/>
                <w:szCs w:val="24"/>
                <w:highlight w:val="none"/>
              </w:rPr>
            </w:pPr>
            <w:r>
              <w:rPr>
                <w:rFonts w:hint="eastAsia" w:ascii="仿宋_GB2312" w:hAnsi="仿宋_GB2312" w:eastAsia="仿宋_GB2312" w:cs="仿宋_GB2312"/>
                <w:color w:val="auto"/>
                <w:sz w:val="24"/>
                <w:szCs w:val="24"/>
                <w:highlight w:val="none"/>
              </w:rPr>
              <w:t>代建单位应当依据代建合同范围和法定程序，履</w:t>
            </w:r>
            <w:r>
              <w:rPr>
                <w:rFonts w:hint="eastAsia" w:ascii="仿宋_GB2312" w:hAnsi="仿宋_GB2312" w:eastAsia="仿宋_GB2312" w:cs="仿宋_GB2312"/>
                <w:color w:val="auto"/>
                <w:kern w:val="0"/>
                <w:sz w:val="24"/>
                <w:szCs w:val="24"/>
                <w:highlight w:val="none"/>
              </w:rPr>
              <w:t>行</w:t>
            </w:r>
            <w:r>
              <w:rPr>
                <w:rFonts w:hint="eastAsia" w:ascii="仿宋_GB2312" w:hAnsi="仿宋_GB2312" w:eastAsia="仿宋_GB2312" w:cs="仿宋_GB2312"/>
                <w:color w:val="auto"/>
                <w:sz w:val="24"/>
                <w:szCs w:val="24"/>
                <w:highlight w:val="none"/>
              </w:rPr>
              <w:t>把关职责，按时完成开工前的准备工作，确保概算不超估算、预算不超概算。</w:t>
            </w:r>
          </w:p>
        </w:tc>
        <w:tc>
          <w:tcPr>
            <w:tcW w:w="6095" w:type="dxa"/>
            <w:noWrap w:val="0"/>
            <w:vAlign w:val="center"/>
          </w:tcPr>
          <w:p>
            <w:pPr>
              <w:spacing w:line="400" w:lineRule="exac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查看资料、检查现场和征询行政主管部门记录等方式。</w:t>
            </w:r>
          </w:p>
          <w:p>
            <w:pPr>
              <w:spacing w:line="400" w:lineRule="exac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1.</w:t>
            </w:r>
            <w:r>
              <w:rPr>
                <w:rFonts w:hint="eastAsia" w:ascii="仿宋_GB2312" w:hAnsi="仿宋_GB2312" w:eastAsia="仿宋_GB2312" w:cs="仿宋_GB2312"/>
                <w:color w:val="auto"/>
                <w:sz w:val="24"/>
                <w:szCs w:val="24"/>
                <w:highlight w:val="none"/>
              </w:rPr>
              <w:t>因手续不全、违规开工，代建单位收到停工整改通知书；</w:t>
            </w:r>
          </w:p>
          <w:p>
            <w:pPr>
              <w:spacing w:line="400" w:lineRule="exac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2.</w:t>
            </w:r>
            <w:r>
              <w:rPr>
                <w:rFonts w:hint="eastAsia" w:ascii="仿宋_GB2312" w:hAnsi="仿宋_GB2312" w:eastAsia="仿宋_GB2312" w:cs="仿宋_GB2312"/>
                <w:color w:val="auto"/>
                <w:sz w:val="24"/>
                <w:szCs w:val="24"/>
                <w:highlight w:val="none"/>
              </w:rPr>
              <w:t>因代建单位原因，导致前期工作推进不力，影响计划进度的；</w:t>
            </w:r>
          </w:p>
          <w:p>
            <w:pPr>
              <w:spacing w:line="400" w:lineRule="exac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3.</w:t>
            </w:r>
            <w:r>
              <w:rPr>
                <w:rFonts w:hint="eastAsia" w:ascii="仿宋_GB2312" w:hAnsi="仿宋_GB2312" w:eastAsia="仿宋_GB2312" w:cs="仿宋_GB2312"/>
                <w:color w:val="auto"/>
                <w:sz w:val="24"/>
                <w:szCs w:val="24"/>
                <w:highlight w:val="none"/>
              </w:rPr>
              <w:t>把关不严，工程设计出现重大缺项、漏项或重大缺陷，导致需要重新设计；</w:t>
            </w:r>
          </w:p>
          <w:p>
            <w:pPr>
              <w:spacing w:line="400" w:lineRule="exac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4.</w:t>
            </w:r>
            <w:r>
              <w:rPr>
                <w:rFonts w:hint="eastAsia" w:ascii="仿宋_GB2312" w:hAnsi="仿宋_GB2312" w:eastAsia="仿宋_GB2312" w:cs="仿宋_GB2312"/>
                <w:color w:val="auto"/>
                <w:sz w:val="24"/>
                <w:szCs w:val="24"/>
                <w:highlight w:val="none"/>
              </w:rPr>
              <w:t>未按政策和代建合同要求，设计评审等关键环节未及时报请发改部门参加；</w:t>
            </w:r>
          </w:p>
          <w:p>
            <w:pPr>
              <w:spacing w:line="400" w:lineRule="exac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5.</w:t>
            </w:r>
            <w:r>
              <w:rPr>
                <w:rFonts w:hint="eastAsia" w:ascii="仿宋_GB2312" w:hAnsi="仿宋_GB2312" w:eastAsia="仿宋_GB2312" w:cs="仿宋_GB2312"/>
                <w:color w:val="auto"/>
                <w:sz w:val="24"/>
                <w:szCs w:val="24"/>
                <w:highlight w:val="none"/>
              </w:rPr>
              <w:t>未履行规定程序，出现概算突破估算或预算突破概算或设计功能发生实质性变化。</w:t>
            </w:r>
          </w:p>
        </w:tc>
        <w:tc>
          <w:tcPr>
            <w:tcW w:w="1186" w:type="dxa"/>
            <w:noWrap w:val="0"/>
            <w:vAlign w:val="center"/>
          </w:tcPr>
          <w:p>
            <w:pPr>
              <w:spacing w:line="400" w:lineRule="exact"/>
              <w:rPr>
                <w:rFonts w:hint="eastAsia" w:ascii="仿宋_GB2312" w:hAnsi="仿宋_GB2312" w:eastAsia="仿宋_GB2312" w:cs="仿宋_GB2312"/>
                <w:b/>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vMerge w:val="restart"/>
            <w:noWrap w:val="0"/>
            <w:vAlign w:val="center"/>
          </w:tcPr>
          <w:p>
            <w:pPr>
              <w:spacing w:line="400" w:lineRule="exact"/>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招投标及合同管理</w:t>
            </w:r>
          </w:p>
        </w:tc>
        <w:tc>
          <w:tcPr>
            <w:tcW w:w="2093" w:type="dxa"/>
            <w:noWrap w:val="0"/>
            <w:vAlign w:val="center"/>
          </w:tcPr>
          <w:p>
            <w:pPr>
              <w:spacing w:line="400" w:lineRule="exac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代建单位应依法依规组织招标和采购活动，将招投标有关信息、文件及时报告发改部门。</w:t>
            </w:r>
          </w:p>
        </w:tc>
        <w:tc>
          <w:tcPr>
            <w:tcW w:w="6095" w:type="dxa"/>
            <w:noWrap w:val="0"/>
            <w:vAlign w:val="center"/>
          </w:tcPr>
          <w:p>
            <w:pPr>
              <w:spacing w:line="400" w:lineRule="exac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检查现场、征询行政主管部门记录、查看招投标报告和了解实际情况。</w:t>
            </w:r>
          </w:p>
          <w:p>
            <w:pPr>
              <w:spacing w:line="400" w:lineRule="exac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1.</w:t>
            </w:r>
            <w:r>
              <w:rPr>
                <w:rFonts w:hint="eastAsia" w:ascii="仿宋_GB2312" w:hAnsi="仿宋_GB2312" w:eastAsia="仿宋_GB2312" w:cs="仿宋_GB2312"/>
                <w:color w:val="auto"/>
                <w:sz w:val="24"/>
                <w:szCs w:val="24"/>
                <w:highlight w:val="none"/>
              </w:rPr>
              <w:t>代建单位组织的招标或采购中出现违背招投标法或采购法情形；</w:t>
            </w:r>
          </w:p>
          <w:p>
            <w:pPr>
              <w:spacing w:line="400" w:lineRule="exact"/>
              <w:rPr>
                <w:rFonts w:hint="eastAsia" w:ascii="仿宋_GB2312" w:hAnsi="仿宋_GB2312" w:eastAsia="仿宋_GB2312" w:cs="仿宋_GB2312"/>
                <w:b/>
                <w:bCs/>
                <w:color w:val="auto"/>
                <w:sz w:val="24"/>
                <w:szCs w:val="24"/>
                <w:highlight w:val="none"/>
              </w:rPr>
            </w:pPr>
            <w:r>
              <w:rPr>
                <w:rFonts w:hint="eastAsia" w:ascii="仿宋_GB2312" w:hAnsi="仿宋_GB2312" w:eastAsia="仿宋_GB2312" w:cs="仿宋_GB2312"/>
                <w:color w:val="auto"/>
                <w:sz w:val="24"/>
                <w:szCs w:val="24"/>
                <w:highlight w:val="none"/>
                <w:lang w:val="en-US" w:eastAsia="zh-CN"/>
              </w:rPr>
              <w:t>2.</w:t>
            </w:r>
            <w:r>
              <w:rPr>
                <w:rFonts w:hint="eastAsia" w:ascii="仿宋_GB2312" w:hAnsi="仿宋_GB2312" w:eastAsia="仿宋_GB2312" w:cs="仿宋_GB2312"/>
                <w:color w:val="auto"/>
                <w:sz w:val="24"/>
                <w:szCs w:val="24"/>
                <w:highlight w:val="none"/>
              </w:rPr>
              <w:t>未按代建合同要求，及时将招投标重点环节（招标公告发布、中标通知书发出等）的有关信息报告发改部门。</w:t>
            </w:r>
          </w:p>
        </w:tc>
        <w:tc>
          <w:tcPr>
            <w:tcW w:w="1186" w:type="dxa"/>
            <w:noWrap w:val="0"/>
            <w:vAlign w:val="center"/>
          </w:tcPr>
          <w:p>
            <w:pPr>
              <w:spacing w:line="400" w:lineRule="exact"/>
              <w:rPr>
                <w:rFonts w:hint="eastAsia" w:ascii="仿宋_GB2312" w:hAnsi="仿宋_GB2312" w:eastAsia="仿宋_GB2312" w:cs="仿宋_GB2312"/>
                <w:b/>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vMerge w:val="continue"/>
            <w:noWrap w:val="0"/>
            <w:vAlign w:val="center"/>
          </w:tcPr>
          <w:p>
            <w:pPr>
              <w:spacing w:line="400" w:lineRule="exact"/>
              <w:jc w:val="center"/>
              <w:rPr>
                <w:rFonts w:hint="eastAsia" w:ascii="仿宋_GB2312" w:hAnsi="仿宋_GB2312" w:eastAsia="仿宋_GB2312" w:cs="仿宋_GB2312"/>
                <w:color w:val="auto"/>
                <w:sz w:val="24"/>
                <w:szCs w:val="24"/>
                <w:highlight w:val="none"/>
              </w:rPr>
            </w:pPr>
          </w:p>
        </w:tc>
        <w:tc>
          <w:tcPr>
            <w:tcW w:w="2093" w:type="dxa"/>
            <w:noWrap w:val="0"/>
            <w:vAlign w:val="center"/>
          </w:tcPr>
          <w:p>
            <w:pPr>
              <w:spacing w:line="400" w:lineRule="exac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代建单位应当按照投标文件中代建项目管理方案承诺，依法依规签订合同和履行合同。</w:t>
            </w:r>
          </w:p>
        </w:tc>
        <w:tc>
          <w:tcPr>
            <w:tcW w:w="6095" w:type="dxa"/>
            <w:noWrap w:val="0"/>
            <w:vAlign w:val="center"/>
          </w:tcPr>
          <w:p>
            <w:pPr>
              <w:spacing w:line="400" w:lineRule="exac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查看合同文件资料、征询行政主管部门记录和听取有关单位情况反馈。</w:t>
            </w:r>
          </w:p>
          <w:p>
            <w:pPr>
              <w:spacing w:line="400" w:lineRule="exac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1.</w:t>
            </w:r>
            <w:r>
              <w:rPr>
                <w:rFonts w:hint="eastAsia" w:ascii="仿宋_GB2312" w:hAnsi="仿宋_GB2312" w:eastAsia="仿宋_GB2312" w:cs="仿宋_GB2312"/>
                <w:color w:val="auto"/>
                <w:sz w:val="24"/>
                <w:szCs w:val="24"/>
                <w:highlight w:val="none"/>
              </w:rPr>
              <w:t>按照工程进度，合同资料不全；</w:t>
            </w:r>
          </w:p>
          <w:p>
            <w:pPr>
              <w:spacing w:line="400" w:lineRule="exac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2.</w:t>
            </w:r>
            <w:r>
              <w:rPr>
                <w:rFonts w:hint="eastAsia" w:ascii="仿宋_GB2312" w:hAnsi="仿宋_GB2312" w:eastAsia="仿宋_GB2312" w:cs="仿宋_GB2312"/>
                <w:color w:val="auto"/>
                <w:sz w:val="24"/>
                <w:szCs w:val="24"/>
                <w:highlight w:val="none"/>
              </w:rPr>
              <w:t>合同未按要求向有关部门备案；</w:t>
            </w:r>
          </w:p>
          <w:p>
            <w:pPr>
              <w:spacing w:line="400" w:lineRule="exac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3.</w:t>
            </w:r>
            <w:r>
              <w:rPr>
                <w:rFonts w:hint="eastAsia" w:ascii="仿宋_GB2312" w:hAnsi="仿宋_GB2312" w:eastAsia="仿宋_GB2312" w:cs="仿宋_GB2312"/>
                <w:color w:val="auto"/>
                <w:sz w:val="24"/>
                <w:szCs w:val="24"/>
                <w:highlight w:val="none"/>
              </w:rPr>
              <w:t>出现合同违约纠纷并被追究法律责任。</w:t>
            </w:r>
          </w:p>
        </w:tc>
        <w:tc>
          <w:tcPr>
            <w:tcW w:w="1186" w:type="dxa"/>
            <w:noWrap w:val="0"/>
            <w:vAlign w:val="center"/>
          </w:tcPr>
          <w:p>
            <w:pPr>
              <w:spacing w:line="400" w:lineRule="exact"/>
              <w:rPr>
                <w:rFonts w:hint="eastAsia" w:ascii="仿宋_GB2312" w:hAnsi="仿宋_GB2312" w:eastAsia="仿宋_GB2312" w:cs="仿宋_GB2312"/>
                <w:b/>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vMerge w:val="restart"/>
            <w:noWrap w:val="0"/>
            <w:vAlign w:val="center"/>
          </w:tcPr>
          <w:p>
            <w:pPr>
              <w:spacing w:line="400" w:lineRule="exact"/>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工程建设日常管理</w:t>
            </w:r>
          </w:p>
        </w:tc>
        <w:tc>
          <w:tcPr>
            <w:tcW w:w="2093" w:type="dxa"/>
            <w:noWrap w:val="0"/>
            <w:vAlign w:val="center"/>
          </w:tcPr>
          <w:p>
            <w:pPr>
              <w:spacing w:line="400" w:lineRule="exac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项目部内部管理</w:t>
            </w:r>
          </w:p>
          <w:p>
            <w:pPr>
              <w:spacing w:line="400" w:lineRule="exac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代建单位应当确保内部管理规范廉政，工程建设项目档案应当参照国家档案整理规范和相关行业管理要求的规定格式、标准、规范进行归档、整理。</w:t>
            </w:r>
          </w:p>
        </w:tc>
        <w:tc>
          <w:tcPr>
            <w:tcW w:w="6095" w:type="dxa"/>
            <w:noWrap w:val="0"/>
            <w:vAlign w:val="center"/>
          </w:tcPr>
          <w:p>
            <w:pPr>
              <w:spacing w:line="400" w:lineRule="exac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检查现场和查阅资料。</w:t>
            </w:r>
          </w:p>
          <w:p>
            <w:pPr>
              <w:spacing w:line="400" w:lineRule="exac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1.</w:t>
            </w:r>
            <w:r>
              <w:rPr>
                <w:rFonts w:hint="eastAsia" w:ascii="仿宋_GB2312" w:hAnsi="仿宋_GB2312" w:eastAsia="仿宋_GB2312" w:cs="仿宋_GB2312"/>
                <w:color w:val="auto"/>
                <w:sz w:val="24"/>
                <w:szCs w:val="24"/>
                <w:highlight w:val="none"/>
              </w:rPr>
              <w:t>项目管理团队办公室杂乱无序、管理混乱；</w:t>
            </w:r>
          </w:p>
          <w:p>
            <w:pPr>
              <w:spacing w:line="400" w:lineRule="exac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2.</w:t>
            </w:r>
            <w:r>
              <w:rPr>
                <w:rFonts w:hint="eastAsia" w:ascii="仿宋_GB2312" w:hAnsi="仿宋_GB2312" w:eastAsia="仿宋_GB2312" w:cs="仿宋_GB2312"/>
                <w:color w:val="auto"/>
                <w:sz w:val="24"/>
                <w:szCs w:val="24"/>
                <w:highlight w:val="none"/>
              </w:rPr>
              <w:t>未制定代建管理工作书面制度；</w:t>
            </w:r>
          </w:p>
          <w:p>
            <w:pPr>
              <w:spacing w:line="400" w:lineRule="exac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3.</w:t>
            </w:r>
            <w:r>
              <w:rPr>
                <w:rFonts w:hint="eastAsia" w:ascii="仿宋_GB2312" w:hAnsi="仿宋_GB2312" w:eastAsia="仿宋_GB2312" w:cs="仿宋_GB2312"/>
                <w:color w:val="auto"/>
                <w:sz w:val="24"/>
                <w:szCs w:val="24"/>
                <w:highlight w:val="none"/>
              </w:rPr>
              <w:t>未制定档案管理书面制度</w:t>
            </w:r>
          </w:p>
          <w:p>
            <w:pPr>
              <w:spacing w:line="400" w:lineRule="exac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4.</w:t>
            </w:r>
            <w:r>
              <w:rPr>
                <w:rFonts w:hint="eastAsia" w:ascii="仿宋_GB2312" w:hAnsi="仿宋_GB2312" w:eastAsia="仿宋_GB2312" w:cs="仿宋_GB2312"/>
                <w:color w:val="auto"/>
                <w:sz w:val="24"/>
                <w:szCs w:val="24"/>
                <w:highlight w:val="none"/>
              </w:rPr>
              <w:t>指令违背政府有关部门批复的有效设计文件、投资规模文件开展项目建设。</w:t>
            </w:r>
          </w:p>
        </w:tc>
        <w:tc>
          <w:tcPr>
            <w:tcW w:w="1186" w:type="dxa"/>
            <w:noWrap w:val="0"/>
            <w:vAlign w:val="center"/>
          </w:tcPr>
          <w:p>
            <w:pPr>
              <w:spacing w:line="400" w:lineRule="exact"/>
              <w:rPr>
                <w:rFonts w:hint="eastAsia" w:ascii="仿宋_GB2312" w:hAnsi="仿宋_GB2312" w:eastAsia="仿宋_GB2312" w:cs="仿宋_GB2312"/>
                <w:b/>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vMerge w:val="continue"/>
            <w:noWrap w:val="0"/>
            <w:vAlign w:val="center"/>
          </w:tcPr>
          <w:p>
            <w:pPr>
              <w:spacing w:line="400" w:lineRule="exact"/>
              <w:jc w:val="center"/>
              <w:rPr>
                <w:rFonts w:hint="eastAsia" w:ascii="仿宋_GB2312" w:hAnsi="仿宋_GB2312" w:eastAsia="仿宋_GB2312" w:cs="仿宋_GB2312"/>
                <w:color w:val="auto"/>
                <w:sz w:val="24"/>
                <w:szCs w:val="24"/>
                <w:highlight w:val="none"/>
              </w:rPr>
            </w:pPr>
          </w:p>
        </w:tc>
        <w:tc>
          <w:tcPr>
            <w:tcW w:w="2093" w:type="dxa"/>
            <w:noWrap w:val="0"/>
            <w:vAlign w:val="center"/>
          </w:tcPr>
          <w:p>
            <w:pPr>
              <w:spacing w:line="400" w:lineRule="exac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质量安全、环境、职业健康管理情况。</w:t>
            </w:r>
          </w:p>
          <w:p>
            <w:pPr>
              <w:rPr>
                <w:rFonts w:hint="eastAsia" w:ascii="仿宋_GB2312" w:hAnsi="仿宋_GB2312" w:eastAsia="仿宋_GB2312" w:cs="仿宋_GB2312"/>
                <w:color w:val="auto"/>
              </w:rPr>
            </w:pPr>
          </w:p>
          <w:p>
            <w:pPr>
              <w:spacing w:line="400" w:lineRule="exac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代建单位应当履行建设单位质量安全职责，对各专业单位的安全管理、环境保护、职业健康工作进行指导、检查和监督，责成各专业工作单位做好项目现场的社会治安、环境保护、职业健康工作。</w:t>
            </w:r>
          </w:p>
        </w:tc>
        <w:tc>
          <w:tcPr>
            <w:tcW w:w="6095" w:type="dxa"/>
            <w:noWrap w:val="0"/>
            <w:vAlign w:val="center"/>
          </w:tcPr>
          <w:p>
            <w:pPr>
              <w:spacing w:line="400" w:lineRule="exac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检查现场、查阅资料、征询行政主管部门记录和听取有关情况。</w:t>
            </w:r>
          </w:p>
          <w:p>
            <w:pPr>
              <w:spacing w:line="400" w:lineRule="exac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1.</w:t>
            </w:r>
            <w:r>
              <w:rPr>
                <w:rFonts w:hint="eastAsia" w:ascii="仿宋_GB2312" w:hAnsi="仿宋_GB2312" w:eastAsia="仿宋_GB2312" w:cs="仿宋_GB2312"/>
                <w:color w:val="auto"/>
                <w:sz w:val="24"/>
                <w:szCs w:val="24"/>
                <w:highlight w:val="none"/>
              </w:rPr>
              <w:t>未按要求设置代建项目标示；</w:t>
            </w:r>
          </w:p>
          <w:p>
            <w:pPr>
              <w:spacing w:line="400" w:lineRule="exac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2.</w:t>
            </w:r>
            <w:r>
              <w:rPr>
                <w:rFonts w:hint="eastAsia" w:ascii="仿宋_GB2312" w:hAnsi="仿宋_GB2312" w:eastAsia="仿宋_GB2312" w:cs="仿宋_GB2312"/>
                <w:color w:val="auto"/>
                <w:sz w:val="24"/>
                <w:szCs w:val="24"/>
                <w:highlight w:val="none"/>
              </w:rPr>
              <w:t>未制定质量、环境、职业健康安全等书面制度；</w:t>
            </w:r>
          </w:p>
          <w:p>
            <w:pPr>
              <w:spacing w:line="400" w:lineRule="exac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3.</w:t>
            </w:r>
            <w:r>
              <w:rPr>
                <w:rFonts w:hint="eastAsia" w:ascii="仿宋_GB2312" w:hAnsi="仿宋_GB2312" w:eastAsia="仿宋_GB2312" w:cs="仿宋_GB2312"/>
                <w:color w:val="auto"/>
                <w:sz w:val="24"/>
                <w:szCs w:val="24"/>
                <w:highlight w:val="none"/>
              </w:rPr>
              <w:t>未采取定期和不定期检查相结合的方式对代建项目的工程质量、环境、职业健康安全等管理内容进行监督检查；</w:t>
            </w:r>
          </w:p>
          <w:p>
            <w:pPr>
              <w:spacing w:line="400" w:lineRule="exac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4.</w:t>
            </w:r>
            <w:r>
              <w:rPr>
                <w:rFonts w:hint="eastAsia" w:ascii="仿宋_GB2312" w:hAnsi="仿宋_GB2312" w:eastAsia="仿宋_GB2312" w:cs="仿宋_GB2312"/>
                <w:color w:val="auto"/>
                <w:sz w:val="24"/>
                <w:szCs w:val="24"/>
                <w:highlight w:val="none"/>
              </w:rPr>
              <w:t>对发现问题未及时协调处理；</w:t>
            </w:r>
          </w:p>
          <w:p>
            <w:pPr>
              <w:spacing w:line="400" w:lineRule="exac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5.</w:t>
            </w:r>
            <w:r>
              <w:rPr>
                <w:rFonts w:hint="eastAsia" w:ascii="仿宋_GB2312" w:hAnsi="仿宋_GB2312" w:eastAsia="仿宋_GB2312" w:cs="仿宋_GB2312"/>
                <w:color w:val="auto"/>
                <w:sz w:val="24"/>
                <w:szCs w:val="24"/>
                <w:highlight w:val="none"/>
              </w:rPr>
              <w:t>未按有关规定和合同约定向施工单位拨付建设工程现场安全文明施工措施费；</w:t>
            </w:r>
          </w:p>
          <w:p>
            <w:pPr>
              <w:spacing w:line="400" w:lineRule="exac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6.</w:t>
            </w:r>
            <w:r>
              <w:rPr>
                <w:rFonts w:hint="eastAsia" w:ascii="仿宋_GB2312" w:hAnsi="仿宋_GB2312" w:eastAsia="仿宋_GB2312" w:cs="仿宋_GB2312"/>
                <w:color w:val="auto"/>
                <w:sz w:val="24"/>
                <w:szCs w:val="24"/>
                <w:highlight w:val="none"/>
              </w:rPr>
              <w:t>未组织签订建设工程项目施工安全责任保证书或未组织签订两个以上施工单位在同一作业区域进行施工作业时双方之间的安全生产管理协议的；</w:t>
            </w:r>
          </w:p>
          <w:p>
            <w:pPr>
              <w:spacing w:line="400" w:lineRule="exac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7.</w:t>
            </w:r>
            <w:r>
              <w:rPr>
                <w:rFonts w:hint="eastAsia" w:ascii="仿宋_GB2312" w:hAnsi="仿宋_GB2312" w:eastAsia="仿宋_GB2312" w:cs="仿宋_GB2312"/>
                <w:color w:val="auto"/>
                <w:sz w:val="24"/>
                <w:szCs w:val="24"/>
                <w:highlight w:val="none"/>
              </w:rPr>
              <w:t>因管理不力，代建单位收到有关整改通知书且未整改；</w:t>
            </w:r>
          </w:p>
          <w:p>
            <w:pPr>
              <w:spacing w:line="400" w:lineRule="exac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8.</w:t>
            </w:r>
            <w:r>
              <w:rPr>
                <w:rFonts w:hint="eastAsia" w:ascii="仿宋_GB2312" w:hAnsi="仿宋_GB2312" w:eastAsia="仿宋_GB2312" w:cs="仿宋_GB2312"/>
                <w:color w:val="auto"/>
                <w:sz w:val="24"/>
                <w:szCs w:val="24"/>
                <w:highlight w:val="none"/>
              </w:rPr>
              <w:t>收到停工通知书；</w:t>
            </w:r>
          </w:p>
          <w:p>
            <w:pPr>
              <w:spacing w:line="400" w:lineRule="exac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9.</w:t>
            </w:r>
            <w:r>
              <w:rPr>
                <w:rFonts w:hint="eastAsia" w:ascii="仿宋_GB2312" w:hAnsi="仿宋_GB2312" w:eastAsia="仿宋_GB2312" w:cs="仿宋_GB2312"/>
                <w:color w:val="auto"/>
                <w:sz w:val="24"/>
                <w:szCs w:val="24"/>
                <w:highlight w:val="none"/>
              </w:rPr>
              <w:t>项目建设出现一般安全责任事故；</w:t>
            </w:r>
          </w:p>
          <w:p>
            <w:pPr>
              <w:spacing w:line="400" w:lineRule="exac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10.</w:t>
            </w:r>
            <w:r>
              <w:rPr>
                <w:rFonts w:hint="eastAsia" w:ascii="仿宋_GB2312" w:hAnsi="仿宋_GB2312" w:eastAsia="仿宋_GB2312" w:cs="仿宋_GB2312"/>
                <w:color w:val="auto"/>
                <w:sz w:val="24"/>
                <w:szCs w:val="24"/>
                <w:highlight w:val="none"/>
              </w:rPr>
              <w:t>出现较大以上安全责任事故，或被处以较大数额罚款。</w:t>
            </w:r>
          </w:p>
        </w:tc>
        <w:tc>
          <w:tcPr>
            <w:tcW w:w="1186" w:type="dxa"/>
            <w:noWrap w:val="0"/>
            <w:vAlign w:val="center"/>
          </w:tcPr>
          <w:p>
            <w:pPr>
              <w:spacing w:line="400" w:lineRule="exact"/>
              <w:rPr>
                <w:rFonts w:hint="eastAsia" w:ascii="仿宋_GB2312" w:hAnsi="仿宋_GB2312" w:eastAsia="仿宋_GB2312" w:cs="仿宋_GB2312"/>
                <w:b/>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vMerge w:val="continue"/>
            <w:noWrap w:val="0"/>
            <w:vAlign w:val="center"/>
          </w:tcPr>
          <w:p>
            <w:pPr>
              <w:spacing w:line="400" w:lineRule="exact"/>
              <w:jc w:val="center"/>
              <w:rPr>
                <w:rFonts w:hint="eastAsia" w:ascii="仿宋_GB2312" w:hAnsi="仿宋_GB2312" w:eastAsia="仿宋_GB2312" w:cs="仿宋_GB2312"/>
                <w:color w:val="auto"/>
                <w:sz w:val="24"/>
                <w:szCs w:val="24"/>
                <w:highlight w:val="none"/>
              </w:rPr>
            </w:pPr>
          </w:p>
        </w:tc>
        <w:tc>
          <w:tcPr>
            <w:tcW w:w="2093" w:type="dxa"/>
            <w:noWrap w:val="0"/>
            <w:vAlign w:val="center"/>
          </w:tcPr>
          <w:p>
            <w:pPr>
              <w:spacing w:line="400" w:lineRule="exac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工程进度控制</w:t>
            </w:r>
          </w:p>
          <w:p>
            <w:pPr>
              <w:spacing w:line="400" w:lineRule="exac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代建单位应当按照投标时代建项目管理方案的项目进度计划和管理办法确保工程进度。</w:t>
            </w:r>
          </w:p>
        </w:tc>
        <w:tc>
          <w:tcPr>
            <w:tcW w:w="6095" w:type="dxa"/>
            <w:noWrap w:val="0"/>
            <w:vAlign w:val="center"/>
          </w:tcPr>
          <w:p>
            <w:pPr>
              <w:spacing w:line="400" w:lineRule="exac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检查现场和查阅资料。</w:t>
            </w:r>
          </w:p>
          <w:p>
            <w:pPr>
              <w:spacing w:line="400" w:lineRule="exac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1.</w:t>
            </w:r>
            <w:r>
              <w:rPr>
                <w:rFonts w:hint="eastAsia" w:ascii="仿宋_GB2312" w:hAnsi="仿宋_GB2312" w:eastAsia="仿宋_GB2312" w:cs="仿宋_GB2312"/>
                <w:color w:val="auto"/>
                <w:sz w:val="24"/>
                <w:szCs w:val="24"/>
                <w:highlight w:val="none"/>
              </w:rPr>
              <w:t>未制定进度计划图示；</w:t>
            </w:r>
          </w:p>
          <w:p>
            <w:pPr>
              <w:spacing w:line="400" w:lineRule="exac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2.</w:t>
            </w:r>
            <w:r>
              <w:rPr>
                <w:rFonts w:hint="eastAsia" w:ascii="仿宋_GB2312" w:hAnsi="仿宋_GB2312" w:eastAsia="仿宋_GB2312" w:cs="仿宋_GB2312"/>
                <w:color w:val="auto"/>
                <w:sz w:val="24"/>
                <w:szCs w:val="24"/>
                <w:highlight w:val="none"/>
              </w:rPr>
              <w:t>未制定进度管理书面制度；</w:t>
            </w:r>
          </w:p>
          <w:p>
            <w:pPr>
              <w:spacing w:line="400" w:lineRule="exac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3.</w:t>
            </w:r>
            <w:r>
              <w:rPr>
                <w:rFonts w:hint="eastAsia" w:ascii="仿宋_GB2312" w:hAnsi="仿宋_GB2312" w:eastAsia="仿宋_GB2312" w:cs="仿宋_GB2312"/>
                <w:color w:val="auto"/>
                <w:sz w:val="24"/>
                <w:szCs w:val="24"/>
                <w:highlight w:val="none"/>
              </w:rPr>
              <w:t>工程实际进度落后进度计划节点且无调整措施方案。</w:t>
            </w:r>
          </w:p>
        </w:tc>
        <w:tc>
          <w:tcPr>
            <w:tcW w:w="1186" w:type="dxa"/>
            <w:noWrap w:val="0"/>
            <w:vAlign w:val="center"/>
          </w:tcPr>
          <w:p>
            <w:pPr>
              <w:spacing w:line="400" w:lineRule="exact"/>
              <w:rPr>
                <w:rFonts w:hint="eastAsia" w:ascii="仿宋_GB2312" w:hAnsi="仿宋_GB2312" w:eastAsia="仿宋_GB2312" w:cs="仿宋_GB2312"/>
                <w:b/>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vMerge w:val="continue"/>
            <w:noWrap w:val="0"/>
            <w:vAlign w:val="center"/>
          </w:tcPr>
          <w:p>
            <w:pPr>
              <w:spacing w:line="400" w:lineRule="exact"/>
              <w:jc w:val="center"/>
              <w:rPr>
                <w:rFonts w:hint="eastAsia" w:ascii="仿宋_GB2312" w:hAnsi="仿宋_GB2312" w:eastAsia="仿宋_GB2312" w:cs="仿宋_GB2312"/>
                <w:color w:val="auto"/>
                <w:sz w:val="24"/>
                <w:szCs w:val="24"/>
                <w:highlight w:val="none"/>
              </w:rPr>
            </w:pPr>
          </w:p>
        </w:tc>
        <w:tc>
          <w:tcPr>
            <w:tcW w:w="2093" w:type="dxa"/>
            <w:noWrap w:val="0"/>
            <w:vAlign w:val="center"/>
          </w:tcPr>
          <w:p>
            <w:pPr>
              <w:spacing w:line="400" w:lineRule="exac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财务管理</w:t>
            </w:r>
          </w:p>
          <w:p>
            <w:pPr>
              <w:spacing w:line="400" w:lineRule="exac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代建单位应当严格执行财经纪律，建立健全财务管理制度。</w:t>
            </w:r>
          </w:p>
        </w:tc>
        <w:tc>
          <w:tcPr>
            <w:tcW w:w="6095" w:type="dxa"/>
            <w:noWrap w:val="0"/>
            <w:vAlign w:val="center"/>
          </w:tcPr>
          <w:p>
            <w:pPr>
              <w:spacing w:line="400" w:lineRule="exac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检查现场、征询财政等行政主管部门记录、查看财务记录和听取有关情况。</w:t>
            </w:r>
          </w:p>
          <w:p>
            <w:pPr>
              <w:spacing w:line="400" w:lineRule="exac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1.</w:t>
            </w:r>
            <w:r>
              <w:rPr>
                <w:rFonts w:hint="eastAsia" w:ascii="仿宋_GB2312" w:hAnsi="仿宋_GB2312" w:eastAsia="仿宋_GB2312" w:cs="仿宋_GB2312"/>
                <w:color w:val="auto"/>
                <w:sz w:val="24"/>
                <w:szCs w:val="24"/>
                <w:highlight w:val="none"/>
              </w:rPr>
              <w:t>未制定项目资金管理、财务管理书面制度；</w:t>
            </w:r>
          </w:p>
          <w:p>
            <w:pPr>
              <w:spacing w:line="400" w:lineRule="exac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2.</w:t>
            </w:r>
            <w:r>
              <w:rPr>
                <w:rFonts w:hint="eastAsia" w:ascii="仿宋_GB2312" w:hAnsi="仿宋_GB2312" w:eastAsia="仿宋_GB2312" w:cs="仿宋_GB2312"/>
                <w:color w:val="auto"/>
                <w:sz w:val="24"/>
                <w:szCs w:val="24"/>
                <w:highlight w:val="none"/>
              </w:rPr>
              <w:t>财务记录不全、混乱；</w:t>
            </w:r>
          </w:p>
          <w:p>
            <w:pPr>
              <w:spacing w:line="400" w:lineRule="exac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3.</w:t>
            </w:r>
            <w:r>
              <w:rPr>
                <w:rFonts w:hint="eastAsia" w:ascii="仿宋_GB2312" w:hAnsi="仿宋_GB2312" w:eastAsia="仿宋_GB2312" w:cs="仿宋_GB2312"/>
                <w:color w:val="auto"/>
                <w:sz w:val="24"/>
                <w:szCs w:val="24"/>
                <w:highlight w:val="none"/>
              </w:rPr>
              <w:t>因代建单位原因未及时申请拨付资金导致出现重大纠纷；</w:t>
            </w:r>
          </w:p>
          <w:p>
            <w:pPr>
              <w:spacing w:line="400" w:lineRule="exac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4.</w:t>
            </w:r>
            <w:r>
              <w:rPr>
                <w:rFonts w:hint="eastAsia" w:ascii="仿宋_GB2312" w:hAnsi="仿宋_GB2312" w:eastAsia="仿宋_GB2312" w:cs="仿宋_GB2312"/>
                <w:color w:val="auto"/>
                <w:sz w:val="24"/>
                <w:szCs w:val="24"/>
                <w:highlight w:val="none"/>
              </w:rPr>
              <w:t>违反项目建设资金使用和财务管理规定。</w:t>
            </w:r>
          </w:p>
        </w:tc>
        <w:tc>
          <w:tcPr>
            <w:tcW w:w="1186" w:type="dxa"/>
            <w:noWrap w:val="0"/>
            <w:vAlign w:val="center"/>
          </w:tcPr>
          <w:p>
            <w:pPr>
              <w:spacing w:line="400" w:lineRule="exact"/>
              <w:rPr>
                <w:rFonts w:hint="eastAsia" w:ascii="仿宋_GB2312" w:hAnsi="仿宋_GB2312" w:eastAsia="仿宋_GB2312" w:cs="仿宋_GB2312"/>
                <w:b/>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noWrap w:val="0"/>
            <w:vAlign w:val="center"/>
          </w:tcPr>
          <w:p>
            <w:pPr>
              <w:spacing w:line="400" w:lineRule="exact"/>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信息沟通</w:t>
            </w:r>
          </w:p>
        </w:tc>
        <w:tc>
          <w:tcPr>
            <w:tcW w:w="2093" w:type="dxa"/>
            <w:noWrap w:val="0"/>
            <w:vAlign w:val="center"/>
          </w:tcPr>
          <w:p>
            <w:pPr>
              <w:spacing w:line="400" w:lineRule="exac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落实项目管理月报制和重要环节报告制。</w:t>
            </w:r>
          </w:p>
          <w:p>
            <w:pPr>
              <w:spacing w:line="400" w:lineRule="exac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代建单位应当将工作进度于每月5号前、项目的重要环节、争议事项及时向发改部门报告。</w:t>
            </w:r>
          </w:p>
        </w:tc>
        <w:tc>
          <w:tcPr>
            <w:tcW w:w="6095" w:type="dxa"/>
            <w:noWrap w:val="0"/>
            <w:vAlign w:val="center"/>
          </w:tcPr>
          <w:p>
            <w:pPr>
              <w:spacing w:line="400" w:lineRule="exac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查看发展改革部门记录资料和核实了解有关情况。</w:t>
            </w:r>
          </w:p>
          <w:p>
            <w:pPr>
              <w:spacing w:line="400" w:lineRule="exac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1.</w:t>
            </w:r>
            <w:r>
              <w:rPr>
                <w:rFonts w:hint="eastAsia" w:ascii="仿宋_GB2312" w:hAnsi="仿宋_GB2312" w:eastAsia="仿宋_GB2312" w:cs="仿宋_GB2312"/>
                <w:color w:val="auto"/>
                <w:sz w:val="24"/>
                <w:szCs w:val="24"/>
                <w:highlight w:val="none"/>
              </w:rPr>
              <w:t>未按时报送月报；</w:t>
            </w:r>
          </w:p>
          <w:p>
            <w:pPr>
              <w:spacing w:line="400" w:lineRule="exac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2.</w:t>
            </w:r>
            <w:r>
              <w:rPr>
                <w:rFonts w:hint="eastAsia" w:ascii="仿宋_GB2312" w:hAnsi="仿宋_GB2312" w:eastAsia="仿宋_GB2312" w:cs="仿宋_GB2312"/>
                <w:color w:val="auto"/>
                <w:sz w:val="24"/>
                <w:szCs w:val="24"/>
                <w:highlight w:val="none"/>
              </w:rPr>
              <w:t>代建项目开工后，未及时将重要环节（项目开工、项目招标和政府采购活动、重大设计变更论证、概算调整、项目竣工验收、项目实体移交、决算、结算批复情况等）报告发改部门；</w:t>
            </w:r>
          </w:p>
          <w:p>
            <w:pPr>
              <w:spacing w:line="400" w:lineRule="exac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3.</w:t>
            </w:r>
            <w:r>
              <w:rPr>
                <w:rFonts w:hint="eastAsia" w:ascii="仿宋_GB2312" w:hAnsi="仿宋_GB2312" w:eastAsia="仿宋_GB2312" w:cs="仿宋_GB2312"/>
                <w:color w:val="auto"/>
                <w:sz w:val="24"/>
                <w:szCs w:val="24"/>
                <w:highlight w:val="none"/>
              </w:rPr>
              <w:t>未将重大争议事项报告发改部门，影响项目建设；</w:t>
            </w:r>
          </w:p>
          <w:p>
            <w:pPr>
              <w:spacing w:line="400" w:lineRule="exact"/>
              <w:rPr>
                <w:rFonts w:hint="eastAsia" w:ascii="仿宋_GB2312" w:hAnsi="仿宋_GB2312" w:eastAsia="仿宋_GB2312" w:cs="仿宋_GB2312"/>
                <w:b/>
                <w:bCs/>
                <w:color w:val="auto"/>
                <w:sz w:val="24"/>
                <w:szCs w:val="24"/>
                <w:highlight w:val="none"/>
              </w:rPr>
            </w:pPr>
            <w:r>
              <w:rPr>
                <w:rFonts w:hint="eastAsia" w:ascii="仿宋_GB2312" w:hAnsi="仿宋_GB2312" w:eastAsia="仿宋_GB2312" w:cs="仿宋_GB2312"/>
                <w:color w:val="auto"/>
                <w:sz w:val="24"/>
                <w:szCs w:val="24"/>
                <w:highlight w:val="none"/>
                <w:lang w:val="en-US" w:eastAsia="zh-CN"/>
              </w:rPr>
              <w:t>4.</w:t>
            </w:r>
            <w:r>
              <w:rPr>
                <w:rFonts w:hint="eastAsia" w:ascii="仿宋_GB2312" w:hAnsi="仿宋_GB2312" w:eastAsia="仿宋_GB2312" w:cs="仿宋_GB2312"/>
                <w:color w:val="auto"/>
                <w:sz w:val="24"/>
                <w:szCs w:val="24"/>
                <w:highlight w:val="none"/>
              </w:rPr>
              <w:t>现场核实月报相关情况，情况不实。</w:t>
            </w:r>
          </w:p>
        </w:tc>
        <w:tc>
          <w:tcPr>
            <w:tcW w:w="1186" w:type="dxa"/>
            <w:noWrap w:val="0"/>
            <w:vAlign w:val="center"/>
          </w:tcPr>
          <w:p>
            <w:pPr>
              <w:spacing w:line="400" w:lineRule="exact"/>
              <w:rPr>
                <w:rFonts w:hint="eastAsia" w:ascii="仿宋_GB2312" w:hAnsi="仿宋_GB2312" w:eastAsia="仿宋_GB2312" w:cs="仿宋_GB2312"/>
                <w:b/>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7" w:hRule="atLeast"/>
          <w:jc w:val="center"/>
        </w:trPr>
        <w:tc>
          <w:tcPr>
            <w:tcW w:w="852" w:type="dxa"/>
            <w:vMerge w:val="restart"/>
            <w:noWrap w:val="0"/>
            <w:vAlign w:val="center"/>
          </w:tcPr>
          <w:p>
            <w:pPr>
              <w:spacing w:line="400" w:lineRule="exact"/>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代建目标</w:t>
            </w:r>
          </w:p>
        </w:tc>
        <w:tc>
          <w:tcPr>
            <w:tcW w:w="2093" w:type="dxa"/>
            <w:noWrap w:val="0"/>
            <w:vAlign w:val="center"/>
          </w:tcPr>
          <w:p>
            <w:pPr>
              <w:spacing w:line="400" w:lineRule="exac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投资控制，确保决算不超概算。</w:t>
            </w:r>
          </w:p>
        </w:tc>
        <w:tc>
          <w:tcPr>
            <w:tcW w:w="6095" w:type="dxa"/>
            <w:noWrap w:val="0"/>
            <w:vAlign w:val="center"/>
          </w:tcPr>
          <w:p>
            <w:pPr>
              <w:spacing w:line="400" w:lineRule="exac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项目决算突破最终批复的概算。</w:t>
            </w:r>
          </w:p>
        </w:tc>
        <w:tc>
          <w:tcPr>
            <w:tcW w:w="1186" w:type="dxa"/>
            <w:noWrap w:val="0"/>
            <w:vAlign w:val="center"/>
          </w:tcPr>
          <w:p>
            <w:pPr>
              <w:spacing w:line="400" w:lineRule="exact"/>
              <w:rPr>
                <w:rFonts w:hint="eastAsia" w:ascii="仿宋_GB2312" w:hAnsi="仿宋_GB2312" w:eastAsia="仿宋_GB2312" w:cs="仿宋_GB2312"/>
                <w:b/>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2" w:hRule="atLeast"/>
          <w:jc w:val="center"/>
        </w:trPr>
        <w:tc>
          <w:tcPr>
            <w:tcW w:w="852" w:type="dxa"/>
            <w:vMerge w:val="continue"/>
            <w:noWrap w:val="0"/>
            <w:vAlign w:val="center"/>
          </w:tcPr>
          <w:p>
            <w:pPr>
              <w:spacing w:line="400" w:lineRule="exact"/>
              <w:jc w:val="center"/>
              <w:rPr>
                <w:rFonts w:hint="eastAsia" w:ascii="仿宋_GB2312" w:hAnsi="仿宋_GB2312" w:eastAsia="仿宋_GB2312" w:cs="仿宋_GB2312"/>
                <w:color w:val="auto"/>
                <w:sz w:val="24"/>
                <w:szCs w:val="24"/>
                <w:highlight w:val="none"/>
              </w:rPr>
            </w:pPr>
          </w:p>
        </w:tc>
        <w:tc>
          <w:tcPr>
            <w:tcW w:w="2093" w:type="dxa"/>
            <w:noWrap w:val="0"/>
            <w:vAlign w:val="center"/>
          </w:tcPr>
          <w:p>
            <w:pPr>
              <w:spacing w:line="400" w:lineRule="exac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代建周期控制，确保按照合同约定如期移交实体。</w:t>
            </w:r>
          </w:p>
        </w:tc>
        <w:tc>
          <w:tcPr>
            <w:tcW w:w="6095" w:type="dxa"/>
            <w:noWrap w:val="0"/>
            <w:vAlign w:val="center"/>
          </w:tcPr>
          <w:p>
            <w:pPr>
              <w:spacing w:line="400" w:lineRule="exact"/>
              <w:rPr>
                <w:rFonts w:hint="eastAsia" w:ascii="仿宋_GB2312" w:hAnsi="仿宋_GB2312" w:eastAsia="仿宋_GB2312" w:cs="仿宋_GB2312"/>
                <w:b/>
                <w:bCs/>
                <w:color w:val="auto"/>
                <w:sz w:val="24"/>
                <w:szCs w:val="24"/>
                <w:highlight w:val="none"/>
              </w:rPr>
            </w:pPr>
            <w:r>
              <w:rPr>
                <w:rFonts w:hint="eastAsia" w:ascii="仿宋_GB2312" w:hAnsi="仿宋_GB2312" w:eastAsia="仿宋_GB2312" w:cs="仿宋_GB2312"/>
                <w:color w:val="auto"/>
                <w:sz w:val="24"/>
                <w:szCs w:val="24"/>
                <w:highlight w:val="none"/>
              </w:rPr>
              <w:t>因代建单位原因致使项目代建周期延长。</w:t>
            </w:r>
          </w:p>
        </w:tc>
        <w:tc>
          <w:tcPr>
            <w:tcW w:w="1186" w:type="dxa"/>
            <w:noWrap w:val="0"/>
            <w:vAlign w:val="center"/>
          </w:tcPr>
          <w:p>
            <w:pPr>
              <w:spacing w:line="400" w:lineRule="exact"/>
              <w:rPr>
                <w:rFonts w:hint="eastAsia" w:ascii="仿宋_GB2312" w:hAnsi="仿宋_GB2312" w:eastAsia="仿宋_GB2312" w:cs="仿宋_GB2312"/>
                <w:b/>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5" w:hRule="atLeast"/>
          <w:jc w:val="center"/>
        </w:trPr>
        <w:tc>
          <w:tcPr>
            <w:tcW w:w="852" w:type="dxa"/>
            <w:vMerge w:val="continue"/>
            <w:noWrap w:val="0"/>
            <w:vAlign w:val="center"/>
          </w:tcPr>
          <w:p>
            <w:pPr>
              <w:spacing w:line="400" w:lineRule="exact"/>
              <w:jc w:val="center"/>
              <w:rPr>
                <w:rFonts w:hint="eastAsia" w:ascii="仿宋_GB2312" w:hAnsi="仿宋_GB2312" w:eastAsia="仿宋_GB2312" w:cs="仿宋_GB2312"/>
                <w:color w:val="auto"/>
                <w:sz w:val="24"/>
                <w:szCs w:val="24"/>
                <w:highlight w:val="none"/>
              </w:rPr>
            </w:pPr>
          </w:p>
        </w:tc>
        <w:tc>
          <w:tcPr>
            <w:tcW w:w="2093" w:type="dxa"/>
            <w:noWrap w:val="0"/>
            <w:vAlign w:val="center"/>
          </w:tcPr>
          <w:p>
            <w:pPr>
              <w:spacing w:line="400" w:lineRule="exac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质量控制，确保代建项目的质量合格。</w:t>
            </w:r>
          </w:p>
        </w:tc>
        <w:tc>
          <w:tcPr>
            <w:tcW w:w="6095" w:type="dxa"/>
            <w:noWrap w:val="0"/>
            <w:vAlign w:val="center"/>
          </w:tcPr>
          <w:p>
            <w:pPr>
              <w:spacing w:line="400" w:lineRule="exac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竣工验收工程质量不合格</w:t>
            </w:r>
          </w:p>
        </w:tc>
        <w:tc>
          <w:tcPr>
            <w:tcW w:w="1186" w:type="dxa"/>
            <w:noWrap w:val="0"/>
            <w:vAlign w:val="center"/>
          </w:tcPr>
          <w:p>
            <w:pPr>
              <w:spacing w:line="400" w:lineRule="exact"/>
              <w:rPr>
                <w:rFonts w:hint="eastAsia" w:ascii="仿宋_GB2312" w:hAnsi="仿宋_GB2312" w:eastAsia="仿宋_GB2312" w:cs="仿宋_GB2312"/>
                <w:b/>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8" w:hRule="atLeast"/>
          <w:jc w:val="center"/>
        </w:trPr>
        <w:tc>
          <w:tcPr>
            <w:tcW w:w="852" w:type="dxa"/>
            <w:vMerge w:val="continue"/>
            <w:noWrap w:val="0"/>
            <w:vAlign w:val="center"/>
          </w:tcPr>
          <w:p>
            <w:pPr>
              <w:spacing w:line="400" w:lineRule="exact"/>
              <w:jc w:val="center"/>
              <w:rPr>
                <w:rFonts w:hint="eastAsia" w:ascii="仿宋_GB2312" w:hAnsi="仿宋_GB2312" w:eastAsia="仿宋_GB2312" w:cs="仿宋_GB2312"/>
                <w:b/>
                <w:bCs/>
                <w:color w:val="auto"/>
                <w:sz w:val="24"/>
                <w:szCs w:val="24"/>
                <w:highlight w:val="none"/>
              </w:rPr>
            </w:pPr>
          </w:p>
        </w:tc>
        <w:tc>
          <w:tcPr>
            <w:tcW w:w="2093" w:type="dxa"/>
            <w:noWrap w:val="0"/>
            <w:vAlign w:val="center"/>
          </w:tcPr>
          <w:p>
            <w:pPr>
              <w:spacing w:line="400" w:lineRule="exac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廉洁守法，保证国家和社会公共利益。</w:t>
            </w:r>
          </w:p>
        </w:tc>
        <w:tc>
          <w:tcPr>
            <w:tcW w:w="6095" w:type="dxa"/>
            <w:noWrap w:val="0"/>
            <w:vAlign w:val="center"/>
          </w:tcPr>
          <w:p>
            <w:pPr>
              <w:spacing w:line="400" w:lineRule="exac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1.</w:t>
            </w:r>
            <w:r>
              <w:rPr>
                <w:rFonts w:hint="eastAsia" w:ascii="仿宋_GB2312" w:hAnsi="仿宋_GB2312" w:eastAsia="仿宋_GB2312" w:cs="仿宋_GB2312"/>
                <w:color w:val="auto"/>
                <w:sz w:val="24"/>
                <w:szCs w:val="24"/>
                <w:highlight w:val="none"/>
              </w:rPr>
              <w:t>与使用单位串通，损害国家利益或者社会公共利益；</w:t>
            </w:r>
          </w:p>
          <w:p>
            <w:pPr>
              <w:spacing w:line="400" w:lineRule="exac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2.</w:t>
            </w:r>
            <w:r>
              <w:rPr>
                <w:rFonts w:hint="eastAsia" w:ascii="仿宋_GB2312" w:hAnsi="仿宋_GB2312" w:eastAsia="仿宋_GB2312" w:cs="仿宋_GB2312"/>
                <w:color w:val="auto"/>
                <w:sz w:val="24"/>
                <w:szCs w:val="24"/>
                <w:highlight w:val="none"/>
              </w:rPr>
              <w:t>与勘察设计、施工、监理、设备材料供应等单位串通，谋取不正当利益或者损害使用单位利益；</w:t>
            </w:r>
          </w:p>
          <w:p>
            <w:pPr>
              <w:spacing w:line="400" w:lineRule="exac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3.</w:t>
            </w:r>
            <w:r>
              <w:rPr>
                <w:rFonts w:hint="eastAsia" w:ascii="仿宋_GB2312" w:hAnsi="仿宋_GB2312" w:eastAsia="仿宋_GB2312" w:cs="仿宋_GB2312"/>
                <w:color w:val="auto"/>
                <w:sz w:val="24"/>
                <w:szCs w:val="24"/>
                <w:highlight w:val="none"/>
              </w:rPr>
              <w:t>在代建过程中，发生其他违背廉洁承诺、违反法律法规和政策要求行为，代建单位或单位员工因代建工作被追究刑事责任、处以责令停产停业、暂扣或者吊销许可证或者执照、较大数额罚款的。</w:t>
            </w:r>
          </w:p>
        </w:tc>
        <w:tc>
          <w:tcPr>
            <w:tcW w:w="1186" w:type="dxa"/>
            <w:noWrap w:val="0"/>
            <w:vAlign w:val="center"/>
          </w:tcPr>
          <w:p>
            <w:pPr>
              <w:spacing w:line="400" w:lineRule="exact"/>
              <w:rPr>
                <w:rFonts w:hint="eastAsia" w:ascii="仿宋_GB2312" w:hAnsi="仿宋_GB2312" w:eastAsia="仿宋_GB2312" w:cs="仿宋_GB2312"/>
                <w:b/>
                <w:bCs/>
                <w:color w:val="auto"/>
                <w:sz w:val="24"/>
                <w:szCs w:val="24"/>
                <w:highlight w:val="none"/>
              </w:rPr>
            </w:pPr>
          </w:p>
        </w:tc>
      </w:tr>
    </w:tbl>
    <w:p>
      <w:pPr>
        <w:keepNext w:val="0"/>
        <w:keepLines w:val="0"/>
        <w:pageBreakBefore w:val="0"/>
        <w:widowControl w:val="0"/>
        <w:kinsoku/>
        <w:wordWrap/>
        <w:overflowPunct/>
        <w:topLinePunct w:val="0"/>
        <w:autoSpaceDE/>
        <w:autoSpaceDN/>
        <w:bidi w:val="0"/>
        <w:adjustRightInd/>
        <w:snapToGrid/>
        <w:spacing w:line="579" w:lineRule="exact"/>
        <w:jc w:val="both"/>
        <w:textAlignment w:val="auto"/>
        <w:outlineLvl w:val="9"/>
        <w:rPr>
          <w:rFonts w:hint="eastAsia"/>
          <w:color w:val="auto"/>
        </w:rPr>
      </w:pPr>
      <w:r>
        <w:rPr>
          <w:color w:val="auto"/>
          <w:sz w:val="20"/>
        </w:rPr>
        <mc:AlternateContent>
          <mc:Choice Requires="wps">
            <w:drawing>
              <wp:anchor distT="0" distB="0" distL="114300" distR="114300" simplePos="0" relativeHeight="251663360" behindDoc="0" locked="0" layoutInCell="1" allowOverlap="1">
                <wp:simplePos x="0" y="0"/>
                <wp:positionH relativeFrom="column">
                  <wp:posOffset>4557395</wp:posOffset>
                </wp:positionH>
                <wp:positionV relativeFrom="paragraph">
                  <wp:posOffset>8235315</wp:posOffset>
                </wp:positionV>
                <wp:extent cx="952500" cy="225425"/>
                <wp:effectExtent l="0" t="0" r="0" b="3175"/>
                <wp:wrapNone/>
                <wp:docPr id="4" name="文本框 6"/>
                <wp:cNvGraphicFramePr/>
                <a:graphic xmlns:a="http://schemas.openxmlformats.org/drawingml/2006/main">
                  <a:graphicData uri="http://schemas.microsoft.com/office/word/2010/wordprocessingShape">
                    <wps:wsp>
                      <wps:cNvSpPr txBox="1"/>
                      <wps:spPr>
                        <a:xfrm>
                          <a:off x="0" y="0"/>
                          <a:ext cx="952500" cy="225425"/>
                        </a:xfrm>
                        <a:prstGeom prst="rect">
                          <a:avLst/>
                        </a:prstGeom>
                        <a:solidFill>
                          <a:srgbClr val="FFFFFF"/>
                        </a:solidFill>
                        <a:ln>
                          <a:noFill/>
                        </a:ln>
                      </wps:spPr>
                      <wps:txbx>
                        <w:txbxContent>
                          <w:p/>
                        </w:txbxContent>
                      </wps:txbx>
                      <wps:bodyPr upright="1"/>
                    </wps:wsp>
                  </a:graphicData>
                </a:graphic>
              </wp:anchor>
            </w:drawing>
          </mc:Choice>
          <mc:Fallback>
            <w:pict>
              <v:shape id="文本框 6" o:spid="_x0000_s1026" o:spt="202" type="#_x0000_t202" style="position:absolute;left:0pt;margin-left:358.85pt;margin-top:648.45pt;height:17.75pt;width:75pt;z-index:251663360;mso-width-relative:page;mso-height-relative:page;" fillcolor="#FFFFFF" filled="t" stroked="f" coordsize="21600,21600" o:gfxdata="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P4eFmrZAAAADQEAAA8AAAAAAAAAAQAgAAAAIgAAAGRycy9kb3ducmV2Lnht&#10;bFBLAQIUABQAAAAIAIdO4kCPbB9LvwEAAHYDAAAOAAAAAAAAAAEAIAAAACgBAABkcnMvZTJvRG9j&#10;LnhtbFBLBQYAAAAABgAGAFkBAABZBQAAAAA=&#10;">
                <v:fill on="t" focussize="0,0"/>
                <v:stroke on="f"/>
                <v:imagedata o:title=""/>
                <o:lock v:ext="edit" aspectratio="f"/>
                <v:textbox>
                  <w:txbxContent>
                    <w:p/>
                  </w:txbxContent>
                </v:textbox>
              </v:shape>
            </w:pict>
          </mc:Fallback>
        </mc:AlternateContent>
      </w:r>
    </w:p>
    <w:tbl>
      <w:tblPr>
        <w:tblStyle w:val="15"/>
        <w:tblpPr w:leftFromText="180" w:rightFromText="180" w:vertAnchor="text" w:horzAnchor="page" w:tblpXSpec="center" w:tblpY="11535"/>
        <w:tblW w:w="8401" w:type="dxa"/>
        <w:jc w:val="center"/>
        <w:tblLayout w:type="fixed"/>
        <w:tblCellMar>
          <w:top w:w="0" w:type="dxa"/>
          <w:left w:w="108" w:type="dxa"/>
          <w:bottom w:w="0" w:type="dxa"/>
          <w:right w:w="108" w:type="dxa"/>
        </w:tblCellMar>
      </w:tblPr>
      <w:tblGrid>
        <w:gridCol w:w="8401"/>
      </w:tblGrid>
      <w:tr>
        <w:tblPrEx>
          <w:tblCellMar>
            <w:top w:w="0" w:type="dxa"/>
            <w:left w:w="108" w:type="dxa"/>
            <w:bottom w:w="0" w:type="dxa"/>
            <w:right w:w="108" w:type="dxa"/>
          </w:tblCellMar>
        </w:tblPrEx>
        <w:trPr>
          <w:trHeight w:val="517" w:hRule="atLeast"/>
          <w:jc w:val="center"/>
        </w:trPr>
        <w:tc>
          <w:tcPr>
            <w:tcW w:w="8401" w:type="dxa"/>
            <w:tcBorders>
              <w:top w:val="single" w:color="000000" w:sz="4" w:space="0"/>
              <w:left w:val="nil"/>
              <w:bottom w:val="single" w:color="000000" w:sz="4" w:space="0"/>
              <w:right w:val="nil"/>
            </w:tcBorders>
            <w:noWrap w:val="0"/>
            <w:vAlign w:val="center"/>
          </w:tcPr>
          <w:p>
            <w:pPr>
              <w:keepNext w:val="0"/>
              <w:keepLines w:val="0"/>
              <w:pageBreakBefore w:val="0"/>
              <w:widowControl w:val="0"/>
              <w:kinsoku/>
              <w:wordWrap/>
              <w:overflowPunct/>
              <w:topLinePunct w:val="0"/>
              <w:bidi w:val="0"/>
              <w:spacing w:line="560" w:lineRule="exact"/>
              <w:textAlignment w:val="auto"/>
              <w:rPr>
                <w:rFonts w:hint="eastAsia" w:ascii="仿宋_GB2312" w:eastAsia="仿宋_GB2312"/>
                <w:color w:val="auto"/>
                <w:sz w:val="28"/>
                <w:szCs w:val="28"/>
              </w:rPr>
            </w:pPr>
            <w:r>
              <w:rPr>
                <w:rFonts w:hint="eastAsia" w:ascii="仿宋_GB2312" w:eastAsia="仿宋_GB2312"/>
                <w:color w:val="auto"/>
                <w:sz w:val="28"/>
                <w:szCs w:val="28"/>
              </w:rPr>
              <w:t xml:space="preserve">深圳市深汕特别合作区党政办公室  </w:t>
            </w:r>
            <w:r>
              <w:rPr>
                <w:rFonts w:hint="eastAsia" w:ascii="仿宋_GB2312" w:eastAsia="仿宋_GB2312"/>
                <w:color w:val="auto"/>
                <w:sz w:val="28"/>
                <w:szCs w:val="28"/>
                <w:lang w:val="en-US" w:eastAsia="zh-CN"/>
              </w:rPr>
              <w:t xml:space="preserve">       </w:t>
            </w:r>
            <w:r>
              <w:rPr>
                <w:rFonts w:hint="eastAsia" w:ascii="仿宋_GB2312" w:eastAsia="仿宋_GB2312"/>
                <w:color w:val="auto"/>
                <w:sz w:val="28"/>
                <w:szCs w:val="28"/>
              </w:rPr>
              <w:t>202</w:t>
            </w:r>
            <w:r>
              <w:rPr>
                <w:rFonts w:hint="eastAsia" w:ascii="仿宋_GB2312" w:eastAsia="仿宋_GB2312"/>
                <w:color w:val="auto"/>
                <w:sz w:val="28"/>
                <w:szCs w:val="28"/>
                <w:lang w:val="en-US" w:eastAsia="zh-CN"/>
              </w:rPr>
              <w:t>2</w:t>
            </w:r>
            <w:r>
              <w:rPr>
                <w:rFonts w:hint="eastAsia" w:ascii="仿宋_GB2312" w:eastAsia="仿宋_GB2312"/>
                <w:color w:val="auto"/>
                <w:sz w:val="28"/>
                <w:szCs w:val="28"/>
              </w:rPr>
              <w:t>年</w:t>
            </w:r>
            <w:r>
              <w:rPr>
                <w:rFonts w:hint="eastAsia" w:ascii="仿宋_GB2312" w:eastAsia="仿宋_GB2312"/>
                <w:color w:val="auto"/>
                <w:sz w:val="28"/>
                <w:szCs w:val="28"/>
                <w:lang w:val="en-US" w:eastAsia="zh-CN"/>
              </w:rPr>
              <w:t>5</w:t>
            </w:r>
            <w:r>
              <w:rPr>
                <w:rFonts w:hint="eastAsia" w:ascii="仿宋_GB2312" w:eastAsia="仿宋_GB2312"/>
                <w:color w:val="auto"/>
                <w:sz w:val="28"/>
                <w:szCs w:val="28"/>
              </w:rPr>
              <w:t>月</w:t>
            </w:r>
            <w:r>
              <w:rPr>
                <w:rFonts w:hint="eastAsia" w:ascii="仿宋_GB2312" w:eastAsia="仿宋_GB2312"/>
                <w:color w:val="auto"/>
                <w:sz w:val="28"/>
                <w:szCs w:val="28"/>
                <w:lang w:val="en-US" w:eastAsia="zh-CN"/>
              </w:rPr>
              <w:t>19</w:t>
            </w:r>
            <w:r>
              <w:rPr>
                <w:rFonts w:hint="eastAsia" w:ascii="仿宋_GB2312" w:eastAsia="仿宋_GB2312"/>
                <w:color w:val="auto"/>
                <w:sz w:val="28"/>
                <w:szCs w:val="28"/>
              </w:rPr>
              <w:t>日印发</w:t>
            </w:r>
          </w:p>
        </w:tc>
      </w:tr>
    </w:tbl>
    <w:p>
      <w:pPr>
        <w:keepNext w:val="0"/>
        <w:keepLines w:val="0"/>
        <w:pageBreakBefore w:val="0"/>
        <w:widowControl w:val="0"/>
        <w:kinsoku/>
        <w:wordWrap/>
        <w:overflowPunct/>
        <w:topLinePunct w:val="0"/>
        <w:autoSpaceDE/>
        <w:autoSpaceDN/>
        <w:bidi w:val="0"/>
        <w:adjustRightInd/>
        <w:snapToGrid/>
        <w:spacing w:line="579" w:lineRule="exact"/>
        <w:jc w:val="both"/>
        <w:textAlignment w:val="auto"/>
        <w:outlineLvl w:val="9"/>
        <w:rPr>
          <w:rFonts w:hint="eastAsia"/>
          <w:color w:val="auto"/>
        </w:rPr>
      </w:pPr>
      <w:r>
        <w:rPr>
          <w:color w:val="auto"/>
          <w:sz w:val="20"/>
        </w:rPr>
        <mc:AlternateContent>
          <mc:Choice Requires="wps">
            <w:drawing>
              <wp:anchor distT="0" distB="0" distL="114300" distR="114300" simplePos="0" relativeHeight="251662336" behindDoc="0" locked="0" layoutInCell="1" allowOverlap="1">
                <wp:simplePos x="0" y="0"/>
                <wp:positionH relativeFrom="column">
                  <wp:posOffset>90170</wp:posOffset>
                </wp:positionH>
                <wp:positionV relativeFrom="paragraph">
                  <wp:posOffset>7810500</wp:posOffset>
                </wp:positionV>
                <wp:extent cx="952500" cy="225425"/>
                <wp:effectExtent l="0" t="0" r="0" b="3175"/>
                <wp:wrapNone/>
                <wp:docPr id="3" name="文本框 5"/>
                <wp:cNvGraphicFramePr/>
                <a:graphic xmlns:a="http://schemas.openxmlformats.org/drawingml/2006/main">
                  <a:graphicData uri="http://schemas.microsoft.com/office/word/2010/wordprocessingShape">
                    <wps:wsp>
                      <wps:cNvSpPr txBox="1"/>
                      <wps:spPr>
                        <a:xfrm>
                          <a:off x="0" y="0"/>
                          <a:ext cx="952500" cy="225425"/>
                        </a:xfrm>
                        <a:prstGeom prst="rect">
                          <a:avLst/>
                        </a:prstGeom>
                        <a:solidFill>
                          <a:srgbClr val="FFFFFF"/>
                        </a:solidFill>
                        <a:ln>
                          <a:noFill/>
                        </a:ln>
                      </wps:spPr>
                      <wps:txbx>
                        <w:txbxContent>
                          <w:p/>
                        </w:txbxContent>
                      </wps:txbx>
                      <wps:bodyPr upright="1"/>
                    </wps:wsp>
                  </a:graphicData>
                </a:graphic>
              </wp:anchor>
            </w:drawing>
          </mc:Choice>
          <mc:Fallback>
            <w:pict>
              <v:shape id="文本框 5" o:spid="_x0000_s1026" o:spt="202" type="#_x0000_t202" style="position:absolute;left:0pt;margin-left:7.1pt;margin-top:615pt;height:17.75pt;width:75pt;z-index:251662336;mso-width-relative:page;mso-height-relative:page;" fillcolor="#FFFFFF" filled="t" stroked="f" coordsize="21600,21600" o:gfxdata="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YL4lr1gAAAAwBAAAPAAAAAAAAAAEAIAAAACIAAABkcnMvZG93bnJldi54bWxQ&#10;SwECFAAUAAAACACHTuJAVT0vF8ABAAB2AwAADgAAAAAAAAABACAAAAAlAQAAZHJzL2Uyb0RvYy54&#10;bWxQSwUGAAAAAAYABgBZAQAAVwUAAAAA&#10;">
                <v:fill on="t" focussize="0,0"/>
                <v:stroke on="f"/>
                <v:imagedata o:title=""/>
                <o:lock v:ext="edit" aspectratio="f"/>
                <v:textbox>
                  <w:txbxContent>
                    <w:p/>
                  </w:txbxContent>
                </v:textbox>
              </v:shape>
            </w:pict>
          </mc:Fallback>
        </mc:AlternateContent>
      </w:r>
      <w:r>
        <w:rPr>
          <w:color w:val="auto"/>
          <w:sz w:val="20"/>
        </w:rPr>
        <mc:AlternateContent>
          <mc:Choice Requires="wps">
            <w:drawing>
              <wp:anchor distT="0" distB="0" distL="114300" distR="114300" simplePos="0" relativeHeight="251659264" behindDoc="0" locked="0" layoutInCell="1" allowOverlap="1">
                <wp:simplePos x="0" y="0"/>
                <wp:positionH relativeFrom="column">
                  <wp:posOffset>42545</wp:posOffset>
                </wp:positionH>
                <wp:positionV relativeFrom="paragraph">
                  <wp:posOffset>8229600</wp:posOffset>
                </wp:positionV>
                <wp:extent cx="952500" cy="225425"/>
                <wp:effectExtent l="0" t="0" r="0" b="3175"/>
                <wp:wrapNone/>
                <wp:docPr id="1" name="文本框 2"/>
                <wp:cNvGraphicFramePr/>
                <a:graphic xmlns:a="http://schemas.openxmlformats.org/drawingml/2006/main">
                  <a:graphicData uri="http://schemas.microsoft.com/office/word/2010/wordprocessingShape">
                    <wps:wsp>
                      <wps:cNvSpPr txBox="1"/>
                      <wps:spPr>
                        <a:xfrm>
                          <a:off x="0" y="0"/>
                          <a:ext cx="952500" cy="225425"/>
                        </a:xfrm>
                        <a:prstGeom prst="rect">
                          <a:avLst/>
                        </a:prstGeom>
                        <a:solidFill>
                          <a:srgbClr val="FFFFFF"/>
                        </a:solidFill>
                        <a:ln>
                          <a:noFill/>
                        </a:ln>
                      </wps:spPr>
                      <wps:txbx>
                        <w:txbxContent>
                          <w:p/>
                        </w:txbxContent>
                      </wps:txbx>
                      <wps:bodyPr upright="1"/>
                    </wps:wsp>
                  </a:graphicData>
                </a:graphic>
              </wp:anchor>
            </w:drawing>
          </mc:Choice>
          <mc:Fallback>
            <w:pict>
              <v:shape id="文本框 2" o:spid="_x0000_s1026" o:spt="202" type="#_x0000_t202" style="position:absolute;left:0pt;margin-left:3.35pt;margin-top:648pt;height:17.75pt;width:75pt;z-index:251659264;mso-width-relative:page;mso-height-relative:page;" fillcolor="#FFFFFF" filled="t" stroked="f" coordsize="21600,21600" o:gfxdata="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OzW9f1wAAAAsBAAAPAAAAAAAAAAEAIAAAACIAAABkcnMvZG93bnJldi54bWxQSwEC&#10;FAAUAAAACACHTuJALpuBa7wBAAB2AwAADgAAAAAAAAABACAAAAAmAQAAZHJzL2Uyb0RvYy54bWxQ&#10;SwUGAAAAAAYABgBZAQAAVAUAAAAA&#10;">
                <v:fill on="t" focussize="0,0"/>
                <v:stroke on="f"/>
                <v:imagedata o:title=""/>
                <o:lock v:ext="edit" aspectratio="f"/>
                <v:textbox>
                  <w:txbxContent>
                    <w:p/>
                  </w:txbxContent>
                </v:textbox>
              </v:shape>
            </w:pict>
          </mc:Fallback>
        </mc:AlternateContent>
      </w:r>
      <w:r>
        <w:rPr>
          <w:color w:val="auto"/>
          <w:sz w:val="20"/>
        </w:rPr>
        <mc:AlternateContent>
          <mc:Choice Requires="wps">
            <w:drawing>
              <wp:anchor distT="0" distB="0" distL="114300" distR="114300" simplePos="0" relativeHeight="251661312" behindDoc="0" locked="0" layoutInCell="1" allowOverlap="1">
                <wp:simplePos x="0" y="0"/>
                <wp:positionH relativeFrom="column">
                  <wp:posOffset>4662170</wp:posOffset>
                </wp:positionH>
                <wp:positionV relativeFrom="paragraph">
                  <wp:posOffset>7084695</wp:posOffset>
                </wp:positionV>
                <wp:extent cx="952500" cy="225425"/>
                <wp:effectExtent l="0" t="0" r="0" b="3175"/>
                <wp:wrapNone/>
                <wp:docPr id="2" name="文本框 3"/>
                <wp:cNvGraphicFramePr/>
                <a:graphic xmlns:a="http://schemas.openxmlformats.org/drawingml/2006/main">
                  <a:graphicData uri="http://schemas.microsoft.com/office/word/2010/wordprocessingShape">
                    <wps:wsp>
                      <wps:cNvSpPr txBox="1"/>
                      <wps:spPr>
                        <a:xfrm>
                          <a:off x="0" y="0"/>
                          <a:ext cx="952500" cy="225425"/>
                        </a:xfrm>
                        <a:prstGeom prst="rect">
                          <a:avLst/>
                        </a:prstGeom>
                        <a:solidFill>
                          <a:srgbClr val="FFFFFF"/>
                        </a:solidFill>
                        <a:ln>
                          <a:noFill/>
                        </a:ln>
                      </wps:spPr>
                      <wps:txbx>
                        <w:txbxContent>
                          <w:p/>
                        </w:txbxContent>
                      </wps:txbx>
                      <wps:bodyPr upright="1"/>
                    </wps:wsp>
                  </a:graphicData>
                </a:graphic>
              </wp:anchor>
            </w:drawing>
          </mc:Choice>
          <mc:Fallback>
            <w:pict>
              <v:shape id="文本框 3" o:spid="_x0000_s1026" o:spt="202" type="#_x0000_t202" style="position:absolute;left:0pt;margin-left:367.1pt;margin-top:557.85pt;height:17.75pt;width:75pt;z-index:251661312;mso-width-relative:page;mso-height-relative:page;" fillcolor="#FFFFFF" filled="t" stroked="f" coordsize="21600,21600" o:gfxdata="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Bn80WV2AAAAA0BAAAPAAAAAAAAAAEAIAAAACIAAABkcnMvZG93bnJldi54bWxQ&#10;SwECFAAUAAAACACHTuJAlq3FQ74BAAB2AwAADgAAAAAAAAABACAAAAAnAQAAZHJzL2Uyb0RvYy54&#10;bWxQSwUGAAAAAAYABgBZAQAAVwUAAAAA&#10;">
                <v:fill on="t" focussize="0,0"/>
                <v:stroke on="f"/>
                <v:imagedata o:title=""/>
                <o:lock v:ext="edit" aspectratio="f"/>
                <v:textbox>
                  <w:txbxContent>
                    <w:p/>
                  </w:txbxContent>
                </v:textbox>
              </v:shape>
            </w:pict>
          </mc:Fallback>
        </mc:AlternateContent>
      </w:r>
    </w:p>
    <w:sectPr>
      <w:headerReference r:id="rId4" w:type="first"/>
      <w:footerReference r:id="rId6" w:type="first"/>
      <w:headerReference r:id="rId3" w:type="default"/>
      <w:footerReference r:id="rId5" w:type="default"/>
      <w:pgSz w:w="11906" w:h="16838"/>
      <w:pgMar w:top="2098" w:right="1474" w:bottom="1984" w:left="1587" w:header="851" w:footer="1587" w:gutter="0"/>
      <w:pgNumType w:fmt="decimal"/>
      <w:cols w:space="0" w:num="1"/>
      <w:titlePg/>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altName w:val="方正舒体"/>
    <w:panose1 w:val="03000509000000000000"/>
    <w:charset w:val="86"/>
    <w:family w:val="script"/>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CESI黑体-GB2312">
    <w:altName w:val="黑体"/>
    <w:panose1 w:val="02000500000000000000"/>
    <w:charset w:val="86"/>
    <w:family w:val="auto"/>
    <w:pitch w:val="default"/>
    <w:sig w:usb0="00000000" w:usb1="00000000" w:usb2="00000012" w:usb3="00000000" w:csb0="0004000F" w:csb1="00000000"/>
  </w:font>
  <w:font w:name="CESI仿宋-GB2312">
    <w:altName w:val="仿宋"/>
    <w:panose1 w:val="02000500000000000000"/>
    <w:charset w:val="86"/>
    <w:family w:val="auto"/>
    <w:pitch w:val="default"/>
    <w:sig w:usb0="00000000" w:usb1="00000000" w:usb2="00000010" w:usb3="00000000" w:csb0="0004000F" w:csb1="0000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keepNext w:val="0"/>
                            <w:keepLines w:val="0"/>
                            <w:pageBreakBefore w:val="0"/>
                            <w:widowControl w:val="0"/>
                            <w:kinsoku/>
                            <w:wordWrap/>
                            <w:overflowPunct/>
                            <w:topLinePunct w:val="0"/>
                            <w:autoSpaceDE/>
                            <w:autoSpaceDN/>
                            <w:bidi w:val="0"/>
                            <w:adjustRightInd/>
                            <w:snapToGrid w:val="0"/>
                            <w:ind w:left="315" w:leftChars="150" w:right="315" w:rightChars="150"/>
                            <w:textAlignment w:val="auto"/>
                            <w:outlineLvl w:val="9"/>
                            <w:rPr>
                              <w:rFonts w:hint="eastAsia" w:ascii="宋体" w:hAnsi="宋体" w:eastAsia="宋体" w:cs="宋体"/>
                              <w:sz w:val="28"/>
                              <w:szCs w:val="28"/>
                              <w:lang w:eastAsia="zh-CN"/>
                            </w:rPr>
                          </w:pPr>
                          <w:r>
                            <w:rPr>
                              <w:rFonts w:hint="eastAsia" w:ascii="宋体" w:hAnsi="宋体" w:cs="宋体"/>
                              <w:sz w:val="28"/>
                              <w:szCs w:val="28"/>
                              <w:lang w:eastAsia="zh-CN"/>
                            </w:rPr>
                            <w:t xml:space="preserve">— </w:t>
                          </w:r>
                          <w:r>
                            <w:rPr>
                              <w:rFonts w:hint="eastAsia" w:ascii="宋体" w:hAnsi="宋体" w:cs="宋体"/>
                              <w:sz w:val="28"/>
                              <w:szCs w:val="28"/>
                              <w:lang w:eastAsia="zh-CN"/>
                            </w:rPr>
                            <w:fldChar w:fldCharType="begin"/>
                          </w:r>
                          <w:r>
                            <w:rPr>
                              <w:rFonts w:hint="eastAsia" w:ascii="宋体" w:hAnsi="宋体" w:cs="宋体"/>
                              <w:sz w:val="28"/>
                              <w:szCs w:val="28"/>
                              <w:lang w:eastAsia="zh-CN"/>
                            </w:rPr>
                            <w:instrText xml:space="preserve"> PAGE  \* MERGEFORMAT </w:instrText>
                          </w:r>
                          <w:r>
                            <w:rPr>
                              <w:rFonts w:hint="eastAsia" w:ascii="宋体" w:hAnsi="宋体" w:cs="宋体"/>
                              <w:sz w:val="28"/>
                              <w:szCs w:val="28"/>
                              <w:lang w:eastAsia="zh-CN"/>
                            </w:rPr>
                            <w:fldChar w:fldCharType="separate"/>
                          </w:r>
                          <w:r>
                            <w:rPr>
                              <w:rFonts w:hint="eastAsia" w:ascii="宋体" w:hAnsi="宋体" w:cs="宋体"/>
                              <w:sz w:val="28"/>
                              <w:szCs w:val="28"/>
                              <w:lang w:eastAsia="zh-CN"/>
                            </w:rPr>
                            <w:t>12</w:t>
                          </w:r>
                          <w:r>
                            <w:rPr>
                              <w:rFonts w:hint="eastAsia" w:ascii="宋体" w:hAnsi="宋体" w:cs="宋体"/>
                              <w:sz w:val="28"/>
                              <w:szCs w:val="28"/>
                              <w:lang w:eastAsia="zh-CN"/>
                            </w:rPr>
                            <w:fldChar w:fldCharType="end"/>
                          </w:r>
                          <w:r>
                            <w:rPr>
                              <w:rFonts w:hint="eastAsia" w:ascii="宋体" w:hAnsi="宋体" w:cs="宋体"/>
                              <w:sz w:val="28"/>
                              <w:szCs w:val="28"/>
                              <w:lang w:eastAsia="zh-CN"/>
                            </w:rPr>
                            <w:t xml:space="preserve"> —</w:t>
                          </w:r>
                        </w:p>
                      </w:txbxContent>
                    </wps:txbx>
                    <wps:bodyPr wrap="none" lIns="0" tIns="0" rIns="0" bIns="0" upright="0">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C1ufMgBAACZAwAADgAAAGRycy9lMm9Eb2MueG1srVPNjtMwEL4j8Q6W&#10;79RpJ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pt6GtKHLc48Mv3b5cfvy4/v5Jl&#10;lqcPUGPWQ8C8NNz5AZdm9gM6M+tBRZu/yIdgHMU9X8WVQyIiP1qv1usKQwJj8wXx2ePzECG9ld6S&#10;bDQ04vSKqPz0HtKYOqfkas7fa2PKBI37y4GY2cNy72OP2UrDfpgI7X17Rj49Dr6hDvecEvPOoa55&#10;R2YjzsZ+No4h6kNXlijXg3B7TNhE6S1XGGGnwjixwm7arrwSf95L1uMftf0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CAtbnzIAQAAmQMAAA4AAAAAAAAAAQAgAAAAHgEAAGRycy9lMm9Eb2Mu&#10;eG1sUEsFBgAAAAAGAAYAWQEAAFgFAAAAAA==&#10;">
              <v:fill on="f" focussize="0,0"/>
              <v:stroke on="f"/>
              <v:imagedata o:title=""/>
              <o:lock v:ext="edit" aspectratio="f"/>
              <v:textbox inset="0mm,0mm,0mm,0mm" style="mso-fit-shape-to-text:t;">
                <w:txbxContent>
                  <w:p>
                    <w:pPr>
                      <w:pStyle w:val="10"/>
                      <w:keepNext w:val="0"/>
                      <w:keepLines w:val="0"/>
                      <w:pageBreakBefore w:val="0"/>
                      <w:widowControl w:val="0"/>
                      <w:kinsoku/>
                      <w:wordWrap/>
                      <w:overflowPunct/>
                      <w:topLinePunct w:val="0"/>
                      <w:autoSpaceDE/>
                      <w:autoSpaceDN/>
                      <w:bidi w:val="0"/>
                      <w:adjustRightInd/>
                      <w:snapToGrid w:val="0"/>
                      <w:ind w:left="315" w:leftChars="150" w:right="315" w:rightChars="150"/>
                      <w:textAlignment w:val="auto"/>
                      <w:outlineLvl w:val="9"/>
                      <w:rPr>
                        <w:rFonts w:hint="eastAsia" w:ascii="宋体" w:hAnsi="宋体" w:eastAsia="宋体" w:cs="宋体"/>
                        <w:sz w:val="28"/>
                        <w:szCs w:val="28"/>
                        <w:lang w:eastAsia="zh-CN"/>
                      </w:rPr>
                    </w:pPr>
                    <w:r>
                      <w:rPr>
                        <w:rFonts w:hint="eastAsia" w:ascii="宋体" w:hAnsi="宋体" w:cs="宋体"/>
                        <w:sz w:val="28"/>
                        <w:szCs w:val="28"/>
                        <w:lang w:eastAsia="zh-CN"/>
                      </w:rPr>
                      <w:t xml:space="preserve">— </w:t>
                    </w:r>
                    <w:r>
                      <w:rPr>
                        <w:rFonts w:hint="eastAsia" w:ascii="宋体" w:hAnsi="宋体" w:cs="宋体"/>
                        <w:sz w:val="28"/>
                        <w:szCs w:val="28"/>
                        <w:lang w:eastAsia="zh-CN"/>
                      </w:rPr>
                      <w:fldChar w:fldCharType="begin"/>
                    </w:r>
                    <w:r>
                      <w:rPr>
                        <w:rFonts w:hint="eastAsia" w:ascii="宋体" w:hAnsi="宋体" w:cs="宋体"/>
                        <w:sz w:val="28"/>
                        <w:szCs w:val="28"/>
                        <w:lang w:eastAsia="zh-CN"/>
                      </w:rPr>
                      <w:instrText xml:space="preserve"> PAGE  \* MERGEFORMAT </w:instrText>
                    </w:r>
                    <w:r>
                      <w:rPr>
                        <w:rFonts w:hint="eastAsia" w:ascii="宋体" w:hAnsi="宋体" w:cs="宋体"/>
                        <w:sz w:val="28"/>
                        <w:szCs w:val="28"/>
                        <w:lang w:eastAsia="zh-CN"/>
                      </w:rPr>
                      <w:fldChar w:fldCharType="separate"/>
                    </w:r>
                    <w:r>
                      <w:rPr>
                        <w:rFonts w:hint="eastAsia" w:ascii="宋体" w:hAnsi="宋体" w:cs="宋体"/>
                        <w:sz w:val="28"/>
                        <w:szCs w:val="28"/>
                        <w:lang w:eastAsia="zh-CN"/>
                      </w:rPr>
                      <w:t>12</w:t>
                    </w:r>
                    <w:r>
                      <w:rPr>
                        <w:rFonts w:hint="eastAsia" w:ascii="宋体" w:hAnsi="宋体" w:cs="宋体"/>
                        <w:sz w:val="28"/>
                        <w:szCs w:val="28"/>
                        <w:lang w:eastAsia="zh-CN"/>
                      </w:rPr>
                      <w:fldChar w:fldCharType="end"/>
                    </w:r>
                    <w:r>
                      <w:rPr>
                        <w:rFonts w:hint="eastAsia" w:ascii="宋体" w:hAnsi="宋体" w:cs="宋体"/>
                        <w:sz w:val="28"/>
                        <w:szCs w:val="28"/>
                        <w:lang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spacing w:beforeLines="0" w:afterLines="0"/>
                            <w:ind w:left="315" w:leftChars="150" w:right="315" w:rightChars="150"/>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MGlUwjIAQAAmQMAAA4AAAAAAAAAAQAgAAAAHgEAAGRycy9lMm9Eb2Mu&#10;eG1sUEsFBgAAAAAGAAYAWQEAAFgFAAAAAA==&#10;">
              <v:fill on="f" focussize="0,0"/>
              <v:stroke on="f"/>
              <v:imagedata o:title=""/>
              <o:lock v:ext="edit" aspectratio="f"/>
              <v:textbox inset="0mm,0mm,0mm,0mm" style="mso-fit-shape-to-text:t;">
                <w:txbxContent>
                  <w:p>
                    <w:pPr>
                      <w:snapToGrid w:val="0"/>
                      <w:spacing w:beforeLines="0" w:afterLines="0"/>
                      <w:ind w:left="315" w:leftChars="150" w:right="315" w:rightChars="150"/>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hyphenationZone w:val="360"/>
  <w:drawingGridVerticalSpacing w:val="159"/>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GWebUrl" w:val="http://csfile.szoa.sz.gov.cn//file/download?md5Path=9d67a59162352d4b324374d274246404@22855&amp;webOffice=1&amp;identityId=1F034FB7D73F4CB29307FB1856DCB19E&amp;token=6520e86b1323462db34b010231b2eee2&amp;identityId=1F034FB7D73F4CB29307FB1856DCB19E&amp;wjbh=B202005282&amp;hddyid=LCA010001_HD_05&amp;fileSrcName=2020_05_13_13_42_2_23DB2E1D246515544515F9E70E90C089.docx"/>
  </w:docVars>
  <w:rsids>
    <w:rsidRoot w:val="70EE4AC4"/>
    <w:rsid w:val="00321501"/>
    <w:rsid w:val="00401060"/>
    <w:rsid w:val="00557747"/>
    <w:rsid w:val="00696A4E"/>
    <w:rsid w:val="01026FCB"/>
    <w:rsid w:val="010855B5"/>
    <w:rsid w:val="01917AFC"/>
    <w:rsid w:val="02F371D4"/>
    <w:rsid w:val="039526E1"/>
    <w:rsid w:val="0398101C"/>
    <w:rsid w:val="041012CC"/>
    <w:rsid w:val="046147C2"/>
    <w:rsid w:val="05BB0036"/>
    <w:rsid w:val="06404BFA"/>
    <w:rsid w:val="071A60F3"/>
    <w:rsid w:val="079C51D3"/>
    <w:rsid w:val="07DE5A42"/>
    <w:rsid w:val="08FF5A57"/>
    <w:rsid w:val="092C2FEF"/>
    <w:rsid w:val="09576AFF"/>
    <w:rsid w:val="09B200AC"/>
    <w:rsid w:val="09B56197"/>
    <w:rsid w:val="09F601F3"/>
    <w:rsid w:val="0AAE23B4"/>
    <w:rsid w:val="0CA87C54"/>
    <w:rsid w:val="0D3B29FB"/>
    <w:rsid w:val="0D8468F4"/>
    <w:rsid w:val="0DCC65B0"/>
    <w:rsid w:val="0DE610BA"/>
    <w:rsid w:val="0E784198"/>
    <w:rsid w:val="0EC73393"/>
    <w:rsid w:val="0FAD56B7"/>
    <w:rsid w:val="0FE140F1"/>
    <w:rsid w:val="10017E03"/>
    <w:rsid w:val="10176211"/>
    <w:rsid w:val="10D06361"/>
    <w:rsid w:val="118B1402"/>
    <w:rsid w:val="11A31A8D"/>
    <w:rsid w:val="11DA35C6"/>
    <w:rsid w:val="11F648AE"/>
    <w:rsid w:val="120E497B"/>
    <w:rsid w:val="123710E1"/>
    <w:rsid w:val="12DC4090"/>
    <w:rsid w:val="13E65011"/>
    <w:rsid w:val="145614B7"/>
    <w:rsid w:val="14962FDA"/>
    <w:rsid w:val="14F45C8B"/>
    <w:rsid w:val="1509330D"/>
    <w:rsid w:val="151014E9"/>
    <w:rsid w:val="158E1520"/>
    <w:rsid w:val="15A16D5C"/>
    <w:rsid w:val="15B40089"/>
    <w:rsid w:val="16224C8B"/>
    <w:rsid w:val="16413905"/>
    <w:rsid w:val="174839F3"/>
    <w:rsid w:val="17E27E7F"/>
    <w:rsid w:val="18423557"/>
    <w:rsid w:val="193B442D"/>
    <w:rsid w:val="1ADD2159"/>
    <w:rsid w:val="1BA761AC"/>
    <w:rsid w:val="1BBD0824"/>
    <w:rsid w:val="1BEA4DD4"/>
    <w:rsid w:val="1C011674"/>
    <w:rsid w:val="1D5E72E5"/>
    <w:rsid w:val="1D695C43"/>
    <w:rsid w:val="1DE461CC"/>
    <w:rsid w:val="1E124BF0"/>
    <w:rsid w:val="1E462307"/>
    <w:rsid w:val="1ECD52F0"/>
    <w:rsid w:val="20285BDC"/>
    <w:rsid w:val="21253675"/>
    <w:rsid w:val="22936005"/>
    <w:rsid w:val="23394840"/>
    <w:rsid w:val="23B17F51"/>
    <w:rsid w:val="23E47633"/>
    <w:rsid w:val="240757AB"/>
    <w:rsid w:val="24A6067C"/>
    <w:rsid w:val="24D550FE"/>
    <w:rsid w:val="25155BE4"/>
    <w:rsid w:val="281F0DDC"/>
    <w:rsid w:val="284048F6"/>
    <w:rsid w:val="289B1CA2"/>
    <w:rsid w:val="294128FE"/>
    <w:rsid w:val="29460BAC"/>
    <w:rsid w:val="2981736B"/>
    <w:rsid w:val="298605CA"/>
    <w:rsid w:val="2B4D797C"/>
    <w:rsid w:val="2B6C6DA2"/>
    <w:rsid w:val="2BA50BDC"/>
    <w:rsid w:val="2BEC16A2"/>
    <w:rsid w:val="2D036CAF"/>
    <w:rsid w:val="2DCD7B22"/>
    <w:rsid w:val="2DED73A9"/>
    <w:rsid w:val="2E642494"/>
    <w:rsid w:val="2F5367EF"/>
    <w:rsid w:val="3223446F"/>
    <w:rsid w:val="32655057"/>
    <w:rsid w:val="32DC390E"/>
    <w:rsid w:val="332F0053"/>
    <w:rsid w:val="3422238E"/>
    <w:rsid w:val="34C154D0"/>
    <w:rsid w:val="34C3200E"/>
    <w:rsid w:val="34FC3ED1"/>
    <w:rsid w:val="353C234A"/>
    <w:rsid w:val="358A1197"/>
    <w:rsid w:val="36982210"/>
    <w:rsid w:val="38066C71"/>
    <w:rsid w:val="38CB6014"/>
    <w:rsid w:val="38D272FC"/>
    <w:rsid w:val="3A0401C5"/>
    <w:rsid w:val="3A897073"/>
    <w:rsid w:val="3A904A1D"/>
    <w:rsid w:val="3A96102E"/>
    <w:rsid w:val="3A9F5ED4"/>
    <w:rsid w:val="3B7D4BDB"/>
    <w:rsid w:val="3BAE2135"/>
    <w:rsid w:val="3C0135C8"/>
    <w:rsid w:val="3C874E4F"/>
    <w:rsid w:val="3D3F4AB6"/>
    <w:rsid w:val="3D8C031E"/>
    <w:rsid w:val="3E4E1EFB"/>
    <w:rsid w:val="3EA071E3"/>
    <w:rsid w:val="3F02780E"/>
    <w:rsid w:val="3FC727BA"/>
    <w:rsid w:val="3FE47922"/>
    <w:rsid w:val="40746F2D"/>
    <w:rsid w:val="407A2015"/>
    <w:rsid w:val="41226DA5"/>
    <w:rsid w:val="414A6376"/>
    <w:rsid w:val="42567356"/>
    <w:rsid w:val="42E01918"/>
    <w:rsid w:val="4329003B"/>
    <w:rsid w:val="43A5201A"/>
    <w:rsid w:val="44FF1485"/>
    <w:rsid w:val="45004F9D"/>
    <w:rsid w:val="456B43B3"/>
    <w:rsid w:val="45D93A39"/>
    <w:rsid w:val="46865691"/>
    <w:rsid w:val="468A51CD"/>
    <w:rsid w:val="47083718"/>
    <w:rsid w:val="482D7065"/>
    <w:rsid w:val="48573DE6"/>
    <w:rsid w:val="49684722"/>
    <w:rsid w:val="4A497275"/>
    <w:rsid w:val="4AD4081D"/>
    <w:rsid w:val="4C0237F5"/>
    <w:rsid w:val="4C41230C"/>
    <w:rsid w:val="4D487CFD"/>
    <w:rsid w:val="4D7548FF"/>
    <w:rsid w:val="4D8A5DEA"/>
    <w:rsid w:val="4D943D40"/>
    <w:rsid w:val="4DC366F9"/>
    <w:rsid w:val="4E361757"/>
    <w:rsid w:val="4E5849F3"/>
    <w:rsid w:val="4EB14695"/>
    <w:rsid w:val="4EB8157D"/>
    <w:rsid w:val="4FCD3BDD"/>
    <w:rsid w:val="4FD62619"/>
    <w:rsid w:val="519A6C4F"/>
    <w:rsid w:val="51F01A41"/>
    <w:rsid w:val="52472908"/>
    <w:rsid w:val="539F391A"/>
    <w:rsid w:val="547D574A"/>
    <w:rsid w:val="54C54F54"/>
    <w:rsid w:val="5507094D"/>
    <w:rsid w:val="55494388"/>
    <w:rsid w:val="554D6F0E"/>
    <w:rsid w:val="569C2715"/>
    <w:rsid w:val="56D90A68"/>
    <w:rsid w:val="56EB6782"/>
    <w:rsid w:val="57186E3C"/>
    <w:rsid w:val="581048D5"/>
    <w:rsid w:val="58AE3A79"/>
    <w:rsid w:val="595525EB"/>
    <w:rsid w:val="5B78780F"/>
    <w:rsid w:val="5B8E7AC3"/>
    <w:rsid w:val="5C2D0BB4"/>
    <w:rsid w:val="5C620CF5"/>
    <w:rsid w:val="5D48461D"/>
    <w:rsid w:val="5D6C36B0"/>
    <w:rsid w:val="5DB472B1"/>
    <w:rsid w:val="5DB63F25"/>
    <w:rsid w:val="5E456DD7"/>
    <w:rsid w:val="5E832F0E"/>
    <w:rsid w:val="603C6170"/>
    <w:rsid w:val="609B29E7"/>
    <w:rsid w:val="60AA1275"/>
    <w:rsid w:val="61AC5C7E"/>
    <w:rsid w:val="646E2CFC"/>
    <w:rsid w:val="64DA4E95"/>
    <w:rsid w:val="657E0199"/>
    <w:rsid w:val="65CA557B"/>
    <w:rsid w:val="66A455EF"/>
    <w:rsid w:val="67012837"/>
    <w:rsid w:val="67034220"/>
    <w:rsid w:val="671A4860"/>
    <w:rsid w:val="67A82554"/>
    <w:rsid w:val="67BF36D1"/>
    <w:rsid w:val="67F149A6"/>
    <w:rsid w:val="68015390"/>
    <w:rsid w:val="68262B0C"/>
    <w:rsid w:val="69362590"/>
    <w:rsid w:val="698550D7"/>
    <w:rsid w:val="6C250ECA"/>
    <w:rsid w:val="6E1303A4"/>
    <w:rsid w:val="6F86296E"/>
    <w:rsid w:val="70EE4AC4"/>
    <w:rsid w:val="71CC480C"/>
    <w:rsid w:val="71E06285"/>
    <w:rsid w:val="71E86D2E"/>
    <w:rsid w:val="71F20C15"/>
    <w:rsid w:val="73116D7F"/>
    <w:rsid w:val="736409F4"/>
    <w:rsid w:val="74A0435A"/>
    <w:rsid w:val="74A765F3"/>
    <w:rsid w:val="75144638"/>
    <w:rsid w:val="75B00633"/>
    <w:rsid w:val="76E068DF"/>
    <w:rsid w:val="774B348B"/>
    <w:rsid w:val="77C86065"/>
    <w:rsid w:val="78657B1D"/>
    <w:rsid w:val="792327AB"/>
    <w:rsid w:val="794F0326"/>
    <w:rsid w:val="79985A4F"/>
    <w:rsid w:val="7BE610C0"/>
    <w:rsid w:val="7CDF4B58"/>
    <w:rsid w:val="7D592ED2"/>
    <w:rsid w:val="7E320CC4"/>
    <w:rsid w:val="7E336483"/>
    <w:rsid w:val="7EAA4537"/>
    <w:rsid w:val="7EDE1782"/>
    <w:rsid w:val="7F3B69B9"/>
    <w:rsid w:val="7F916B93"/>
    <w:rsid w:val="DEF6AF7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qFormat/>
    <w:uiPriority w:val="0"/>
    <w:pPr>
      <w:spacing w:before="100" w:beforeAutospacing="1" w:after="100" w:afterAutospacing="1"/>
      <w:ind w:firstLine="0" w:firstLineChars="0"/>
      <w:jc w:val="center"/>
      <w:outlineLvl w:val="0"/>
    </w:pPr>
    <w:rPr>
      <w:rFonts w:hint="eastAsia" w:ascii="宋体" w:hAnsi="宋体" w:eastAsia="宋体" w:cs="宋体"/>
      <w:b/>
      <w:kern w:val="44"/>
      <w:sz w:val="44"/>
      <w:szCs w:val="48"/>
      <w:lang w:bidi="ar"/>
    </w:rPr>
  </w:style>
  <w:style w:type="character" w:default="1" w:styleId="16">
    <w:name w:val="Default Paragraph Font"/>
    <w:semiHidden/>
    <w:qFormat/>
    <w:uiPriority w:val="0"/>
  </w:style>
  <w:style w:type="table" w:default="1" w:styleId="15">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99"/>
    <w:pPr>
      <w:tabs>
        <w:tab w:val="left" w:pos="2138"/>
      </w:tabs>
      <w:snapToGrid w:val="0"/>
      <w:spacing w:line="360" w:lineRule="auto"/>
    </w:pPr>
    <w:rPr>
      <w:rFonts w:ascii="宋体"/>
      <w:kern w:val="10"/>
      <w:sz w:val="20"/>
    </w:rPr>
  </w:style>
  <w:style w:type="paragraph" w:styleId="3">
    <w:name w:val="Title"/>
    <w:basedOn w:val="1"/>
    <w:next w:val="1"/>
    <w:qFormat/>
    <w:uiPriority w:val="10"/>
    <w:pPr>
      <w:adjustRightInd w:val="0"/>
      <w:snapToGrid w:val="0"/>
      <w:spacing w:line="560" w:lineRule="exact"/>
      <w:jc w:val="center"/>
      <w:outlineLvl w:val="0"/>
    </w:pPr>
    <w:rPr>
      <w:rFonts w:ascii="Cambria" w:hAnsi="Cambria" w:eastAsia="方正小标宋简体"/>
      <w:bCs/>
      <w:sz w:val="44"/>
      <w:szCs w:val="32"/>
    </w:rPr>
  </w:style>
  <w:style w:type="paragraph" w:styleId="5">
    <w:name w:val="index 8"/>
    <w:next w:val="1"/>
    <w:qFormat/>
    <w:uiPriority w:val="0"/>
    <w:pPr>
      <w:widowControl w:val="0"/>
      <w:ind w:left="2940"/>
      <w:jc w:val="both"/>
    </w:pPr>
    <w:rPr>
      <w:rFonts w:ascii="Times New Roman" w:hAnsi="Times New Roman" w:eastAsia="宋体" w:cs="Times New Roman"/>
      <w:kern w:val="2"/>
      <w:sz w:val="21"/>
      <w:szCs w:val="24"/>
      <w:lang w:val="en-US" w:eastAsia="zh-CN" w:bidi="ar-SA"/>
    </w:rPr>
  </w:style>
  <w:style w:type="paragraph" w:styleId="6">
    <w:name w:val="Normal Indent"/>
    <w:basedOn w:val="1"/>
    <w:qFormat/>
    <w:uiPriority w:val="99"/>
    <w:pPr>
      <w:widowControl/>
      <w:ind w:firstLine="560"/>
      <w:jc w:val="left"/>
    </w:pPr>
    <w:rPr>
      <w:rFonts w:ascii="宋体" w:hAnsi="Times New Roman"/>
      <w:sz w:val="28"/>
    </w:rPr>
  </w:style>
  <w:style w:type="paragraph" w:styleId="7">
    <w:name w:val="Body Text Indent"/>
    <w:basedOn w:val="1"/>
    <w:qFormat/>
    <w:uiPriority w:val="0"/>
    <w:pPr>
      <w:spacing w:line="380" w:lineRule="atLeast"/>
      <w:ind w:firstLine="420" w:firstLineChars="200"/>
      <w:jc w:val="left"/>
    </w:pPr>
    <w:rPr>
      <w:rFonts w:ascii="宋体" w:hAnsi="宋体"/>
    </w:rPr>
  </w:style>
  <w:style w:type="paragraph" w:styleId="8">
    <w:name w:val="Plain Text"/>
    <w:next w:val="5"/>
    <w:qFormat/>
    <w:uiPriority w:val="0"/>
    <w:pPr>
      <w:widowControl w:val="0"/>
      <w:spacing w:line="240" w:lineRule="auto"/>
      <w:jc w:val="both"/>
    </w:pPr>
    <w:rPr>
      <w:rFonts w:ascii="宋体" w:hAnsi="Courier New" w:eastAsia="宋体" w:cs="Times New Roman"/>
      <w:kern w:val="2"/>
      <w:sz w:val="21"/>
      <w:szCs w:val="21"/>
      <w:lang w:val="en-US" w:eastAsia="zh-CN" w:bidi="ar-SA"/>
    </w:rPr>
  </w:style>
  <w:style w:type="paragraph" w:styleId="9">
    <w:name w:val="Body Text Indent 2"/>
    <w:basedOn w:val="1"/>
    <w:qFormat/>
    <w:uiPriority w:val="0"/>
    <w:pPr>
      <w:ind w:firstLine="570"/>
    </w:pPr>
    <w:rPr>
      <w:rFonts w:ascii="宋体" w:hAnsi="宋体" w:eastAsia="宋体"/>
      <w:b/>
      <w:bCs/>
      <w:sz w:val="28"/>
    </w:r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2">
    <w:name w:val="toc 1"/>
    <w:basedOn w:val="1"/>
    <w:next w:val="1"/>
    <w:qFormat/>
    <w:uiPriority w:val="0"/>
    <w:rPr>
      <w:rFonts w:ascii="Calibri" w:hAnsi="Calibri" w:eastAsia="宋体" w:cs="Times New Roman"/>
    </w:rPr>
  </w:style>
  <w:style w:type="paragraph" w:styleId="13">
    <w:name w:val="Normal (Web)"/>
    <w:basedOn w:val="1"/>
    <w:unhideWhenUsed/>
    <w:qFormat/>
    <w:uiPriority w:val="99"/>
    <w:pPr>
      <w:spacing w:beforeAutospacing="1" w:afterAutospacing="1"/>
      <w:jc w:val="left"/>
    </w:pPr>
    <w:rPr>
      <w:kern w:val="0"/>
      <w:sz w:val="24"/>
    </w:rPr>
  </w:style>
  <w:style w:type="paragraph" w:styleId="14">
    <w:name w:val="Body Text First Indent 2"/>
    <w:qFormat/>
    <w:uiPriority w:val="0"/>
    <w:pPr>
      <w:widowControl w:val="0"/>
      <w:spacing w:after="120"/>
      <w:ind w:left="420" w:leftChars="200" w:firstLine="420" w:firstLineChars="200"/>
      <w:jc w:val="both"/>
    </w:pPr>
    <w:rPr>
      <w:rFonts w:ascii="Calibri" w:hAnsi="Calibri" w:eastAsia="仿宋_GB2312" w:cs="Times New Roman"/>
      <w:kern w:val="2"/>
      <w:sz w:val="32"/>
      <w:szCs w:val="22"/>
      <w:lang w:val="en-US" w:eastAsia="zh-CN" w:bidi="ar-SA"/>
    </w:rPr>
  </w:style>
  <w:style w:type="character" w:styleId="17">
    <w:name w:val="Hyperlink"/>
    <w:unhideWhenUsed/>
    <w:qFormat/>
    <w:uiPriority w:val="99"/>
    <w:rPr>
      <w:color w:val="0000FF"/>
      <w:u w:val="single"/>
    </w:rPr>
  </w:style>
  <w:style w:type="paragraph" w:customStyle="1" w:styleId="18">
    <w:name w:val="Body Text First Indent 21"/>
    <w:basedOn w:val="19"/>
    <w:qFormat/>
    <w:uiPriority w:val="0"/>
    <w:pPr>
      <w:spacing w:line="360" w:lineRule="auto"/>
    </w:pPr>
    <w:rPr>
      <w:rFonts w:eastAsia="宋体"/>
      <w:sz w:val="24"/>
    </w:rPr>
  </w:style>
  <w:style w:type="paragraph" w:customStyle="1" w:styleId="19">
    <w:name w:val="Body Text Indent1"/>
    <w:basedOn w:val="1"/>
    <w:qFormat/>
    <w:uiPriority w:val="0"/>
    <w:pPr>
      <w:spacing w:line="150" w:lineRule="atLeast"/>
      <w:ind w:firstLine="420" w:firstLineChars="200"/>
      <w:textAlignment w:val="baseline"/>
    </w:pPr>
  </w:style>
  <w:style w:type="paragraph" w:customStyle="1" w:styleId="20">
    <w:name w:val="Normal_0"/>
    <w:qFormat/>
    <w:uiPriority w:val="0"/>
    <w:pPr>
      <w:widowControl w:val="0"/>
      <w:jc w:val="both"/>
    </w:pPr>
    <w:rPr>
      <w:rFonts w:ascii="Calibri" w:hAnsi="Calibri" w:eastAsia="宋体" w:cs="Times New Roman"/>
      <w:kern w:val="2"/>
      <w:sz w:val="21"/>
      <w:szCs w:val="22"/>
      <w:lang w:val="en-US" w:eastAsia="zh-CN" w:bidi="ar-SA"/>
    </w:rPr>
  </w:style>
  <w:style w:type="paragraph" w:styleId="2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szf</Company>
  <Pages>1</Pages>
  <Words>0</Words>
  <Characters>0</Characters>
  <Lines>0</Lines>
  <Paragraphs>0</Paragraphs>
  <TotalTime>8</TotalTime>
  <ScaleCrop>false</ScaleCrop>
  <LinksUpToDate>false</LinksUpToDate>
  <CharactersWithSpaces>0</CharactersWithSpaces>
  <Application>WPS Office_11.1.0.10950_F1E327BC-269C-435d-A152-05C5408002CA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2020-05-12T17:15:00Z</dcterms:created>
  <dc:creator>蓝梦</dc:creator>
  <cp:lastModifiedBy>SZNEWS</cp:lastModifiedBy>
  <cp:lastPrinted>2022-04-21T17:51:00Z</cp:lastPrinted>
  <dcterms:modified xsi:type="dcterms:W3CDTF">2022-05-27T07:40:56Z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2052-11.1.0.10950</vt:lpwstr>
  </property>
  <property fmtid="{D5CDD505-2E9C-101B-9397-08002B2CF9AE}" pid="3" name="ICV">
    <vt:lpwstr>3C109EE3EC204526A0E5DC4EFA343178</vt:lpwstr>
  </property>
</Properties>
</file>