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bookmarkStart w:id="4" w:name="_GoBack"/>
      <w:bookmarkEnd w:id="4"/>
      <w:r>
        <w:rPr>
          <w:rFonts w:hint="eastAsia" w:ascii="黑体" w:hAnsi="黑体" w:eastAsia="黑体" w:cs="黑体"/>
          <w:sz w:val="32"/>
          <w:szCs w:val="32"/>
        </w:rPr>
        <w:t>附件1</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南外（集团）深汕西中心学校秋季学位</w:t>
      </w:r>
    </w:p>
    <w:p>
      <w:pPr>
        <w:spacing w:line="560" w:lineRule="exact"/>
        <w:jc w:val="center"/>
        <w:rPr>
          <w:color w:val="000000" w:themeColor="text1"/>
          <w:sz w:val="28"/>
          <w:szCs w:val="32"/>
          <w14:textFill>
            <w14:solidFill>
              <w14:schemeClr w14:val="tx1"/>
            </w14:solidFill>
          </w14:textFill>
        </w:rPr>
      </w:pPr>
      <w:r>
        <w:rPr>
          <w:rFonts w:hint="eastAsia" w:ascii="方正小标宋简体" w:hAnsi="方正小标宋简体" w:eastAsia="方正小标宋简体" w:cs="方正小标宋简体"/>
          <w:sz w:val="44"/>
          <w:szCs w:val="44"/>
        </w:rPr>
        <w:t>申请指南</w:t>
      </w:r>
      <w:r>
        <w:rPr>
          <w:rFonts w:hint="eastAsia"/>
          <w:color w:val="000000" w:themeColor="text1"/>
          <w:sz w:val="28"/>
          <w:szCs w:val="32"/>
          <w14:textFill>
            <w14:solidFill>
              <w14:schemeClr w14:val="tx1"/>
            </w14:solidFill>
          </w14:textFill>
        </w:rPr>
        <w:t>（供家长阅读）</w:t>
      </w:r>
    </w:p>
    <w:p>
      <w:pPr>
        <w:pStyle w:val="10"/>
        <w:numPr>
          <w:ilvl w:val="0"/>
          <w:numId w:val="1"/>
        </w:numPr>
        <w:spacing w:line="560" w:lineRule="exact"/>
        <w:ind w:firstLineChars="0"/>
        <w:outlineLvl w:val="0"/>
        <w:rPr>
          <w:rFonts w:ascii="黑体" w:hAnsi="黑体" w:eastAsia="黑体" w:cs="黑体"/>
          <w:color w:val="000000" w:themeColor="text1"/>
          <w:sz w:val="32"/>
          <w:szCs w:val="36"/>
          <w14:textFill>
            <w14:solidFill>
              <w14:schemeClr w14:val="tx1"/>
            </w14:solidFill>
          </w14:textFill>
        </w:rPr>
      </w:pPr>
      <w:r>
        <w:rPr>
          <w:rFonts w:hint="eastAsia" w:ascii="黑体" w:hAnsi="黑体" w:eastAsia="黑体" w:cs="黑体"/>
          <w:color w:val="000000" w:themeColor="text1"/>
          <w:sz w:val="32"/>
          <w:szCs w:val="36"/>
          <w14:textFill>
            <w14:solidFill>
              <w14:schemeClr w14:val="tx1"/>
            </w14:solidFill>
          </w14:textFill>
        </w:rPr>
        <w:t>招生对象</w:t>
      </w:r>
    </w:p>
    <w:p>
      <w:pPr>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年满六周岁（201</w:t>
      </w:r>
      <w:r>
        <w:rPr>
          <w:rFonts w:ascii="仿宋_GB2312" w:hAnsi="仿宋_GB2312"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年8月31日及此日前出生）及以上，在学区内居住的适龄儿童且符合以下条件之一者：</w:t>
      </w:r>
    </w:p>
    <w:p>
      <w:pPr>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（一）深圳市户籍儿童（含合作区户籍</w:t>
      </w:r>
      <w:r>
        <w:rPr>
          <w:rFonts w:hint="eastAsia" w:ascii="仿宋_GB2312" w:hAnsi="仿宋_GB2312" w:eastAsia="仿宋_GB2312" w:cs="仿宋_GB2312"/>
          <w:color w:val="000000" w:themeColor="text1"/>
          <w:sz w:val="32"/>
          <w:szCs w:val="32"/>
          <w:lang w:eastAsia="zh-CN"/>
          <w14:textFill>
            <w14:solidFill>
              <w14:schemeClr w14:val="tx1"/>
            </w14:solidFill>
          </w14:textFill>
        </w:rPr>
        <w:t>，下同</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（二）享受政府相关优惠政策人员子女；</w:t>
      </w:r>
    </w:p>
    <w:p>
      <w:pPr>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（三）父母双方或一方具有深圳户籍的非深户籍儿童；</w:t>
      </w:r>
    </w:p>
    <w:p>
      <w:pPr>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（四）父母双方或一方持有具有使用功能的深圳经济特区居住证（明），且连续参加深圳市或汕尾市海丰县社会保险（养老保险和医疗保险）的非深户籍儿童。</w:t>
      </w:r>
    </w:p>
    <w:p>
      <w:pPr>
        <w:pStyle w:val="10"/>
        <w:numPr>
          <w:ilvl w:val="0"/>
          <w:numId w:val="1"/>
        </w:numPr>
        <w:spacing w:line="560" w:lineRule="exact"/>
        <w:ind w:firstLineChars="0"/>
        <w:outlineLvl w:val="0"/>
        <w:rPr>
          <w:rFonts w:ascii="黑体" w:hAnsi="黑体" w:eastAsia="黑体" w:cs="黑体"/>
          <w:color w:val="000000" w:themeColor="text1"/>
          <w:sz w:val="32"/>
          <w:szCs w:val="36"/>
          <w14:textFill>
            <w14:solidFill>
              <w14:schemeClr w14:val="tx1"/>
            </w14:solidFill>
          </w14:textFill>
        </w:rPr>
      </w:pPr>
      <w:r>
        <w:rPr>
          <w:rFonts w:hint="eastAsia" w:ascii="黑体" w:hAnsi="黑体" w:eastAsia="黑体" w:cs="黑体"/>
          <w:color w:val="000000" w:themeColor="text1"/>
          <w:sz w:val="32"/>
          <w:szCs w:val="36"/>
          <w14:textFill>
            <w14:solidFill>
              <w14:schemeClr w14:val="tx1"/>
            </w14:solidFill>
          </w14:textFill>
        </w:rPr>
        <w:t>学校学区</w:t>
      </w:r>
    </w:p>
    <w:p>
      <w:pPr>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登录深汕网，点击公告通知，找到“深圳市深汕特别合作区202</w:t>
      </w:r>
      <w:r>
        <w:rPr>
          <w:rFonts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年学校秋季学位申请指南”，在附件中查询“深汕西中心学校学区图”。</w:t>
      </w:r>
    </w:p>
    <w:p>
      <w:pPr>
        <w:pStyle w:val="10"/>
        <w:numPr>
          <w:ilvl w:val="0"/>
          <w:numId w:val="1"/>
        </w:numPr>
        <w:spacing w:line="560" w:lineRule="exact"/>
        <w:ind w:firstLineChars="0"/>
        <w:outlineLvl w:val="0"/>
        <w:rPr>
          <w:rFonts w:ascii="黑体" w:hAnsi="黑体" w:eastAsia="黑体" w:cs="黑体"/>
          <w:color w:val="000000" w:themeColor="text1"/>
          <w:sz w:val="32"/>
          <w:szCs w:val="36"/>
          <w14:textFill>
            <w14:solidFill>
              <w14:schemeClr w14:val="tx1"/>
            </w14:solidFill>
          </w14:textFill>
        </w:rPr>
      </w:pPr>
      <w:r>
        <w:rPr>
          <w:rFonts w:hint="eastAsia" w:ascii="黑体" w:hAnsi="黑体" w:eastAsia="黑体" w:cs="黑体"/>
          <w:color w:val="000000" w:themeColor="text1"/>
          <w:sz w:val="32"/>
          <w:szCs w:val="36"/>
          <w14:textFill>
            <w14:solidFill>
              <w14:schemeClr w14:val="tx1"/>
            </w14:solidFill>
          </w14:textFill>
        </w:rPr>
        <w:t>重要时间节点</w:t>
      </w:r>
    </w:p>
    <w:p>
      <w:pPr>
        <w:spacing w:line="560" w:lineRule="exact"/>
        <w:ind w:firstLine="640"/>
        <w:rPr>
          <w:rFonts w:hint="eastAsia" w:ascii="仿宋_GB2312" w:hAnsi="仿宋_GB2312" w:eastAsia="仿宋_GB2312" w:cs="仿宋_GB2312"/>
          <w:color w:val="000000" w:themeColor="text1"/>
          <w:sz w:val="32"/>
          <w:szCs w:val="32"/>
          <w14:textFill>
            <w14:solidFill>
              <w14:schemeClr w14:val="tx1"/>
            </w14:solidFill>
          </w14:textFill>
        </w:rPr>
      </w:pPr>
      <w:bookmarkStart w:id="0" w:name="_Hlk72801063"/>
      <w:r>
        <w:rPr>
          <w:rFonts w:hint="eastAsia" w:ascii="仿宋_GB2312" w:hAnsi="仿宋_GB2312" w:eastAsia="仿宋_GB2312" w:cs="仿宋_GB2312"/>
          <w:color w:val="000000" w:themeColor="text1"/>
          <w:sz w:val="32"/>
          <w:szCs w:val="32"/>
          <w14:textFill>
            <w14:solidFill>
              <w14:schemeClr w14:val="tx1"/>
            </w14:solidFill>
          </w14:textFill>
        </w:rPr>
        <w:t>1.</w:t>
      </w:r>
      <w:bookmarkStart w:id="1" w:name="_Hlk74154461"/>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w:t>
      </w:r>
      <w:r>
        <w:rPr>
          <w:rFonts w:hint="eastAsia" w:ascii="仿宋_GB2312" w:hAnsi="仿宋_GB2312" w:eastAsia="仿宋_GB2312" w:cs="仿宋_GB2312"/>
          <w:color w:val="000000" w:themeColor="text1"/>
          <w:sz w:val="32"/>
          <w:szCs w:val="32"/>
          <w14:textFill>
            <w14:solidFill>
              <w14:schemeClr w14:val="tx1"/>
            </w14:solidFill>
          </w14:textFill>
        </w:rPr>
        <w:t>日9:00-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日18:00，小一年级及初一年级网上申请学位；</w:t>
      </w:r>
    </w:p>
    <w:bookmarkEnd w:id="1"/>
    <w:p>
      <w:pPr>
        <w:spacing w:line="560" w:lineRule="exact"/>
        <w:ind w:firstLine="640"/>
        <w:rPr>
          <w:rFonts w:hint="eastAsia" w:ascii="仿宋_GB2312" w:hAnsi="仿宋_GB2312" w:eastAsia="仿宋_GB2312" w:cs="仿宋_GB2312"/>
          <w:color w:val="000000" w:themeColor="text1"/>
          <w:sz w:val="32"/>
          <w:szCs w:val="32"/>
          <w14:textFill>
            <w14:solidFill>
              <w14:schemeClr w14:val="tx1"/>
            </w14:solidFill>
          </w14:textFill>
        </w:rPr>
      </w:pPr>
      <w:bookmarkStart w:id="2" w:name="_Hlk72801676"/>
      <w:r>
        <w:rPr>
          <w:rFonts w:hint="eastAsia" w:ascii="仿宋_GB2312" w:hAnsi="仿宋_GB2312" w:eastAsia="仿宋_GB2312" w:cs="仿宋_GB2312"/>
          <w:color w:val="000000" w:themeColor="text1"/>
          <w:sz w:val="32"/>
          <w:szCs w:val="32"/>
          <w14:textFill>
            <w14:solidFill>
              <w14:schemeClr w14:val="tx1"/>
            </w14:solidFill>
          </w14:textFill>
        </w:rPr>
        <w:t>2.6月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日9:00-6月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18</w:t>
      </w:r>
      <w:r>
        <w:rPr>
          <w:rFonts w:hint="eastAsia" w:ascii="仿宋_GB2312" w:hAnsi="仿宋_GB2312" w:eastAsia="仿宋_GB2312" w:cs="仿宋_GB2312"/>
          <w:color w:val="000000" w:themeColor="text1"/>
          <w:sz w:val="32"/>
          <w:szCs w:val="32"/>
          <w14:textFill>
            <w14:solidFill>
              <w14:schemeClr w14:val="tx1"/>
            </w14:solidFill>
          </w14:textFill>
        </w:rPr>
        <w:t>:00学校</w:t>
      </w:r>
      <w:r>
        <w:rPr>
          <w:rFonts w:hint="eastAsia" w:ascii="仿宋_GB2312" w:hAnsi="仿宋_GB2312" w:eastAsia="仿宋_GB2312" w:cs="仿宋_GB2312"/>
          <w:color w:val="000000" w:themeColor="text1"/>
          <w:sz w:val="32"/>
          <w:szCs w:val="32"/>
          <w:lang w:eastAsia="zh-CN"/>
          <w14:textFill>
            <w14:solidFill>
              <w14:schemeClr w14:val="tx1"/>
            </w14:solidFill>
          </w14:textFill>
        </w:rPr>
        <w:t>根据家长上传的报名材料进行系统初审</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60" w:lineRule="exact"/>
        <w:ind w:firstLine="64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3.6月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仿宋_GB2312" w:hAnsi="仿宋_GB2312" w:eastAsia="仿宋_GB2312" w:cs="仿宋_GB2312"/>
          <w:color w:val="000000" w:themeColor="text1"/>
          <w:sz w:val="32"/>
          <w:szCs w:val="32"/>
          <w:lang w:eastAsia="zh-CN"/>
          <w14:textFill>
            <w14:solidFill>
              <w14:schemeClr w14:val="tx1"/>
            </w14:solidFill>
          </w14:textFill>
        </w:rPr>
        <w:t>区教育部门将学位申请材料按规定流程推送至公安、房产、租赁、政数、社保等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相关业务部门，各业务部门根据推送的入学资料进行信息审核，全面确认材料的合格性、真实性、有效性。最终以各业务部门审核结果作为学位申请资格、积分排位和录取的依据；</w:t>
      </w:r>
    </w:p>
    <w:p>
      <w:pPr>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7月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-7月13日</w:t>
      </w:r>
      <w:r>
        <w:rPr>
          <w:rFonts w:hint="eastAsia" w:ascii="仿宋_GB2312" w:hAnsi="仿宋_GB2312" w:eastAsia="仿宋_GB2312" w:cs="仿宋_GB2312"/>
          <w:color w:val="000000" w:themeColor="text1"/>
          <w:sz w:val="32"/>
          <w:szCs w:val="32"/>
          <w14:textFill>
            <w14:solidFill>
              <w14:schemeClr w14:val="tx1"/>
            </w14:solidFill>
          </w14:textFill>
        </w:rPr>
        <w:t>，公布录取名单，到校注册时间另行公告。</w:t>
      </w:r>
    </w:p>
    <w:bookmarkEnd w:id="0"/>
    <w:bookmarkEnd w:id="2"/>
    <w:p>
      <w:pPr>
        <w:pStyle w:val="10"/>
        <w:numPr>
          <w:ilvl w:val="0"/>
          <w:numId w:val="1"/>
        </w:numPr>
        <w:spacing w:line="560" w:lineRule="exact"/>
        <w:ind w:firstLineChars="0"/>
        <w:outlineLvl w:val="0"/>
        <w:rPr>
          <w:rFonts w:ascii="黑体" w:hAnsi="黑体" w:eastAsia="黑体" w:cs="黑体"/>
          <w:color w:val="000000" w:themeColor="text1"/>
          <w:sz w:val="32"/>
          <w:szCs w:val="36"/>
          <w14:textFill>
            <w14:solidFill>
              <w14:schemeClr w14:val="tx1"/>
            </w14:solidFill>
          </w14:textFill>
        </w:rPr>
      </w:pPr>
      <w:r>
        <w:rPr>
          <w:rFonts w:hint="eastAsia" w:ascii="黑体" w:hAnsi="黑体" w:eastAsia="黑体" w:cs="黑体"/>
          <w:color w:val="000000" w:themeColor="text1"/>
          <w:sz w:val="32"/>
          <w:szCs w:val="36"/>
          <w14:textFill>
            <w14:solidFill>
              <w14:schemeClr w14:val="tx1"/>
            </w14:solidFill>
          </w14:textFill>
        </w:rPr>
        <w:t>材料准备（所有材料需准备原件及复印件）</w:t>
      </w:r>
    </w:p>
    <w:tbl>
      <w:tblPr>
        <w:tblStyle w:val="5"/>
        <w:tblW w:w="8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4"/>
        <w:gridCol w:w="1428"/>
        <w:gridCol w:w="6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trPr>
        <w:tc>
          <w:tcPr>
            <w:tcW w:w="694" w:type="dxa"/>
            <w:noWrap/>
            <w:tcMar>
              <w:top w:w="15" w:type="dxa"/>
              <w:left w:w="15" w:type="dxa"/>
              <w:right w:w="15" w:type="dxa"/>
            </w:tcMar>
            <w:vAlign w:val="center"/>
          </w:tcPr>
          <w:p>
            <w:pPr>
              <w:rPr>
                <w:rFonts w:ascii="仿宋" w:hAnsi="仿宋" w:eastAsia="仿宋" w:cs="仿宋"/>
                <w:color w:val="000000" w:themeColor="text1"/>
                <w:kern w:val="0"/>
                <w:sz w:val="24"/>
                <w:szCs w:val="24"/>
                <w:lang w:eastAsia="en-US"/>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序号</w:t>
            </w:r>
          </w:p>
        </w:tc>
        <w:tc>
          <w:tcPr>
            <w:tcW w:w="1428" w:type="dxa"/>
            <w:noWrap/>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4"/>
                <w:szCs w:val="24"/>
                <w:lang w:eastAsia="en-US"/>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类型</w:t>
            </w:r>
          </w:p>
        </w:tc>
        <w:tc>
          <w:tcPr>
            <w:tcW w:w="6277" w:type="dxa"/>
            <w:noWrap/>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4"/>
                <w:szCs w:val="24"/>
                <w:lang w:eastAsia="en-US"/>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需准备的材料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3" w:hRule="atLeast"/>
        </w:trPr>
        <w:tc>
          <w:tcPr>
            <w:tcW w:w="694" w:type="dxa"/>
            <w:noWrap/>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4"/>
                <w:szCs w:val="24"/>
                <w:lang w:eastAsia="en-US"/>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（一）</w:t>
            </w:r>
          </w:p>
        </w:tc>
        <w:tc>
          <w:tcPr>
            <w:tcW w:w="1428" w:type="dxa"/>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深圳户籍</w:t>
            </w:r>
          </w:p>
          <w:p>
            <w:pPr>
              <w:widowControl/>
              <w:jc w:val="center"/>
              <w:textAlignment w:val="center"/>
              <w:rPr>
                <w:rFonts w:ascii="仿宋" w:hAnsi="仿宋" w:eastAsia="仿宋" w:cs="仿宋"/>
                <w:color w:val="000000" w:themeColor="text1"/>
                <w:kern w:val="0"/>
                <w:sz w:val="24"/>
                <w:szCs w:val="24"/>
                <w:lang w:eastAsia="en-US"/>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学位申请人</w:t>
            </w:r>
          </w:p>
        </w:tc>
        <w:tc>
          <w:tcPr>
            <w:tcW w:w="6277" w:type="dxa"/>
            <w:tcMar>
              <w:top w:w="15" w:type="dxa"/>
              <w:left w:w="15" w:type="dxa"/>
              <w:right w:w="15" w:type="dxa"/>
            </w:tcMar>
            <w:vAlign w:val="center"/>
          </w:tcPr>
          <w:p>
            <w:pPr>
              <w:widowControl/>
              <w:jc w:val="left"/>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1.全家居民户口簿</w:t>
            </w:r>
            <w:r>
              <w:rPr>
                <w:rFonts w:hint="eastAsia" w:ascii="仿宋" w:hAnsi="仿宋" w:eastAsia="仿宋" w:cs="仿宋"/>
                <w:color w:val="000000" w:themeColor="text1"/>
                <w:sz w:val="24"/>
                <w:szCs w:val="24"/>
                <w:lang w:bidi="ar"/>
                <w14:textFill>
                  <w14:solidFill>
                    <w14:schemeClr w14:val="tx1"/>
                  </w14:solidFill>
                </w14:textFill>
              </w:rPr>
              <w:t>（须含户口首页）</w:t>
            </w:r>
            <w:r>
              <w:rPr>
                <w:rFonts w:hint="eastAsia" w:ascii="仿宋" w:hAnsi="仿宋" w:eastAsia="仿宋" w:cs="仿宋"/>
                <w:color w:val="000000" w:themeColor="text1"/>
                <w:kern w:val="0"/>
                <w:sz w:val="24"/>
                <w:szCs w:val="24"/>
                <w:lang w:bidi="ar"/>
                <w14:textFill>
                  <w14:solidFill>
                    <w14:schemeClr w14:val="tx1"/>
                  </w14:solidFill>
                </w14:textFill>
              </w:rPr>
              <w:t>;父母（或法定监护人）身份证;申请人父母婚姻关系(状态)证明;申请人出生证(如户口簿上无法体现学位申请人与其父母之间的关系，则需查验申请人出生证);</w:t>
            </w:r>
          </w:p>
          <w:p>
            <w:pPr>
              <w:widowControl/>
              <w:jc w:val="left"/>
              <w:textAlignment w:val="center"/>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2.深汕特别合作区内有效居住证（明）：房产证、租赁凭证（租房户双方需签署《租赁房屋学位锁定知晓书》）或居住信息登记证明;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47" w:hRule="atLeast"/>
        </w:trPr>
        <w:tc>
          <w:tcPr>
            <w:tcW w:w="694" w:type="dxa"/>
            <w:noWrap/>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4"/>
                <w:szCs w:val="24"/>
                <w:lang w:eastAsia="en-US"/>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（二）</w:t>
            </w:r>
          </w:p>
        </w:tc>
        <w:tc>
          <w:tcPr>
            <w:tcW w:w="1428" w:type="dxa"/>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非深圳户籍学位申请人</w:t>
            </w:r>
          </w:p>
          <w:p>
            <w:pPr>
              <w:widowControl/>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spacing w:val="-6"/>
                <w:kern w:val="0"/>
                <w:sz w:val="24"/>
                <w:szCs w:val="24"/>
                <w:lang w:bidi="ar"/>
                <w14:textFill>
                  <w14:solidFill>
                    <w14:schemeClr w14:val="tx1"/>
                  </w14:solidFill>
                </w14:textFill>
              </w:rPr>
              <w:t>（大陆地区）</w:t>
            </w:r>
          </w:p>
        </w:tc>
        <w:tc>
          <w:tcPr>
            <w:tcW w:w="6277" w:type="dxa"/>
            <w:tcMar>
              <w:top w:w="15" w:type="dxa"/>
              <w:left w:w="15" w:type="dxa"/>
              <w:right w:w="15" w:type="dxa"/>
            </w:tcMar>
            <w:vAlign w:val="center"/>
          </w:tcPr>
          <w:p>
            <w:pPr>
              <w:widowControl/>
              <w:jc w:val="left"/>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1.全家居民户口簿</w:t>
            </w:r>
            <w:r>
              <w:rPr>
                <w:rFonts w:hint="eastAsia" w:ascii="仿宋" w:hAnsi="仿宋" w:eastAsia="仿宋" w:cs="仿宋"/>
                <w:color w:val="000000" w:themeColor="text1"/>
                <w:sz w:val="24"/>
                <w:szCs w:val="24"/>
                <w:lang w:bidi="ar"/>
                <w14:textFill>
                  <w14:solidFill>
                    <w14:schemeClr w14:val="tx1"/>
                  </w14:solidFill>
                </w14:textFill>
              </w:rPr>
              <w:t>（须含户口首页）</w:t>
            </w:r>
            <w:r>
              <w:rPr>
                <w:rFonts w:hint="eastAsia" w:ascii="仿宋" w:hAnsi="仿宋" w:eastAsia="仿宋" w:cs="仿宋"/>
                <w:color w:val="000000" w:themeColor="text1"/>
                <w:kern w:val="0"/>
                <w:sz w:val="24"/>
                <w:szCs w:val="24"/>
                <w:lang w:bidi="ar"/>
                <w14:textFill>
                  <w14:solidFill>
                    <w14:schemeClr w14:val="tx1"/>
                  </w14:solidFill>
                </w14:textFill>
              </w:rPr>
              <w:t>；父母（或法定监护人）身份证;父母双方或一方在深持有使用功能的《居住证（明）》;申请人父母婚姻关系（状态）证明、申请人出生证(如户口簿上无法体现学位申请人与其父母之间的关系，则需查验申请人出生证);</w:t>
            </w:r>
          </w:p>
          <w:p>
            <w:pPr>
              <w:widowControl/>
              <w:jc w:val="left"/>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2.深汕特别合作区内有效居住证（明）：房产证、租赁凭证（租房户双方需签署《租赁房屋学位锁定知晓书》）或居住信息登记证明;</w:t>
            </w:r>
          </w:p>
          <w:p>
            <w:pPr>
              <w:widowControl/>
              <w:jc w:val="left"/>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3.父母双方或一方持有效的《深圳市社会保障卡》或《海丰县社会保障卡》;</w:t>
            </w:r>
          </w:p>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4.属于享受政府优惠政策人员的子女,除了提供以上材料外，还应出具有关证明材料。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trPr>
        <w:tc>
          <w:tcPr>
            <w:tcW w:w="694" w:type="dxa"/>
            <w:noWrap/>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4"/>
                <w:szCs w:val="24"/>
                <w:lang w:eastAsia="en-US"/>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（三）</w:t>
            </w:r>
          </w:p>
        </w:tc>
        <w:tc>
          <w:tcPr>
            <w:tcW w:w="1428" w:type="dxa"/>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台湾籍</w:t>
            </w:r>
          </w:p>
          <w:p>
            <w:pPr>
              <w:widowControl/>
              <w:jc w:val="center"/>
              <w:textAlignment w:val="center"/>
              <w:rPr>
                <w:rFonts w:ascii="仿宋" w:hAnsi="仿宋" w:eastAsia="仿宋" w:cs="仿宋"/>
                <w:color w:val="000000" w:themeColor="text1"/>
                <w:kern w:val="0"/>
                <w:sz w:val="24"/>
                <w:szCs w:val="24"/>
                <w:lang w:eastAsia="en-US"/>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学位申请人</w:t>
            </w:r>
          </w:p>
        </w:tc>
        <w:tc>
          <w:tcPr>
            <w:tcW w:w="6277" w:type="dxa"/>
            <w:tcMar>
              <w:top w:w="15" w:type="dxa"/>
              <w:left w:w="15" w:type="dxa"/>
              <w:right w:w="15" w:type="dxa"/>
            </w:tcMar>
            <w:vAlign w:val="center"/>
          </w:tcPr>
          <w:p>
            <w:pPr>
              <w:widowControl/>
              <w:tabs>
                <w:tab w:val="left" w:pos="312"/>
              </w:tabs>
              <w:jc w:val="left"/>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1</w:t>
            </w:r>
            <w:r>
              <w:rPr>
                <w:rFonts w:ascii="仿宋" w:hAnsi="仿宋" w:eastAsia="仿宋" w:cs="仿宋"/>
                <w:color w:val="000000" w:themeColor="text1"/>
                <w:kern w:val="0"/>
                <w:sz w:val="24"/>
                <w:szCs w:val="24"/>
                <w:lang w:bidi="ar"/>
                <w14:textFill>
                  <w14:solidFill>
                    <w14:schemeClr w14:val="tx1"/>
                  </w14:solidFill>
                </w14:textFill>
              </w:rPr>
              <w:t>.</w:t>
            </w:r>
            <w:r>
              <w:rPr>
                <w:rFonts w:hint="eastAsia" w:ascii="仿宋" w:hAnsi="仿宋" w:eastAsia="仿宋" w:cs="仿宋"/>
                <w:color w:val="000000" w:themeColor="text1"/>
                <w:kern w:val="0"/>
                <w:sz w:val="24"/>
                <w:szCs w:val="24"/>
                <w:lang w:bidi="ar"/>
                <w14:textFill>
                  <w14:solidFill>
                    <w14:schemeClr w14:val="tx1"/>
                  </w14:solidFill>
                </w14:textFill>
              </w:rPr>
              <w:t>户籍呈本、台湾居民往来大陆通行证;</w:t>
            </w:r>
          </w:p>
          <w:p>
            <w:pPr>
              <w:widowControl/>
              <w:tabs>
                <w:tab w:val="left" w:pos="312"/>
              </w:tabs>
              <w:jc w:val="left"/>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2.深汕特别合作区内有效居住证（明）：房产证、租赁凭证（租房户双方需签署《租赁房屋学位锁定知晓书》）或居住信息登记证明;</w:t>
            </w:r>
          </w:p>
          <w:p>
            <w:pPr>
              <w:widowControl/>
              <w:tabs>
                <w:tab w:val="left" w:pos="312"/>
              </w:tabs>
              <w:jc w:val="left"/>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3.属于享受政府优惠政策人员的子女,除了提供以上材料外,还应出具有关证明材料。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694" w:type="dxa"/>
            <w:noWrap/>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4"/>
                <w:szCs w:val="24"/>
                <w:lang w:eastAsia="en-US"/>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（四）</w:t>
            </w:r>
          </w:p>
        </w:tc>
        <w:tc>
          <w:tcPr>
            <w:tcW w:w="1428" w:type="dxa"/>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港澳籍</w:t>
            </w:r>
          </w:p>
          <w:p>
            <w:pPr>
              <w:widowControl/>
              <w:jc w:val="center"/>
              <w:textAlignment w:val="center"/>
              <w:rPr>
                <w:rFonts w:ascii="仿宋" w:hAnsi="仿宋" w:eastAsia="仿宋" w:cs="仿宋"/>
                <w:color w:val="000000" w:themeColor="text1"/>
                <w:kern w:val="0"/>
                <w:sz w:val="24"/>
                <w:szCs w:val="24"/>
                <w:lang w:eastAsia="en-US"/>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学位申请人</w:t>
            </w:r>
          </w:p>
        </w:tc>
        <w:tc>
          <w:tcPr>
            <w:tcW w:w="6277" w:type="dxa"/>
            <w:tcMar>
              <w:top w:w="15" w:type="dxa"/>
              <w:left w:w="15" w:type="dxa"/>
              <w:right w:w="15" w:type="dxa"/>
            </w:tcMar>
            <w:vAlign w:val="center"/>
          </w:tcPr>
          <w:p>
            <w:pPr>
              <w:widowControl/>
              <w:jc w:val="left"/>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1.儿童出生证明、香港(澳门)永久性居民身份证、港澳居民来往内地通行证(回乡证);父母婚姻关系(状态)证明;由公证部门出具的父母与子女间亲属关系公证书;</w:t>
            </w:r>
          </w:p>
          <w:p>
            <w:pPr>
              <w:widowControl/>
              <w:jc w:val="left"/>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2.父母双方或一方为深圳户籍：父母户口本、身份证(或其他身份证明材料);父母双方均为非深户籍：父母身份证(或其他身份证明材料)、父母双方或一方在深持有使用功能的《居住证》;</w:t>
            </w:r>
          </w:p>
          <w:p>
            <w:pPr>
              <w:widowControl/>
              <w:jc w:val="left"/>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3.深汕特别合作区内有效居住证（明）：房产证、租赁凭证或居住信息登记证明（租房户双方需签署《租赁房屋学位锁定知晓书》）;</w:t>
            </w:r>
          </w:p>
          <w:p>
            <w:pPr>
              <w:widowControl/>
              <w:jc w:val="left"/>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4.父母双方或一方持有效的《深圳市社会保障卡》或《海丰县社会保障卡》;</w:t>
            </w:r>
          </w:p>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5.属于享受政府优惠政策人员的子女,除了提供以上材料外,还应出具有关证明材料。</w:t>
            </w:r>
          </w:p>
        </w:tc>
      </w:tr>
    </w:tbl>
    <w:p>
      <w:pPr>
        <w:pStyle w:val="10"/>
        <w:numPr>
          <w:ilvl w:val="0"/>
          <w:numId w:val="1"/>
        </w:numPr>
        <w:spacing w:line="560" w:lineRule="exact"/>
        <w:ind w:firstLineChars="0"/>
        <w:outlineLvl w:val="0"/>
        <w:rPr>
          <w:rFonts w:ascii="黑体" w:hAnsi="黑体" w:eastAsia="黑体" w:cs="黑体"/>
          <w:color w:val="000000" w:themeColor="text1"/>
          <w:sz w:val="32"/>
          <w:szCs w:val="36"/>
          <w14:textFill>
            <w14:solidFill>
              <w14:schemeClr w14:val="tx1"/>
            </w14:solidFill>
          </w14:textFill>
        </w:rPr>
      </w:pPr>
      <w:r>
        <w:rPr>
          <w:rFonts w:hint="eastAsia" w:ascii="黑体" w:hAnsi="黑体" w:eastAsia="黑体" w:cs="黑体"/>
          <w:color w:val="000000" w:themeColor="text1"/>
          <w:sz w:val="32"/>
          <w:szCs w:val="36"/>
          <w14:textFill>
            <w14:solidFill>
              <w14:schemeClr w14:val="tx1"/>
            </w14:solidFill>
          </w14:textFill>
        </w:rPr>
        <w:t>报名、验核及录取</w:t>
      </w:r>
    </w:p>
    <w:p>
      <w:pPr>
        <w:spacing w:line="560" w:lineRule="exact"/>
        <w:ind w:firstLine="64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温馨提醒：</w:t>
      </w:r>
    </w:p>
    <w:p>
      <w:pPr>
        <w:pStyle w:val="10"/>
        <w:numPr>
          <w:ilvl w:val="0"/>
          <w:numId w:val="2"/>
        </w:numPr>
        <w:spacing w:line="560" w:lineRule="exact"/>
        <w:ind w:firstLineChars="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在报名、验核、录取阶段，学位申请人的监护人务必保持网上填报电话的畅通且接收信息功能正常。</w:t>
      </w:r>
    </w:p>
    <w:p>
      <w:pPr>
        <w:pStyle w:val="10"/>
        <w:numPr>
          <w:ilvl w:val="0"/>
          <w:numId w:val="2"/>
        </w:numPr>
        <w:spacing w:line="560" w:lineRule="exact"/>
        <w:ind w:firstLineChars="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南外（集团）深汕西中心学校在学校内将开设网上报名室，</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b/>
          <w:bCs/>
          <w:color w:val="000000" w:themeColor="text1"/>
          <w:sz w:val="32"/>
          <w:szCs w:val="32"/>
          <w14:textFill>
            <w14:solidFill>
              <w14:schemeClr w14:val="tx1"/>
            </w14:solidFill>
          </w14:textFill>
        </w:rPr>
        <w:t>月</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14:textFill>
            <w14:solidFill>
              <w14:schemeClr w14:val="tx1"/>
            </w14:solidFill>
          </w14:textFill>
        </w:rPr>
        <w:t>日</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b/>
          <w:bCs/>
          <w:color w:val="000000" w:themeColor="text1"/>
          <w:sz w:val="32"/>
          <w:szCs w:val="32"/>
          <w14:textFill>
            <w14:solidFill>
              <w14:schemeClr w14:val="tx1"/>
            </w14:solidFill>
          </w14:textFill>
        </w:rPr>
        <w:t>月</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14:textFill>
            <w14:solidFill>
              <w14:schemeClr w14:val="tx1"/>
            </w14:solidFill>
          </w14:textFill>
        </w:rPr>
        <w:t>日为家长提供网上申请指导，解决家长网上报名的问题。（进校园需遵守学校疫情防疫管理规定）</w:t>
      </w:r>
    </w:p>
    <w:p>
      <w:pPr>
        <w:spacing w:line="560" w:lineRule="exact"/>
        <w:ind w:firstLine="640"/>
        <w:outlineLvl w:val="1"/>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（一）报名</w:t>
      </w:r>
    </w:p>
    <w:p>
      <w:pPr>
        <w:spacing w:line="560" w:lineRule="exact"/>
        <w:ind w:firstLine="64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小一年级及初一年级网上申请学位：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w:t>
      </w:r>
      <w:r>
        <w:rPr>
          <w:rFonts w:hint="eastAsia" w:ascii="仿宋_GB2312" w:hAnsi="仿宋_GB2312" w:eastAsia="仿宋_GB2312" w:cs="仿宋_GB2312"/>
          <w:color w:val="000000" w:themeColor="text1"/>
          <w:sz w:val="32"/>
          <w:szCs w:val="32"/>
          <w14:textFill>
            <w14:solidFill>
              <w14:schemeClr w14:val="tx1"/>
            </w14:solidFill>
          </w14:textFill>
        </w:rPr>
        <w:t>日9:00-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日18:00</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我区南外（集团）深汕西中心学校报名工作通过登录深汕网，点击公告通知，找到“深圳市深汕特别合作区202</w:t>
      </w:r>
      <w:r>
        <w:rPr>
          <w:rFonts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年学校秋季学位申请指南”，学位申请人的监护人点击报名链接，进入报名系统。</w:t>
      </w:r>
    </w:p>
    <w:p>
      <w:pPr>
        <w:spacing w:line="560" w:lineRule="exact"/>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小</w:t>
      </w:r>
      <w:r>
        <w:rPr>
          <w:rFonts w:hint="eastAsia" w:ascii="仿宋_GB2312" w:hAnsi="仿宋_GB2312" w:eastAsia="仿宋_GB2312" w:cs="仿宋_GB2312"/>
          <w:color w:val="000000" w:themeColor="text1"/>
          <w:sz w:val="32"/>
          <w:szCs w:val="32"/>
          <w14:textFill>
            <w14:solidFill>
              <w14:schemeClr w14:val="tx1"/>
            </w14:solidFill>
          </w14:textFill>
        </w:rPr>
        <w:t>学</w:t>
      </w:r>
      <w:r>
        <w:rPr>
          <w:rFonts w:ascii="仿宋_GB2312" w:hAnsi="仿宋_GB2312" w:eastAsia="仿宋_GB2312" w:cs="仿宋_GB2312"/>
          <w:color w:val="000000" w:themeColor="text1"/>
          <w:sz w:val="32"/>
          <w:szCs w:val="32"/>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年级申请链接：http://ssjz.91rxbm.cn/visitsshzqxyjz</w:t>
      </w:r>
    </w:p>
    <w:p>
      <w:pPr>
        <w:spacing w:line="560" w:lineRule="exact"/>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初</w:t>
      </w:r>
      <w:r>
        <w:rPr>
          <w:rFonts w:hint="eastAsia" w:ascii="仿宋_GB2312" w:hAnsi="仿宋_GB2312" w:eastAsia="仿宋_GB2312" w:cs="仿宋_GB2312"/>
          <w:color w:val="000000" w:themeColor="text1"/>
          <w:sz w:val="32"/>
          <w:szCs w:val="32"/>
          <w14:textFill>
            <w14:solidFill>
              <w14:schemeClr w14:val="tx1"/>
            </w14:solidFill>
          </w14:textFill>
        </w:rPr>
        <w:t>中</w:t>
      </w:r>
      <w:r>
        <w:rPr>
          <w:rFonts w:ascii="仿宋_GB2312" w:hAnsi="仿宋_GB2312" w:eastAsia="仿宋_GB2312" w:cs="仿宋_GB2312"/>
          <w:color w:val="000000" w:themeColor="text1"/>
          <w:sz w:val="32"/>
          <w:szCs w:val="32"/>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年级申请链接：http://ssjz.91rxbm.cn/visitsshzqcyjz</w:t>
      </w:r>
    </w:p>
    <w:p>
      <w:pPr>
        <w:spacing w:line="560" w:lineRule="exact"/>
        <w:ind w:firstLine="640" w:firstLineChars="200"/>
        <w:outlineLvl w:val="1"/>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（二）验核材料</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559"/>
        <w:gridCol w:w="3827"/>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center"/>
          </w:tcPr>
          <w:p>
            <w:pPr>
              <w:jc w:val="center"/>
              <w:outlineLvl w:val="1"/>
              <w:rPr>
                <w:rFonts w:ascii="Times New Roman" w:hAnsi="Times New Roman"/>
                <w:b/>
                <w:bCs/>
                <w:color w:val="000000" w:themeColor="text1"/>
                <w:sz w:val="28"/>
                <w:szCs w:val="28"/>
                <w14:textFill>
                  <w14:solidFill>
                    <w14:schemeClr w14:val="tx1"/>
                  </w14:solidFill>
                </w14:textFill>
              </w:rPr>
            </w:pPr>
            <w:r>
              <w:rPr>
                <w:rFonts w:ascii="Times New Roman" w:hAnsi="Times New Roman"/>
                <w:b/>
                <w:bCs/>
                <w:color w:val="000000" w:themeColor="text1"/>
                <w:sz w:val="28"/>
                <w:szCs w:val="28"/>
                <w14:textFill>
                  <w14:solidFill>
                    <w14:schemeClr w14:val="tx1"/>
                  </w14:solidFill>
                </w14:textFill>
              </w:rPr>
              <w:t>材料验核时间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jc w:val="center"/>
              <w:outlineLvl w:val="1"/>
              <w:rPr>
                <w:rFonts w:ascii="Times New Roman" w:hAnsi="Times New Roman"/>
                <w:b/>
                <w:bCs/>
                <w:color w:val="000000" w:themeColor="text1"/>
                <w:sz w:val="28"/>
                <w:szCs w:val="28"/>
                <w14:textFill>
                  <w14:solidFill>
                    <w14:schemeClr w14:val="tx1"/>
                  </w14:solidFill>
                </w14:textFill>
              </w:rPr>
            </w:pPr>
            <w:r>
              <w:rPr>
                <w:rFonts w:ascii="Times New Roman" w:hAnsi="Times New Roman"/>
                <w:b/>
                <w:bCs/>
                <w:color w:val="000000" w:themeColor="text1"/>
                <w:sz w:val="28"/>
                <w:szCs w:val="28"/>
                <w14:textFill>
                  <w14:solidFill>
                    <w14:schemeClr w14:val="tx1"/>
                  </w14:solidFill>
                </w14:textFill>
              </w:rPr>
              <w:t>报名年级</w:t>
            </w:r>
          </w:p>
        </w:tc>
        <w:tc>
          <w:tcPr>
            <w:tcW w:w="5386" w:type="dxa"/>
            <w:gridSpan w:val="2"/>
            <w:vAlign w:val="center"/>
          </w:tcPr>
          <w:p>
            <w:pPr>
              <w:jc w:val="center"/>
              <w:outlineLvl w:val="1"/>
              <w:rPr>
                <w:rFonts w:ascii="Times New Roman" w:hAnsi="Times New Roman"/>
                <w:b/>
                <w:bCs/>
                <w:color w:val="000000" w:themeColor="text1"/>
                <w:sz w:val="28"/>
                <w:szCs w:val="28"/>
                <w14:textFill>
                  <w14:solidFill>
                    <w14:schemeClr w14:val="tx1"/>
                  </w14:solidFill>
                </w14:textFill>
              </w:rPr>
            </w:pPr>
            <w:r>
              <w:rPr>
                <w:rFonts w:ascii="Times New Roman" w:hAnsi="Times New Roman"/>
                <w:b/>
                <w:bCs/>
                <w:color w:val="000000" w:themeColor="text1"/>
                <w:sz w:val="28"/>
                <w:szCs w:val="28"/>
                <w14:textFill>
                  <w14:solidFill>
                    <w14:schemeClr w14:val="tx1"/>
                  </w14:solidFill>
                </w14:textFill>
              </w:rPr>
              <w:t>时间</w:t>
            </w:r>
          </w:p>
        </w:tc>
        <w:tc>
          <w:tcPr>
            <w:tcW w:w="1043" w:type="dxa"/>
            <w:vAlign w:val="center"/>
          </w:tcPr>
          <w:p>
            <w:pPr>
              <w:jc w:val="center"/>
              <w:outlineLvl w:val="1"/>
              <w:rPr>
                <w:rFonts w:ascii="Times New Roman" w:hAnsi="Times New Roman"/>
                <w:b/>
                <w:bCs/>
                <w:color w:val="000000" w:themeColor="text1"/>
                <w:sz w:val="28"/>
                <w:szCs w:val="28"/>
                <w14:textFill>
                  <w14:solidFill>
                    <w14:schemeClr w14:val="tx1"/>
                  </w14:solidFill>
                </w14:textFill>
              </w:rPr>
            </w:pPr>
            <w:r>
              <w:rPr>
                <w:rFonts w:ascii="Times New Roman" w:hAnsi="Times New Roman"/>
                <w:b/>
                <w:bCs/>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093" w:type="dxa"/>
            <w:vAlign w:val="center"/>
          </w:tcPr>
          <w:p>
            <w:pPr>
              <w:spacing w:line="480" w:lineRule="auto"/>
              <w:jc w:val="center"/>
              <w:outlineLvl w:val="1"/>
              <w:rPr>
                <w:rFonts w:ascii="Times New Roman" w:hAnsi="Times New Roman"/>
                <w:color w:val="000000" w:themeColor="text1"/>
                <w:sz w:val="28"/>
                <w:szCs w:val="28"/>
                <w14:textFill>
                  <w14:solidFill>
                    <w14:schemeClr w14:val="tx1"/>
                  </w14:solidFill>
                </w14:textFill>
              </w:rPr>
            </w:pPr>
            <w:bookmarkStart w:id="3" w:name="_Hlk72801432"/>
            <w:r>
              <w:rPr>
                <w:rFonts w:ascii="Times New Roman" w:hAnsi="Times New Roman"/>
                <w:color w:val="000000" w:themeColor="text1"/>
                <w:sz w:val="28"/>
                <w:szCs w:val="28"/>
                <w14:textFill>
                  <w14:solidFill>
                    <w14:schemeClr w14:val="tx1"/>
                  </w14:solidFill>
                </w14:textFill>
              </w:rPr>
              <w:t>小学一年级</w:t>
            </w:r>
          </w:p>
        </w:tc>
        <w:tc>
          <w:tcPr>
            <w:tcW w:w="1559" w:type="dxa"/>
            <w:vAlign w:val="center"/>
          </w:tcPr>
          <w:p>
            <w:pPr>
              <w:spacing w:line="480" w:lineRule="auto"/>
              <w:jc w:val="center"/>
              <w:outlineLvl w:val="1"/>
              <w:rPr>
                <w:rFonts w:ascii="Times New Roman" w:hAnsi="Times New Roman"/>
                <w:color w:val="000000" w:themeColor="text1"/>
                <w:sz w:val="28"/>
                <w:szCs w:val="28"/>
                <w14:textFill>
                  <w14:solidFill>
                    <w14:schemeClr w14:val="tx1"/>
                  </w14:solidFill>
                </w14:textFill>
              </w:rPr>
            </w:pPr>
            <w:r>
              <w:rPr>
                <w:rFonts w:hint="eastAsia" w:ascii="Times New Roman" w:hAnsi="Times New Roman"/>
                <w:color w:val="000000" w:themeColor="text1"/>
                <w:sz w:val="28"/>
                <w:szCs w:val="28"/>
                <w:lang w:val="en-US" w:eastAsia="zh-CN"/>
                <w14:textFill>
                  <w14:solidFill>
                    <w14:schemeClr w14:val="tx1"/>
                  </w14:solidFill>
                </w14:textFill>
              </w:rPr>
              <w:t>6</w:t>
            </w:r>
            <w:r>
              <w:rPr>
                <w:rFonts w:ascii="Times New Roman" w:hAnsi="Times New Roman"/>
                <w:color w:val="000000" w:themeColor="text1"/>
                <w:sz w:val="28"/>
                <w:szCs w:val="28"/>
                <w14:textFill>
                  <w14:solidFill>
                    <w14:schemeClr w14:val="tx1"/>
                  </w14:solidFill>
                </w14:textFill>
              </w:rPr>
              <w:t>月</w:t>
            </w:r>
            <w:r>
              <w:rPr>
                <w:rFonts w:hint="eastAsia" w:ascii="Times New Roman" w:hAnsi="Times New Roman"/>
                <w:color w:val="000000" w:themeColor="text1"/>
                <w:sz w:val="28"/>
                <w:szCs w:val="28"/>
                <w:lang w:val="en-US" w:eastAsia="zh-CN"/>
                <w14:textFill>
                  <w14:solidFill>
                    <w14:schemeClr w14:val="tx1"/>
                  </w14:solidFill>
                </w14:textFill>
              </w:rPr>
              <w:t>13</w:t>
            </w:r>
            <w:r>
              <w:rPr>
                <w:rFonts w:ascii="Times New Roman" w:hAnsi="Times New Roman"/>
                <w:color w:val="000000" w:themeColor="text1"/>
                <w:sz w:val="28"/>
                <w:szCs w:val="28"/>
                <w14:textFill>
                  <w14:solidFill>
                    <w14:schemeClr w14:val="tx1"/>
                  </w14:solidFill>
                </w14:textFill>
              </w:rPr>
              <w:t>日</w:t>
            </w:r>
          </w:p>
        </w:tc>
        <w:tc>
          <w:tcPr>
            <w:tcW w:w="3827" w:type="dxa"/>
            <w:vAlign w:val="center"/>
          </w:tcPr>
          <w:p>
            <w:pPr>
              <w:jc w:val="center"/>
              <w:outlineLvl w:val="1"/>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9:00-11:30　　14:30-17:30</w:t>
            </w:r>
          </w:p>
        </w:tc>
        <w:tc>
          <w:tcPr>
            <w:tcW w:w="1043" w:type="dxa"/>
            <w:vAlign w:val="center"/>
          </w:tcPr>
          <w:p>
            <w:pPr>
              <w:jc w:val="center"/>
              <w:outlineLvl w:val="1"/>
              <w:rPr>
                <w:rFonts w:ascii="Times New Roman" w:hAnsi="Times New Roman"/>
                <w:color w:val="000000" w:themeColor="text1"/>
                <w:sz w:val="28"/>
                <w:szCs w:val="28"/>
                <w14:textFill>
                  <w14:solidFill>
                    <w14:schemeClr w14:val="tx1"/>
                  </w14:solidFill>
                </w14:textFill>
              </w:rPr>
            </w:pP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spacing w:line="480" w:lineRule="auto"/>
              <w:jc w:val="center"/>
              <w:outlineLvl w:val="1"/>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初中一年级</w:t>
            </w:r>
          </w:p>
        </w:tc>
        <w:tc>
          <w:tcPr>
            <w:tcW w:w="1559" w:type="dxa"/>
            <w:vAlign w:val="center"/>
          </w:tcPr>
          <w:p>
            <w:pPr>
              <w:spacing w:line="480" w:lineRule="auto"/>
              <w:jc w:val="center"/>
              <w:outlineLvl w:val="1"/>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6月</w:t>
            </w:r>
            <w:r>
              <w:rPr>
                <w:rFonts w:hint="eastAsia" w:ascii="Times New Roman" w:hAnsi="Times New Roman"/>
                <w:color w:val="000000" w:themeColor="text1"/>
                <w:sz w:val="28"/>
                <w:szCs w:val="28"/>
                <w:lang w:val="en-US" w:eastAsia="zh-CN"/>
                <w14:textFill>
                  <w14:solidFill>
                    <w14:schemeClr w14:val="tx1"/>
                  </w14:solidFill>
                </w14:textFill>
              </w:rPr>
              <w:t>14</w:t>
            </w:r>
            <w:r>
              <w:rPr>
                <w:rFonts w:ascii="Times New Roman" w:hAnsi="Times New Roman"/>
                <w:color w:val="000000" w:themeColor="text1"/>
                <w:sz w:val="28"/>
                <w:szCs w:val="28"/>
                <w14:textFill>
                  <w14:solidFill>
                    <w14:schemeClr w14:val="tx1"/>
                  </w14:solidFill>
                </w14:textFill>
              </w:rPr>
              <w:t>日</w:t>
            </w:r>
          </w:p>
        </w:tc>
        <w:tc>
          <w:tcPr>
            <w:tcW w:w="3827" w:type="dxa"/>
            <w:vAlign w:val="center"/>
          </w:tcPr>
          <w:p>
            <w:pPr>
              <w:jc w:val="center"/>
              <w:outlineLvl w:val="1"/>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9:00-11:30　　14:30-17:30</w:t>
            </w:r>
          </w:p>
        </w:tc>
        <w:tc>
          <w:tcPr>
            <w:tcW w:w="1043" w:type="dxa"/>
            <w:vAlign w:val="center"/>
          </w:tcPr>
          <w:p>
            <w:pPr>
              <w:jc w:val="center"/>
              <w:outlineLvl w:val="1"/>
              <w:rPr>
                <w:rFonts w:ascii="Times New Roman" w:hAnsi="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center"/>
          </w:tcPr>
          <w:p>
            <w:pPr>
              <w:jc w:val="center"/>
              <w:outlineLvl w:val="1"/>
              <w:rPr>
                <w:rFonts w:ascii="Times New Roman" w:hAnsi="Times New Roman"/>
                <w:color w:val="000000" w:themeColor="text1"/>
                <w:sz w:val="28"/>
                <w:szCs w:val="28"/>
                <w14:textFill>
                  <w14:solidFill>
                    <w14:schemeClr w14:val="tx1"/>
                  </w14:solidFill>
                </w14:textFill>
              </w:rPr>
            </w:pPr>
            <w:r>
              <w:rPr>
                <w:rFonts w:ascii="Times New Roman" w:hAnsi="Times New Roman"/>
                <w:b/>
                <w:bCs/>
                <w:color w:val="000000" w:themeColor="text1"/>
                <w:sz w:val="28"/>
                <w:szCs w:val="28"/>
                <w14:textFill>
                  <w14:solidFill>
                    <w14:schemeClr w14:val="tx1"/>
                  </w14:solidFill>
                </w14:textFill>
              </w:rPr>
              <w:t>材料验核地点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center"/>
          </w:tcPr>
          <w:p>
            <w:pPr>
              <w:jc w:val="center"/>
              <w:outlineLvl w:val="1"/>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南山外国语学校（集团）深汕西中心学校　　星辰剧场</w:t>
            </w:r>
          </w:p>
        </w:tc>
      </w:tr>
    </w:tbl>
    <w:p>
      <w:pPr>
        <w:spacing w:line="560" w:lineRule="exact"/>
        <w:ind w:firstLine="640"/>
        <w:rPr>
          <w:b/>
          <w:bCs/>
          <w:color w:val="000000" w:themeColor="text1"/>
          <w:spacing w:val="-6"/>
          <w:sz w:val="32"/>
          <w:szCs w:val="36"/>
          <w14:textFill>
            <w14:solidFill>
              <w14:schemeClr w14:val="tx1"/>
            </w14:solidFill>
          </w14:textFill>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559"/>
        <w:gridCol w:w="3827"/>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center"/>
          </w:tcPr>
          <w:p>
            <w:pPr>
              <w:jc w:val="center"/>
              <w:outlineLvl w:val="1"/>
              <w:rPr>
                <w:rFonts w:ascii="Times New Roman" w:hAnsi="Times New Roman"/>
                <w:b/>
                <w:bCs/>
                <w:color w:val="000000" w:themeColor="text1"/>
                <w:sz w:val="28"/>
                <w:szCs w:val="28"/>
                <w14:textFill>
                  <w14:solidFill>
                    <w14:schemeClr w14:val="tx1"/>
                  </w14:solidFill>
                </w14:textFill>
              </w:rPr>
            </w:pPr>
            <w:r>
              <w:rPr>
                <w:rFonts w:ascii="Times New Roman" w:hAnsi="Times New Roman"/>
                <w:b/>
                <w:bCs/>
                <w:color w:val="000000" w:themeColor="text1"/>
                <w:sz w:val="28"/>
                <w:szCs w:val="28"/>
                <w14:textFill>
                  <w14:solidFill>
                    <w14:schemeClr w14:val="tx1"/>
                  </w14:solidFill>
                </w14:textFill>
              </w:rPr>
              <w:t>补验材料时间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jc w:val="center"/>
              <w:outlineLvl w:val="1"/>
              <w:rPr>
                <w:rFonts w:ascii="Times New Roman" w:hAnsi="Times New Roman"/>
                <w:b/>
                <w:bCs/>
                <w:color w:val="000000" w:themeColor="text1"/>
                <w:sz w:val="28"/>
                <w:szCs w:val="28"/>
                <w14:textFill>
                  <w14:solidFill>
                    <w14:schemeClr w14:val="tx1"/>
                  </w14:solidFill>
                </w14:textFill>
              </w:rPr>
            </w:pPr>
            <w:r>
              <w:rPr>
                <w:rFonts w:ascii="Times New Roman" w:hAnsi="Times New Roman"/>
                <w:b/>
                <w:bCs/>
                <w:color w:val="000000" w:themeColor="text1"/>
                <w:sz w:val="28"/>
                <w:szCs w:val="28"/>
                <w14:textFill>
                  <w14:solidFill>
                    <w14:schemeClr w14:val="tx1"/>
                  </w14:solidFill>
                </w14:textFill>
              </w:rPr>
              <w:t>报名年级</w:t>
            </w:r>
          </w:p>
        </w:tc>
        <w:tc>
          <w:tcPr>
            <w:tcW w:w="5386" w:type="dxa"/>
            <w:gridSpan w:val="2"/>
            <w:vAlign w:val="center"/>
          </w:tcPr>
          <w:p>
            <w:pPr>
              <w:jc w:val="center"/>
              <w:outlineLvl w:val="1"/>
              <w:rPr>
                <w:rFonts w:ascii="Times New Roman" w:hAnsi="Times New Roman"/>
                <w:b/>
                <w:bCs/>
                <w:color w:val="000000" w:themeColor="text1"/>
                <w:sz w:val="28"/>
                <w:szCs w:val="28"/>
                <w14:textFill>
                  <w14:solidFill>
                    <w14:schemeClr w14:val="tx1"/>
                  </w14:solidFill>
                </w14:textFill>
              </w:rPr>
            </w:pPr>
            <w:r>
              <w:rPr>
                <w:rFonts w:ascii="Times New Roman" w:hAnsi="Times New Roman"/>
                <w:b/>
                <w:bCs/>
                <w:color w:val="000000" w:themeColor="text1"/>
                <w:sz w:val="28"/>
                <w:szCs w:val="28"/>
                <w14:textFill>
                  <w14:solidFill>
                    <w14:schemeClr w14:val="tx1"/>
                  </w14:solidFill>
                </w14:textFill>
              </w:rPr>
              <w:t>时间</w:t>
            </w:r>
          </w:p>
        </w:tc>
        <w:tc>
          <w:tcPr>
            <w:tcW w:w="1043" w:type="dxa"/>
            <w:vAlign w:val="center"/>
          </w:tcPr>
          <w:p>
            <w:pPr>
              <w:jc w:val="center"/>
              <w:outlineLvl w:val="1"/>
              <w:rPr>
                <w:rFonts w:ascii="Times New Roman" w:hAnsi="Times New Roman"/>
                <w:b/>
                <w:bCs/>
                <w:color w:val="000000" w:themeColor="text1"/>
                <w:sz w:val="28"/>
                <w:szCs w:val="28"/>
                <w14:textFill>
                  <w14:solidFill>
                    <w14:schemeClr w14:val="tx1"/>
                  </w14:solidFill>
                </w14:textFill>
              </w:rPr>
            </w:pPr>
            <w:r>
              <w:rPr>
                <w:rFonts w:ascii="Times New Roman" w:hAnsi="Times New Roman"/>
                <w:b/>
                <w:bCs/>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093" w:type="dxa"/>
            <w:vAlign w:val="center"/>
          </w:tcPr>
          <w:p>
            <w:pPr>
              <w:spacing w:line="480" w:lineRule="auto"/>
              <w:jc w:val="center"/>
              <w:outlineLvl w:val="1"/>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小学一年级</w:t>
            </w:r>
          </w:p>
        </w:tc>
        <w:tc>
          <w:tcPr>
            <w:tcW w:w="1559" w:type="dxa"/>
            <w:vAlign w:val="center"/>
          </w:tcPr>
          <w:p>
            <w:pPr>
              <w:spacing w:line="480" w:lineRule="auto"/>
              <w:jc w:val="center"/>
              <w:outlineLvl w:val="1"/>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6月</w:t>
            </w:r>
            <w:r>
              <w:rPr>
                <w:rFonts w:hint="eastAsia" w:ascii="Times New Roman" w:hAnsi="Times New Roman"/>
                <w:color w:val="000000" w:themeColor="text1"/>
                <w:sz w:val="28"/>
                <w:szCs w:val="28"/>
                <w:lang w:val="en-US" w:eastAsia="zh-CN"/>
                <w14:textFill>
                  <w14:solidFill>
                    <w14:schemeClr w14:val="tx1"/>
                  </w14:solidFill>
                </w14:textFill>
              </w:rPr>
              <w:t>21</w:t>
            </w:r>
            <w:r>
              <w:rPr>
                <w:rFonts w:ascii="Times New Roman" w:hAnsi="Times New Roman"/>
                <w:color w:val="000000" w:themeColor="text1"/>
                <w:sz w:val="28"/>
                <w:szCs w:val="28"/>
                <w14:textFill>
                  <w14:solidFill>
                    <w14:schemeClr w14:val="tx1"/>
                  </w14:solidFill>
                </w14:textFill>
              </w:rPr>
              <w:t>日</w:t>
            </w:r>
          </w:p>
        </w:tc>
        <w:tc>
          <w:tcPr>
            <w:tcW w:w="3827" w:type="dxa"/>
            <w:vAlign w:val="center"/>
          </w:tcPr>
          <w:p>
            <w:pPr>
              <w:jc w:val="center"/>
              <w:outlineLvl w:val="1"/>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9:00-11:30　　14:30-17:30</w:t>
            </w:r>
          </w:p>
        </w:tc>
        <w:tc>
          <w:tcPr>
            <w:tcW w:w="1043" w:type="dxa"/>
            <w:vAlign w:val="center"/>
          </w:tcPr>
          <w:p>
            <w:pPr>
              <w:jc w:val="center"/>
              <w:outlineLvl w:val="1"/>
              <w:rPr>
                <w:rFonts w:ascii="Times New Roman" w:hAnsi="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093" w:type="dxa"/>
            <w:vAlign w:val="center"/>
          </w:tcPr>
          <w:p>
            <w:pPr>
              <w:spacing w:line="480" w:lineRule="auto"/>
              <w:jc w:val="center"/>
              <w:outlineLvl w:val="1"/>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初中一年级</w:t>
            </w:r>
          </w:p>
        </w:tc>
        <w:tc>
          <w:tcPr>
            <w:tcW w:w="1559" w:type="dxa"/>
            <w:vAlign w:val="center"/>
          </w:tcPr>
          <w:p>
            <w:pPr>
              <w:spacing w:line="480" w:lineRule="auto"/>
              <w:jc w:val="center"/>
              <w:outlineLvl w:val="1"/>
              <w:rPr>
                <w:rFonts w:hint="default" w:ascii="Times New Roman" w:hAnsi="Times New Roman" w:eastAsia="宋体"/>
                <w:color w:val="000000" w:themeColor="text1"/>
                <w:sz w:val="28"/>
                <w:szCs w:val="28"/>
                <w:lang w:val="en-US" w:eastAsia="zh-CN"/>
                <w14:textFill>
                  <w14:solidFill>
                    <w14:schemeClr w14:val="tx1"/>
                  </w14:solidFill>
                </w14:textFill>
              </w:rPr>
            </w:pPr>
            <w:r>
              <w:rPr>
                <w:rFonts w:hint="eastAsia" w:ascii="Times New Roman" w:hAnsi="Times New Roman"/>
                <w:color w:val="000000" w:themeColor="text1"/>
                <w:sz w:val="28"/>
                <w:szCs w:val="28"/>
                <w:lang w:val="en-US" w:eastAsia="zh-CN"/>
                <w14:textFill>
                  <w14:solidFill>
                    <w14:schemeClr w14:val="tx1"/>
                  </w14:solidFill>
                </w14:textFill>
              </w:rPr>
              <w:t>6月22日</w:t>
            </w:r>
          </w:p>
        </w:tc>
        <w:tc>
          <w:tcPr>
            <w:tcW w:w="3827" w:type="dxa"/>
            <w:vAlign w:val="center"/>
          </w:tcPr>
          <w:p>
            <w:pPr>
              <w:jc w:val="center"/>
              <w:outlineLvl w:val="1"/>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9:00-11:30　　14:30-17:30</w:t>
            </w:r>
          </w:p>
        </w:tc>
        <w:tc>
          <w:tcPr>
            <w:tcW w:w="1043" w:type="dxa"/>
            <w:vAlign w:val="center"/>
          </w:tcPr>
          <w:p>
            <w:pPr>
              <w:jc w:val="center"/>
              <w:outlineLvl w:val="1"/>
              <w:rPr>
                <w:rFonts w:ascii="Times New Roman" w:hAnsi="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center"/>
          </w:tcPr>
          <w:p>
            <w:pPr>
              <w:jc w:val="center"/>
              <w:outlineLvl w:val="1"/>
              <w:rPr>
                <w:rFonts w:ascii="Times New Roman" w:hAnsi="Times New Roman"/>
                <w:color w:val="000000" w:themeColor="text1"/>
                <w:sz w:val="28"/>
                <w:szCs w:val="28"/>
                <w14:textFill>
                  <w14:solidFill>
                    <w14:schemeClr w14:val="tx1"/>
                  </w14:solidFill>
                </w14:textFill>
              </w:rPr>
            </w:pPr>
            <w:r>
              <w:rPr>
                <w:rFonts w:ascii="Times New Roman" w:hAnsi="Times New Roman"/>
                <w:b/>
                <w:bCs/>
                <w:color w:val="000000" w:themeColor="text1"/>
                <w:sz w:val="28"/>
                <w:szCs w:val="28"/>
                <w14:textFill>
                  <w14:solidFill>
                    <w14:schemeClr w14:val="tx1"/>
                  </w14:solidFill>
                </w14:textFill>
              </w:rPr>
              <w:t>材料验核地点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center"/>
          </w:tcPr>
          <w:p>
            <w:pPr>
              <w:jc w:val="center"/>
              <w:outlineLvl w:val="1"/>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南山外国语学校（集团）深汕西中心学校　　</w:t>
            </w:r>
            <w:r>
              <w:rPr>
                <w:rFonts w:hint="eastAsia" w:ascii="Times New Roman" w:hAnsi="Times New Roman"/>
                <w:color w:val="000000" w:themeColor="text1"/>
                <w:sz w:val="28"/>
                <w:szCs w:val="28"/>
                <w14:textFill>
                  <w14:solidFill>
                    <w14:schemeClr w14:val="tx1"/>
                  </w14:solidFill>
                </w14:textFill>
              </w:rPr>
              <w:t>星辰剧场</w:t>
            </w:r>
          </w:p>
        </w:tc>
      </w:tr>
    </w:tbl>
    <w:p>
      <w:pPr>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入学申请材料经学校初验后，报公安、住建、租赁、社保、计生等部门联合审核，提供虚假材料申请学位一经查实，将取消该学位申请人申请我区义务教育阶段公办学校资格。</w:t>
      </w:r>
    </w:p>
    <w:p>
      <w:pPr>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（三）录取</w:t>
      </w:r>
    </w:p>
    <w:p>
      <w:pPr>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default" w:ascii="仿宋_GB2312" w:hAnsi="仿宋_GB2312" w:eastAsia="仿宋_GB2312" w:cs="仿宋_GB2312"/>
          <w:color w:val="000000" w:themeColor="text1"/>
          <w:sz w:val="32"/>
          <w:szCs w:val="32"/>
          <w:lang w:val="en"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日公布录取名单。</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录取：招生录取最终以积分排序顺序由高到低依次录取，录满为止。</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调整：若申请学位的人数超过学校招生计划，由深汕特别合作区公共事业局统一将积分排序靠后的申请者分流到其它公办或公益民办学校。</w:t>
      </w:r>
    </w:p>
    <w:p>
      <w:pPr>
        <w:spacing w:line="560" w:lineRule="exact"/>
        <w:ind w:firstLine="640"/>
        <w:rPr>
          <w:rFonts w:ascii="楷体" w:hAnsi="楷体" w:eastAsia="楷体" w:cs="楷体"/>
          <w:sz w:val="32"/>
          <w:szCs w:val="32"/>
        </w:rPr>
      </w:pPr>
      <w:r>
        <w:rPr>
          <w:rFonts w:hint="eastAsia" w:ascii="楷体" w:hAnsi="楷体" w:eastAsia="楷体" w:cs="楷体"/>
          <w:sz w:val="32"/>
          <w:szCs w:val="32"/>
        </w:rPr>
        <w:t>（四）注册</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学位申请人应按规定时间内到学校进行注册，逾期不注册者，不予以保留学位，由此造成的一切后果由家长自行承担。</w:t>
      </w:r>
    </w:p>
    <w:p>
      <w:pPr>
        <w:pStyle w:val="10"/>
        <w:numPr>
          <w:ilvl w:val="0"/>
          <w:numId w:val="1"/>
        </w:numPr>
        <w:spacing w:line="560" w:lineRule="exact"/>
        <w:ind w:firstLineChars="0"/>
        <w:outlineLvl w:val="0"/>
        <w:rPr>
          <w:rFonts w:ascii="黑体" w:hAnsi="黑体" w:eastAsia="黑体" w:cs="黑体"/>
          <w:sz w:val="32"/>
          <w:szCs w:val="36"/>
        </w:rPr>
      </w:pPr>
      <w:r>
        <w:rPr>
          <w:rFonts w:hint="eastAsia" w:ascii="黑体" w:hAnsi="黑体" w:eastAsia="黑体" w:cs="黑体"/>
          <w:sz w:val="32"/>
          <w:szCs w:val="36"/>
        </w:rPr>
        <w:t>温馨提醒</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南外（集团）深汕西中心学校是公办学校，申请报名及入学均不收取任何费用，任何索要钱财的入学许诺均为不法行为，希望各位家长按照本指南提前准备材料，不建议到学位紧张的学区内临时购房或者租房，切莫相信不实许诺，以免造成不必要损失。</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（一）在就读期间家长要保证入学材料的有效性，监护人须对申请资料的真实性负全责。</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（二）有下列情况之一者，公办学校将谢绝您的申请：</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1.利用虚假材料申请学位；</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2.不按时申请学位者；</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3.已被学校录取，不按时报名注册的。</w:t>
      </w:r>
    </w:p>
    <w:p>
      <w:pPr>
        <w:pStyle w:val="10"/>
        <w:numPr>
          <w:ilvl w:val="0"/>
          <w:numId w:val="1"/>
        </w:numPr>
        <w:spacing w:line="560" w:lineRule="exact"/>
        <w:ind w:firstLineChars="0"/>
        <w:outlineLvl w:val="0"/>
        <w:rPr>
          <w:rFonts w:ascii="黑体" w:hAnsi="黑体" w:eastAsia="黑体" w:cs="黑体"/>
          <w:sz w:val="32"/>
          <w:szCs w:val="36"/>
        </w:rPr>
      </w:pPr>
      <w:r>
        <w:rPr>
          <w:rFonts w:hint="eastAsia" w:ascii="黑体" w:hAnsi="黑体" w:eastAsia="黑体" w:cs="黑体"/>
          <w:sz w:val="32"/>
          <w:szCs w:val="36"/>
        </w:rPr>
        <w:t>体检</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新生应到本市任何一家公立医院进行入学体检和预防接种（预防接种可咨询居住地所属社康中心）；凡在202</w:t>
      </w:r>
      <w:r>
        <w:rPr>
          <w:rFonts w:hint="default" w:ascii="仿宋_GB2312" w:hAnsi="仿宋_GB2312" w:eastAsia="仿宋_GB2312" w:cs="仿宋_GB2312"/>
          <w:sz w:val="32"/>
          <w:szCs w:val="32"/>
          <w:lang w:val="en"/>
        </w:rPr>
        <w:t>2</w:t>
      </w:r>
      <w:r>
        <w:rPr>
          <w:rFonts w:hint="eastAsia" w:ascii="仿宋_GB2312" w:hAnsi="仿宋_GB2312" w:eastAsia="仿宋_GB2312" w:cs="仿宋_GB2312"/>
          <w:sz w:val="32"/>
          <w:szCs w:val="32"/>
        </w:rPr>
        <w:t>年9月1日至到校注册前，幼儿园组织的，由公立医院进行过的体检，小学应认可结果。新生须携带《预防接种证》到学校注册。如有传染病，学校暂不安排入学，待治愈后再到学校办理入学手续。学校或幼儿园不得指定体检医院。</w:t>
      </w:r>
    </w:p>
    <w:p>
      <w:pPr>
        <w:pStyle w:val="10"/>
        <w:numPr>
          <w:ilvl w:val="0"/>
          <w:numId w:val="1"/>
        </w:numPr>
        <w:spacing w:line="560" w:lineRule="exact"/>
        <w:ind w:firstLineChars="0"/>
        <w:outlineLvl w:val="0"/>
        <w:rPr>
          <w:rFonts w:ascii="黑体" w:hAnsi="黑体" w:eastAsia="黑体" w:cs="黑体"/>
          <w:sz w:val="32"/>
          <w:szCs w:val="36"/>
        </w:rPr>
      </w:pPr>
      <w:r>
        <w:rPr>
          <w:rFonts w:hint="eastAsia" w:ascii="黑体" w:hAnsi="黑体" w:eastAsia="黑体" w:cs="黑体"/>
          <w:sz w:val="32"/>
          <w:szCs w:val="36"/>
        </w:rPr>
        <w:t>咨询与申诉</w:t>
      </w:r>
    </w:p>
    <w:p>
      <w:pPr>
        <w:spacing w:line="560" w:lineRule="exact"/>
        <w:ind w:firstLine="640"/>
        <w:rPr>
          <w:rFonts w:ascii="仿宋_GB2312" w:hAnsi="仿宋_GB2312" w:eastAsia="仿宋_GB2312" w:cs="仿宋_GB2312"/>
          <w:sz w:val="32"/>
          <w:szCs w:val="32"/>
        </w:rPr>
      </w:pPr>
      <w:r>
        <w:rPr>
          <w:rFonts w:hint="eastAsia" w:ascii="楷体" w:hAnsi="楷体" w:eastAsia="楷体" w:cs="楷体"/>
          <w:sz w:val="32"/>
          <w:szCs w:val="32"/>
        </w:rPr>
        <w:t>（一）申诉</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如家长对学校招生工作有意见可向学校负责人反映。若学校的解释或解决办法仍无法让您满意，可持由学校校长签署处理意见的《深汕特别合作区招生工作申诉表》到深汕特别合作区公共事业局反映。</w:t>
      </w:r>
    </w:p>
    <w:p>
      <w:pPr>
        <w:spacing w:line="560" w:lineRule="exact"/>
        <w:ind w:firstLine="640"/>
        <w:rPr>
          <w:rFonts w:ascii="楷体" w:hAnsi="楷体" w:eastAsia="楷体" w:cs="楷体"/>
          <w:sz w:val="32"/>
          <w:szCs w:val="32"/>
        </w:rPr>
      </w:pPr>
      <w:r>
        <w:rPr>
          <w:rFonts w:hint="eastAsia" w:ascii="楷体" w:hAnsi="楷体" w:eastAsia="楷体" w:cs="楷体"/>
          <w:sz w:val="32"/>
          <w:szCs w:val="32"/>
        </w:rPr>
        <w:t>（二）咨询</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各位家长可登陆深汕网，点击“公告通知”了解相关招生政策及最新消息，如需电话咨询，请在工作日拨打以下电话。</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南外（集团）深汕西中心学校：0755-220926</w:t>
      </w:r>
      <w:r>
        <w:rPr>
          <w:rFonts w:ascii="仿宋_GB2312" w:hAnsi="仿宋_GB2312" w:eastAsia="仿宋_GB2312" w:cs="仿宋_GB2312"/>
          <w:sz w:val="32"/>
          <w:szCs w:val="32"/>
        </w:rPr>
        <w:t>97</w:t>
      </w:r>
    </w:p>
    <w:p>
      <w:pPr>
        <w:spacing w:line="560" w:lineRule="exact"/>
        <w:jc w:val="right"/>
        <w:rPr>
          <w:rFonts w:ascii="仿宋_GB2312" w:hAnsi="仿宋_GB2312" w:eastAsia="仿宋_GB2312" w:cs="仿宋_GB2312"/>
          <w:sz w:val="32"/>
          <w:szCs w:val="32"/>
        </w:rPr>
      </w:pPr>
    </w:p>
    <w:p>
      <w:pPr>
        <w:spacing w:line="560" w:lineRule="exact"/>
        <w:ind w:firstLine="3401" w:firstLineChars="1063"/>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深圳市深汕特别合作区公共事业局</w:t>
      </w:r>
    </w:p>
    <w:p>
      <w:pPr>
        <w:spacing w:line="560" w:lineRule="exact"/>
        <w:ind w:firstLine="3401" w:firstLineChars="1063"/>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w:t>
      </w:r>
    </w:p>
    <w:p>
      <w:pPr>
        <w:spacing w:line="560" w:lineRule="exact"/>
        <w:jc w:val="left"/>
      </w:pPr>
    </w:p>
    <w:p>
      <w:pPr>
        <w:spacing w:line="560" w:lineRule="exact"/>
        <w:ind w:firstLine="640"/>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D0215C"/>
    <w:multiLevelType w:val="multilevel"/>
    <w:tmpl w:val="14D0215C"/>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56A53254"/>
    <w:multiLevelType w:val="multilevel"/>
    <w:tmpl w:val="56A53254"/>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Y5MjNhNGNiMDU0NDQwYmY4ODgwY2QxOWM4MDNhNmYifQ=="/>
  </w:docVars>
  <w:rsids>
    <w:rsidRoot w:val="0053083C"/>
    <w:rsid w:val="000D6A55"/>
    <w:rsid w:val="00112013"/>
    <w:rsid w:val="001D5950"/>
    <w:rsid w:val="00200369"/>
    <w:rsid w:val="00241057"/>
    <w:rsid w:val="00265FFF"/>
    <w:rsid w:val="003F1645"/>
    <w:rsid w:val="0053083C"/>
    <w:rsid w:val="0059059C"/>
    <w:rsid w:val="005C5317"/>
    <w:rsid w:val="005F4903"/>
    <w:rsid w:val="0062207A"/>
    <w:rsid w:val="006F14CA"/>
    <w:rsid w:val="00705289"/>
    <w:rsid w:val="0070686B"/>
    <w:rsid w:val="007D53B9"/>
    <w:rsid w:val="007E1C3D"/>
    <w:rsid w:val="00867A45"/>
    <w:rsid w:val="00971E3A"/>
    <w:rsid w:val="00A45637"/>
    <w:rsid w:val="00A85CF3"/>
    <w:rsid w:val="00AD0BE8"/>
    <w:rsid w:val="00B4493B"/>
    <w:rsid w:val="00BD4E6B"/>
    <w:rsid w:val="00BF0048"/>
    <w:rsid w:val="00C731AF"/>
    <w:rsid w:val="00CE2AD7"/>
    <w:rsid w:val="00D77231"/>
    <w:rsid w:val="00DC0FA7"/>
    <w:rsid w:val="00F02579"/>
    <w:rsid w:val="00F227FC"/>
    <w:rsid w:val="00F27545"/>
    <w:rsid w:val="00F320EB"/>
    <w:rsid w:val="00FE0FAC"/>
    <w:rsid w:val="00FF512A"/>
    <w:rsid w:val="011120FF"/>
    <w:rsid w:val="03582C0F"/>
    <w:rsid w:val="03821F4C"/>
    <w:rsid w:val="0431789F"/>
    <w:rsid w:val="15E56BFA"/>
    <w:rsid w:val="16757BCD"/>
    <w:rsid w:val="16AE6CEA"/>
    <w:rsid w:val="16F60D28"/>
    <w:rsid w:val="1F480EA7"/>
    <w:rsid w:val="214A3E57"/>
    <w:rsid w:val="223954A3"/>
    <w:rsid w:val="23164A29"/>
    <w:rsid w:val="23806B9F"/>
    <w:rsid w:val="24284EE9"/>
    <w:rsid w:val="25854D5B"/>
    <w:rsid w:val="26EC64E9"/>
    <w:rsid w:val="27350DCF"/>
    <w:rsid w:val="27D42AC3"/>
    <w:rsid w:val="2B1E29C6"/>
    <w:rsid w:val="2BCE29D0"/>
    <w:rsid w:val="2CAD30F8"/>
    <w:rsid w:val="31AF7214"/>
    <w:rsid w:val="333D5B5D"/>
    <w:rsid w:val="336C434D"/>
    <w:rsid w:val="355913AD"/>
    <w:rsid w:val="35DB5F84"/>
    <w:rsid w:val="3D67016B"/>
    <w:rsid w:val="3E605C57"/>
    <w:rsid w:val="430B06D9"/>
    <w:rsid w:val="43AB5E5C"/>
    <w:rsid w:val="46DA72FF"/>
    <w:rsid w:val="493E6BEE"/>
    <w:rsid w:val="49C17D19"/>
    <w:rsid w:val="4EA5376F"/>
    <w:rsid w:val="4FE32613"/>
    <w:rsid w:val="51C26B4F"/>
    <w:rsid w:val="52857602"/>
    <w:rsid w:val="52F056BA"/>
    <w:rsid w:val="57324A4D"/>
    <w:rsid w:val="58F963FA"/>
    <w:rsid w:val="5C2F6E0E"/>
    <w:rsid w:val="5CC753E2"/>
    <w:rsid w:val="5FDFB1F2"/>
    <w:rsid w:val="63543E53"/>
    <w:rsid w:val="64483461"/>
    <w:rsid w:val="64F212E1"/>
    <w:rsid w:val="6AF4ADB2"/>
    <w:rsid w:val="6D606CB3"/>
    <w:rsid w:val="6DB9275E"/>
    <w:rsid w:val="72AF5911"/>
    <w:rsid w:val="781E7B40"/>
    <w:rsid w:val="784A1E49"/>
    <w:rsid w:val="787E65A5"/>
    <w:rsid w:val="79501640"/>
    <w:rsid w:val="7DB9E387"/>
    <w:rsid w:val="7E7F7929"/>
    <w:rsid w:val="7F7D67ED"/>
    <w:rsid w:val="7FA43FEB"/>
    <w:rsid w:val="ADFD8731"/>
    <w:rsid w:val="BF7BCD43"/>
    <w:rsid w:val="BFBCC80E"/>
    <w:rsid w:val="DD7F2279"/>
    <w:rsid w:val="EFBC1531"/>
    <w:rsid w:val="FEBFE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qFormat/>
    <w:uiPriority w:val="0"/>
    <w:pPr>
      <w:ind w:left="100" w:leftChars="2500"/>
    </w:p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basedOn w:val="7"/>
    <w:qFormat/>
    <w:uiPriority w:val="0"/>
    <w:rPr>
      <w:color w:val="954F72" w:themeColor="followedHyperlink"/>
      <w:u w:val="single"/>
      <w14:textFill>
        <w14:solidFill>
          <w14:schemeClr w14:val="folHlink"/>
        </w14:solidFill>
      </w14:textFill>
    </w:rPr>
  </w:style>
  <w:style w:type="character" w:styleId="9">
    <w:name w:val="Hyperlink"/>
    <w:basedOn w:val="7"/>
    <w:qFormat/>
    <w:uiPriority w:val="0"/>
    <w:rPr>
      <w:color w:val="0563C1" w:themeColor="hyperlink"/>
      <w:u w:val="single"/>
      <w14:textFill>
        <w14:solidFill>
          <w14:schemeClr w14:val="hlink"/>
        </w14:solidFill>
      </w14:textFill>
    </w:rPr>
  </w:style>
  <w:style w:type="paragraph" w:styleId="10">
    <w:name w:val="List Paragraph"/>
    <w:basedOn w:val="1"/>
    <w:qFormat/>
    <w:uiPriority w:val="34"/>
    <w:pPr>
      <w:ind w:firstLine="420" w:firstLineChars="200"/>
    </w:pPr>
  </w:style>
  <w:style w:type="character" w:customStyle="1" w:styleId="11">
    <w:name w:val="未处理的提及1"/>
    <w:basedOn w:val="7"/>
    <w:semiHidden/>
    <w:unhideWhenUsed/>
    <w:qFormat/>
    <w:uiPriority w:val="99"/>
    <w:rPr>
      <w:color w:val="605E5C"/>
      <w:shd w:val="clear" w:color="auto" w:fill="E1DFDD"/>
    </w:rPr>
  </w:style>
  <w:style w:type="character" w:customStyle="1" w:styleId="12">
    <w:name w:val="页眉 字符"/>
    <w:basedOn w:val="7"/>
    <w:link w:val="4"/>
    <w:qFormat/>
    <w:uiPriority w:val="0"/>
    <w:rPr>
      <w:rFonts w:ascii="Calibri" w:hAnsi="Calibri" w:eastAsia="宋体" w:cs="Times New Roman"/>
      <w:kern w:val="2"/>
      <w:sz w:val="18"/>
      <w:szCs w:val="18"/>
    </w:rPr>
  </w:style>
  <w:style w:type="character" w:customStyle="1" w:styleId="13">
    <w:name w:val="页脚 字符"/>
    <w:basedOn w:val="7"/>
    <w:link w:val="3"/>
    <w:qFormat/>
    <w:uiPriority w:val="0"/>
    <w:rPr>
      <w:rFonts w:ascii="Calibri" w:hAnsi="Calibri" w:eastAsia="宋体" w:cs="Times New Roman"/>
      <w:kern w:val="2"/>
      <w:sz w:val="18"/>
      <w:szCs w:val="18"/>
    </w:rPr>
  </w:style>
  <w:style w:type="character" w:customStyle="1" w:styleId="14">
    <w:name w:val="日期 字符"/>
    <w:basedOn w:val="7"/>
    <w:link w:val="2"/>
    <w:qFormat/>
    <w:uiPriority w:val="0"/>
    <w:rPr>
      <w:rFonts w:ascii="Calibri" w:hAnsi="Calibri" w:eastAsia="宋体" w:cs="Times New Roman"/>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2602</Words>
  <Characters>2852</Characters>
  <Lines>21</Lines>
  <Paragraphs>6</Paragraphs>
  <TotalTime>10</TotalTime>
  <ScaleCrop>false</ScaleCrop>
  <LinksUpToDate>false</LinksUpToDate>
  <CharactersWithSpaces>2864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2021-06-11T15:31:00Z</dcterms:created>
  <dc:creator>LinHuang</dc:creator>
  <cp:lastModifiedBy>sssuper</cp:lastModifiedBy>
  <cp:lastPrinted>2022-05-27T18:23:00Z</cp:lastPrinted>
  <dcterms:modified xsi:type="dcterms:W3CDTF">2022-05-27T14:27:58Z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3004C7A835E54FB7931D9C9A44609099</vt:lpwstr>
  </property>
</Properties>
</file>