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firstLine="640"/>
      </w:pPr>
      <w:bookmarkStart w:id="0" w:name="_Toc246777209"/>
      <w:bookmarkStart w:id="1" w:name="_Toc223484161"/>
      <w:bookmarkStart w:id="2" w:name="_Toc279407485"/>
      <w:bookmarkStart w:id="3" w:name="_Toc419963411"/>
      <w:bookmarkStart w:id="4" w:name="_Toc234551431"/>
      <w:bookmarkStart w:id="5" w:name="_Toc265562483"/>
      <w:bookmarkStart w:id="6" w:name="_Toc234551898"/>
      <w:bookmarkStart w:id="7" w:name="_Toc419963410"/>
      <w:bookmarkStart w:id="8" w:name="_Toc275349679"/>
      <w:bookmarkStart w:id="9" w:name="_Toc218248229"/>
      <w:bookmarkStart w:id="10" w:name="_Toc246777481"/>
      <w:bookmarkStart w:id="11" w:name="_Toc234551555"/>
      <w:bookmarkStart w:id="12" w:name="_Toc246908233"/>
      <w:bookmarkStart w:id="13" w:name="_Toc265398790"/>
      <w:bookmarkStart w:id="14" w:name="_Toc246777577"/>
      <w:bookmarkStart w:id="15" w:name="_Toc269270779"/>
      <w:bookmarkStart w:id="16" w:name="_Toc234551724"/>
      <w:bookmarkStart w:id="17" w:name="_Toc30673"/>
      <w:bookmarkStart w:id="18" w:name="_Toc430774070"/>
      <w:bookmarkStart w:id="19" w:name="_Toc419963425"/>
      <w:bookmarkStart w:id="20" w:name="OLE_LINK8"/>
      <w:bookmarkStart w:id="21" w:name="_Toc279407512"/>
      <w:bookmarkStart w:id="22" w:name="_Toc275349706"/>
      <w:bookmarkStart w:id="23" w:name="_Toc279407511"/>
      <w:bookmarkStart w:id="24" w:name="_Toc269270805"/>
      <w:bookmarkStart w:id="25" w:name="_Toc265562522"/>
      <w:bookmarkStart w:id="26" w:name="_Toc265562569"/>
      <w:bookmarkStart w:id="27" w:name="_Toc275349705"/>
      <w:bookmarkStart w:id="28" w:name="_Toc279407523"/>
      <w:bookmarkStart w:id="29" w:name="_Toc130276341"/>
      <w:bookmarkStart w:id="30" w:name="_Toc275349717"/>
      <w:bookmarkStart w:id="31" w:name="_Toc419963438"/>
    </w:p>
    <w:sdt>
      <w:sdtPr>
        <w:id w:val="2103758773"/>
        <w:docPartObj>
          <w:docPartGallery w:val="AutoText"/>
        </w:docPartObj>
      </w:sdtPr>
      <w:sdtEndPr>
        <w:rPr>
          <w:rFonts w:eastAsia="黑体"/>
          <w:b/>
          <w:bCs/>
          <w:color w:val="000000"/>
          <w:kern w:val="44"/>
          <w:sz w:val="36"/>
          <w:szCs w:val="36"/>
        </w:rPr>
      </w:sdtEndPr>
      <w:sdtContent>
        <w:p>
          <w:pPr>
            <w:ind w:firstLine="640"/>
          </w:pPr>
          <w:r>
            <mc:AlternateContent>
              <mc:Choice Requires="wpg">
                <w:drawing>
                  <wp:anchor distT="0" distB="0" distL="114300" distR="114300" simplePos="0" relativeHeight="251664384"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0"/>
                    <wp:effectExtent l="0" t="0" r="1270" b="1905"/>
                    <wp:wrapNone/>
                    <wp:docPr id="149" name="组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矩形 51"/>
                            <wps:cNvSpPr/>
                            <wps:spPr>
                              <a:xfrm>
                                <a:off x="0" y="-1"/>
                                <a:ext cx="7315200" cy="1130373"/>
                              </a:xfrm>
                              <a:custGeom>
                                <a:avLst/>
                                <a:gdLst>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51"/>
                            <wps:cNvSpPr/>
                            <wps:spPr>
                              <a:xfrm>
                                <a:off x="0" y="0"/>
                                <a:ext cx="7315200" cy="1216152"/>
                              </a:xfrm>
                              <a:prstGeom prst="rect">
                                <a:avLst/>
                              </a:prstGeom>
                              <a:blipFill>
                                <a:blip r:embed="rId14"/>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94100</wp14:pctWidth>
                    </wp14:sizeRelH>
                    <wp14:sizeRelV relativeFrom="page">
                      <wp14:pctHeight>12100</wp14:pctHeight>
                    </wp14:sizeRelV>
                  </wp:anchor>
                </w:drawing>
              </mc:Choice>
              <mc:Fallback>
                <w:pict>
                  <v:group id="组 149" o:spid="_x0000_s1026" o:spt="203" style="position:absolute;left:0pt;margin-left:17.55pt;margin-top:19.35pt;height:95.7pt;width:576pt;mso-position-horizontal-relative:page;mso-position-vertical-relative:page;z-index:251664384;mso-width-relative:page;mso-height-relative:page;mso-width-percent:941;mso-height-percent:121;" coordorigin="0,-1" coordsize="7315200,1216153" o:gfxdata="UEsDBAoAAAAAAIdO4kAAAAAAAAAAAAAAAAAEAAAAZHJzL1BLAwQUAAAACACHTuJAEdtM2dMAAAAG&#10;AQAADwAAAGRycy9kb3ducmV2LnhtbE2PwW7CMBBE70j9B2srcQPHEUWQxkGiUj+gtKo4mnhJIuJ1&#10;iB0gfH2XXtrLakezmnmbb26uFRfsQ+NJg5onIJBKbxuqNHx9vs9WIEI0ZE3rCTWMGGBTPE1yk1l/&#10;pQ+87GIlOIRCZjTUMXaZlKGs0Zkw9x0Se0ffOxNZ9pW0vblyuGtlmiRL6UxD3FCbDt9qLE+7wXHv&#10;Pt0O6j6OJPffp203Ls/D4qz19FklryAi3uLfMTzwGR0KZjr4gWwQrQZ+JP7Oh6deUtYH3tZqAbLI&#10;5X/84gdQSwMEFAAAAAgAh07iQJ1bdjF2BAAAlQ4AAA4AAABkcnMvZTJvRG9jLnhtbO1XzW7jNhC+&#10;F+g7EDoWSGzJlr0WkizSpAkWCLpBs0W3R5qifgCJVEk6Tvbc9yjQ2z7Doo9T9DX6kRQd2c0iTloU&#10;PfQikeIMZ+abXx29vmsbcsuVrqU4juLDcUS4YDKvRXkcff/u4uBVRLShIqeNFPw4uuc6en3y5RdH&#10;6y7jiaxkk3NFcInQ2bo7jipjumw00qziLdWHsuMCh4VULTXYqnKUK7rG7W0zSsbj2WgtVd4pybjW&#10;+HruD6P+RrXPhbIoasbPJVu1XBh/q+INNTBJV3WnoxOnbVFwZt4WheaGNMcRLDXuCSFYL+1zdHJE&#10;s1LRrqpZrwLdR4Udm1paCwjdXHVODSUrVf/lqrZmSmpZmEMm25E3xCECK+LxDjaXSq46Z0uZrctu&#10;AzoctYP6i69l395eK1LniITpIiKCtnD5H59+JnYLcNZdmYHmUnU33bXqP5R+Z+29K1Rr37CE3DlY&#10;7zew8jtDGD7OJ3EKz0eE4SxO4nSyiD3wrIJ3HvgONp+/+QzrDMyWdRQkj6yCG33WHWJSPwCl/x5Q&#10;NxXtuMNfWxACUClM6YH65ePvv/1KUqe3FQ6qDU4604DssyAFYx9HKZ6MJ/NtU2nGVtpccukAp7dX&#10;2vjozbFysZf3ajEphK4Nfw9Fi7ZBQH81ImOyJvBEMpuFqN8l/3GbvCJxnCxms9T7qtwlfx8Pbu9v&#10;flrGkGlMnpSRvETGkKm34WlJk4GkySxepOM9EBsyzSeTaZI+LWg6ELSHiCF5PF7E6WwPGenzZGyT&#10;bzkFmVaGAKNViDl2J/qgw4pQ2zrGrv51Utt8HkYgkj5sEWE+ecFlI/YJZsTKkNllGfTZjxlBMGRO&#10;niUZfh0yh0TcTzI8NmSePksyXDFkdskXbPbvHniF3ma7WuO6mokIuppyXW3pE7ajxvrL4myXZO0q&#10;sct/UqEQ98ltz1t5y99JR2keynFw1sNpI4ZUoZpYhQNtoAjvzt03pAxyfSAEuvD29H3+OSh8WvUY&#10;BrLw9uSoW1ChT449KHeVZY3U3OtjkXLtZYOeBX1Qd7Vs6vyibhqLllbl8qxR5JbCEdOLV/HX5734&#10;LbJGWPCTdOqaIMXQVGBYQT9sOzReLcqI0KbENMaMclkkpJUAjeA6pc051ZWX4a7dWAhFbdPxbcau&#10;ljK/R5dS0s85umMXNfivqDbXVKEPACmMfuYtHkUjoRQc71YRqaT68Nh3S482itOIrDEoQeGfVlTx&#10;iDRvBBrsIp5Oca1xm2k6T7BRw5Pl8ESs2jMJsJDa0M4tLb1pwrJQsv0BE+KplYojKhhke2j6zZnx&#10;AxxmTMZPTx0Zpil47ErcdMxebpET8nRlZFHbLulw8uj0G4wJdrr5V+YFGLs1L8QvGhhc1NLs8Xkh&#10;iTEahRoXhjIbO3ZeIHaB6oCK4ZAJswNCO5BYwJZN3YXItut/diQnKuPtkufQ403eD3raKG4YEo5m&#10;BQL+O1vS4NuDeToPVXNDAmWHCv6fU6g4Ptv+WznlJnL8rbgq2v9Z2d+h4d7l4MPf5MmfUEsDBAoA&#10;AAAAAIdO4kAAAAAAAAAAAAAAAAAKAAAAZHJzL21lZGlhL1BLAwQUAAAACACHTuJAmxsUEW1kAABo&#10;ZAAAFAAAAGRycy9tZWRpYS9pbWFnZTEucG5nAWhkl5uJUE5HDQoaCgAAAA1JSERSAAAJYAAAAY8I&#10;BgAAANiw614AAAAJcEhZcwAALiMAAC4jAXilP3YAAAAZdEVYdFNvZnR3YXJlAEFkb2JlIEltYWdl&#10;UmVhZHlxyWU8AABj9UlEQVR42uzd7W4baXou6iqSoqgv2pHt7XHPeCPBQmaA9WMBC1j5GSQnsPMn&#10;QA5hHcA+q5xAjmNj/91BJhPPtNttSZYoWaItfmw+ZL3W22y627JVEj+uC3hRpaK76a5S22Lx5v2U&#10;4/H4/yoAAAAAlsP1ZPUm62yyBpN1NFlXZVleOjUAAAAAwDIqBbAAAACAFXE8WRHEuipmwazrsix7&#10;TgsAAAAA8JAEsAAAAIBVFyGsy+KmOSuCWcdOCwAAAABwHwSwAAAAgHWV2rJSc9alYBYAAAAAcNcE&#10;sAAAAIBNc13ctGVdVdteWZbXTg0AAAAAcFsCWAAAAAA3UltWBLOOYluW5aXTAgAAAAB8jgAWAAAA&#10;wK+LYFbenBXjDHtOCwAAAAAggAUAAADw9SKEFcGs1JwVwaxjpwUAAAAANocAFgAAAMDdS2MMU3NW&#10;tGb1yrK8dmoAAAAAYL0IYAEAAADcn3yM4WCyjibrqizLS6cGAAAAAFaTABYAAADAckhjDKM5K4JZ&#10;12VZ9pwWAAAAAFhuAlgAAAAAyy1CWJfFTXNWBLOOnRYAAAAAeBDNyWpVqzFZWwJYAAAAAKsptWWl&#10;5qxLwSwAAAAAuBPTYFUxC1vF2p6ssjr2MwJYAAAAAOvlurhpy7qqtr2yLK+dGgAAAAD4iTxYFSuC&#10;V+3b/ksEsAAAAAA2R2rLimDWUWzLsrx0WgAAAABYY6nJKm3z8YF3QgALAAAAgAhm5c1ZMc6w57QA&#10;AAAAsCLy9qr58YF1GU3WIJYAFgAAAACfEyGsCGal5qwIZh07LQAAAAA8gPn2qnx8YJ0+FrOw1XW1&#10;xpP1If8FAlgAAAAA3FYaY5ias6I1q1eW5bVTAwAAAMA3mG+vyput6hT3tYbZNu2PvuQfFsACAAAA&#10;4K7kYwyjfv1osq7Ksrx0agAAAADI5O1Vqdmq7pBVClZFe9Wn8YHVsW8igAUAAADAfUhjDKM5K4JZ&#10;12VZ9pwWAAAAgLWVt1fNjw+sy3x7VT4+sDYCWAAAAAA8pAhhXRY3zVkRzDp2WgAAAABWQt5eNT8+&#10;sC7z7VURrhoXs2arByGABQAAAMAySm1ZqTnrUjALAAAA4EGkYFVqr8rHB9Ypb6/KxwcuHQEsAAAA&#10;AFZJ3HBLbVlX1bZXluW1UwMAAADw1ebbq/LxgXXK26tSs1UaH7gyBLAAAAAAWBepLSuCWUexLcvy&#10;0mkBAAAA+CRvr0rjA1OzVV1Se1UEqwbFT8cHrgUBLAAAAADWXQSz8uasGGfYc1oAAACANZW3V82P&#10;D6zLfHtVPj5w7QlgAQAAALCpIoR1mW0jmHXstAAAAAArYL69aru4GR9YlxSySu1V+fjAjSaABQAA&#10;AAA/lcYYpuasaM3qlWV57dQAAAAA9yi1V6VgVT4+sE55e1U+PnDkkiwmgAUAAAAAXyYfY3iVtmVZ&#10;Xjo1AAAAwDfI26vy8YF1ytur5putuCUBLAAAAAD4dtGWlZqzjibruizLntMCAAAAVPL2qvnxgXWZ&#10;b6+KZishqxoIYAEAAABAfSKEdVncNGddCmYBAADA2srbq+bHB9Zlvr0qHx/IPRHAAgAAAID7l9qy&#10;UnNWBLOOnRYAAABYevPtVXmzVZ3yYFU+PpAl0HIKAAAAAODe7VbrSTowHsd90+kN1NSWdVVte2VZ&#10;+tQqAAAA3J/59qqtbFuneP0/zLb5+EAe2Hg8jmaz7erLnWKWu4rvix0NWAAAAACw/FIwKzVnHcW2&#10;LMtLpwYAAAC+Wt5elY8PrPs1fmqvmh8fyAMYj8cH1e58wCqNjjz4tX+HABYAAAAArLYYXZg3Z8U4&#10;w57TAgAAAFN5sGp+fGBd5tur8vGB3IPxeLxb/DxA1S5uAnb5499MAAsAAAAA1lNqzErbCGYdOy0A&#10;AACsoRSsinDN/PjAusy3V+XNVtRgPB7H9dytvkwjAMN+9n2w+xC/NwEsAAAAANgsaYxhas6K1qxe&#10;WZY+hQsAAMAym2+vyscH1ilvr0rNVkJWdygbATgfsPriEYAPTQALAAAAAAj5GMOrtC3L8tKpAQAA&#10;4J7Mt1fl4wPrfk2c2qvmxwfyFcbjcVyz7erLPGC1U+3f6QjAhyaABQAAAAD8mmjLSs1ZR5N1XZZl&#10;z2kBAADgK+XtVfn4wDrl7VXz4wP5AnMjAPOA1YOPAHxoAlgAAAAAwNeKENZlcdOcdSmYBQAAQCVv&#10;r0rNVml8YF1SsCq1V+XjA/mM8Xic2qjmA1YpFHfgLP0yASwAAAAA4K6ltqzUnBXBrGOnBQAAYO2k&#10;9qq08vGBdZlvr8rHB1KZGwG4U12ffARgPNZ2pu6GABYAAAAAcF/ipnhqy7qqtr2yLH0SGQAAYHnN&#10;t1fl4wPrlLdXpfGBqdlqY43H49RGNR+wmm+w4h4JYAEAAAAADy0Fs1Jz1lFsy7K8dGoAAADuTYR5&#10;UognHx9Y9+vB1F41Pz5wY2QjAEMesErnP3+cJSSABQAAAAAssxhdmDdnxTjDntMCAADwVfL2qnx8&#10;YKPG55xvr4pmqzQ+cG19ZgRg2M+uhRGAa0IACwAAAABYRakxK20jmHXstAAAAPykvSqND0zNVnVJ&#10;7VUpWJWPD1wr2QjAfNzfTvHzBis2iAAWAAAAALBO0hjD1JwVrVm9siyvnRoAAGCNzLdX5eMD65S3&#10;V+XjA1faZ0YAxtc71b4RgPwiASwAAAAAYBPkYwyv0rYsy0unBgAAWFLz7VX5+MA65e1V8+MDV8Z4&#10;PM4bqvJxgGkEYP44fBMBLAAAAABg00VbVmrOOpqs67Ise04LAABwT/JgVT4+sE55e9X8+MCl9pkR&#10;gO3snBkByL0TwAIAAAAAWCxCWJfFTXPWpWAWAADwlVKTVdrm4wPrMt9elTdbLZXxeJw3VO1U5yYf&#10;ARiPtX0bsawEsAAAAAAAbie1ZaXmrAhmHTstAACw8fL2qvnxgXWZb6+6zrYP6hdGAO5k58UIQNaC&#10;ABYAAAAAwN2INzhSW9ZVte2VZXnt1AAAwNqYb6/KxwfWKW+vyscH3rvxeLxb3ITK0ri/fARg/jhs&#10;BAEsAAAAAIB6pWBWas46im1ZlpdODQAALKX59qq82aru1w4pWDU/PrBWnxkBGParrRGA8AsEsAAA&#10;AAAAHk6MLsybs2KcYc9pAQCAe5G3V6Vmq7pDRilYFSGr+fGBd248HucNVfMjAMOBbwP4dgJYAAAA&#10;AADLJzVmpW0Es46dFgAAuLW8vWp+fGBd5tur8vGB3+wzIwDj651q3whAuGcCWAAAAAAAqyONMUzN&#10;WdGa1SvL8tqpAQBgg+XtVfPjA+sy316Vjw+8tfF4HL/X3erLRSMA88eBJSOABQAAAACw+vIxhldp&#10;W5blpVMDAMCaSMGq1F6Vjw+sU95elY8P/CLZCMA8QNUubkYdGgEIa0AACwAAAABgvUVbVmrOOpqs&#10;67Ise04LAABLaL69Kh8fWKe8vSo1W6XxgT8zHo/j97NdfbloBOD2PfyegSUigAUAAAAAsJkihHVZ&#10;3DRnXQpmAQBwT/L2qjQ+MDVb1SW1V0WwalD8dHzg/AjAPGC1U9wEwowABBYSwAIAAAAAIJfaslJz&#10;VgSzjp0WAABuKW+vmh8fWJf59qqP//qv/7r9L//yL9Fu9bkRgLvVYwBfTQALAAAAAIAvEW9ipbas&#10;q2rbK8vy2qkBANhY8+1V28VNW1Rt/uEf/qH4n//zfza73e7w7//+71uPHz9u/K//9b+iycoIQOBB&#10;CGABAAAAAPAtUjArNWcdxbYsy0unBgBgLaT2qhSsyscH3ql/+qd/2o/tb37zm60//OEP5fb29uhv&#10;//Zvtw4PD4tHjx6NXr58ud3pdMYuCbBsBLAAAAAAAKhLjC7Mm7NinGHPaQEAWEp5e1U+PvCb/OM/&#10;/uNOt9udNmL99//+3/diO/m6vbe313706NHgr/7qr7Z/85vfjNrt9ujJkyeDyWOjyfGhywGsEgEs&#10;AAAAAADuW2rMStsIZh07LQAAtUtNVmmbjw/8Yi9evGj+3d/93XTc39/8zd90dnZ2mtXxaYPV1tZW&#10;4+DgYPp4p9MZ7u7uRqhqMDk+nvyaj0JWwLoRwAIAAAAAYFmkMYapOStas3plWV47NQAAXyxvr5of&#10;H/iL0gjAg4ODxsuXL6cBqqdPn+5sbW1N/9nDw8O9Rf9cq9Uad7vdwc7OznBvb28UIat2uz1+/vz5&#10;wOUANoEAFgAAAAAAyy4fY3iVtmVZXjo1AMCGmm+vivGBZTELW/3E//gf/6P913/919NRgmkE4Pb2&#10;dvPw8HAasNrd3d3qdDpfNGpw8s9ct1qt0ePHj4eT/cHk3zN6+fKlsDyw8QSwAAAAAABYZdGWlZqz&#10;jgrBLABgfcy3V30aH5iPAPzNb36zdXh4OA1QLRoBeFuTf27aZBUhq/39/eHk6+GzZ88GnU5n7JIA&#10;LCaABQAAAADAOorGrMvipjnrsizLntMCACyhT+1V//zP/9zd399vDQaDnTQCsNvttvf29qYBq8+N&#10;ALytCFltbW2Nnz59et1ut0dPnjwZTJ5n9OjRo6HLAXB7AlgAAAAAAGyS1JaVmrMimHXstAAAdRmP&#10;x+1/+7d/2zs5OSn7/f6j6+vrdqytra3uZNu4zQjA25j8O4eTf3eEqqZhqxcvXnxst9vj58+fD1wV&#10;gLslgAUAAAAAADfBrLNs2yvL8tqpAQAWGY/HB9VuhKe2X7161bi4uNj/y1/+sjMajaLFqnt5edno&#10;9/vNun4PrVZr3O12pyMD9/b2RoeHh4Pt7e3Ry5cv/QwDcI8EsAAAAAAA4PPizcs0zjCCWUexLcvy&#10;0qkBgPUzHo93J5sUmMoDVtOGqtPT0/3z8/P28fFx6+PHj42jo6Ot6+vrcnKsVefv6/Dw8LrVao0e&#10;P3483N/fHx4cHAyFrACWhwAWAAAAAAB8nTTGMDVmxTjDntMCAMtlPB5HoGq3+nJnslJYar/abhdV&#10;wCr0+/3y7du3rfPz8+bFxUXz9PS0ORgMGicnJ1t1/j4PDg6mowKfPn16nUJWz549G3Q6nbGrCLDc&#10;BLAAAAAAAOBupcastI1g1rHTAgB3KxsBOB+wmm+wWujVq1dbHz58iGBV6/37942rq6tmr9eL0YFl&#10;Xb/nTqcz3N3dHUXIqt1uj548eTLodrujR48eDV1RgNUlgAUAAAAAAPcjtWWl5qxpSKssS+ODAKAy&#10;Ho+jiWq7+jIPWO1U+/mIwF/15s2bGBVYvn79uh2jAs/Ozlp1h6xarda42+0OHj16NG20evHixcd2&#10;uz1+/vz5wBUGWE8CWAAAAAAA8LAigBVtWTHGMI0zvCrL8tKpAWAdzI0AzANWaQRg/vitnZ2dRXNV&#10;4/j4OJqsmhGyury8bPT7/WZd/00pZLWzszPc29sbHR4eDra3t0cvX74UrAbYQAJYAAAAAACwvFJb&#10;VgSzjgrBLACWyGdGALarFQ7u6rn6/X759u3bVoSsPn782Dg6OtqKRqvz8/NWnf+Nh4eH161Wa/T4&#10;8ePh/v7+8ODgYPjs2bNBp9MZ+w4AIBHAAgAAAACA1RONWZfFTXPWZVmWPacFgG81NwIwxv5FwCkf&#10;ARiPtet6/levXm2dn583Ly4umqenp83BYNA4OTnZqvO/+eDgYDoq8OnTp9ftdnv05MmTgZAVALch&#10;gAUAAAAAAOsjtWWl5qwIZh07LQCb7RdGAEaoqll84wjA24qQ1YcPHyJYFSMDG1dXVzFCsDUYDMq6&#10;nrPT6Qx3d3dHjx49moatXrx48bHb7cbXQ98hAHwrASwAAAAAAFh/KZh1lm17ZVleOzUAq2s8Hkdo&#10;qll9mcb95SMA88fv1Zs3b2JUYPn69et2jAo8OztrXV5eNvr9fm2/n1arNe52u4OdnZ3h3t7eKEJW&#10;7XZ7/Pz584HvFgDqJIAFAAAAAACbKwJYaZxhBLOOYluW5aVTA/AwPjMCMOxX21pHAN7G2dlZNFc1&#10;jo+PI2zVODo62qo7ZBUODw+vU8hqsj/Y3t4evXz5UqgYgAcjgAUAAAAAACySxhimxqwYZ9hzWgC+&#10;zng8Tg1V+bi/NAIwHCzj77vf75dv375tnZ+fNy8uLpqnp6fNGBk4+bpV5/NGyKrVao0eP3483N/f&#10;Hx4cHAyfPXs26HQ6Y99NACwbASwAAAAAAOA2UmNW2kYw69hpATbRZ0YAxtc71f6DjQC8rVevXm19&#10;+PChcXJy0oqQ1WAwiP2tOp/z4OBgsLW1NX769Ol1u90ePXnyZNDtdkePHj0a+u4CYJUIYAEAAAAA&#10;AHchtWWl5qxpSKssSyOhgJUyHo/nG6rmRwDmj6+UN2/eTJusImT1/v37RjRZ9Xq91mAwKOt6zk6n&#10;M9zd3Y1Q1TRs9eLFi4/tdnv8/Pnzge82ANaFABYAAAAAAFCnCGBFW1aMMUzjDK/Ksrx0aoD79JkR&#10;gO1qhYN1+O+MkNXHjx/L169ft6+vr8uzs7PW5eVlo9/v19bE1Wq1xt1ud7CzszPc29sbHR4eDmJk&#10;oJAVAJtCAAsAAAAAAHgoqS0rgllHhWAWcEvj8TjCU9vVl4tGAMZj7XX77z47O4vmqsbx8XGErRpH&#10;R0dbEbY6Pz9v1fm8h4eH161Wa/T48eNhhKy2t7dHL1++1HQIwMYTwAIAAAAAAJZNNGZdFjfNWZdl&#10;WfacFtgMcyMA84BVhKqaxQqPALyNfr9fvn37djoy8OLionl6etocDAaNk5OTrTqf9+DgYDoq8OnT&#10;p9f7+/vDaLJ69uzZoNPpjH13AsBiAlgAAAAAAMCqSG1ZqTkrglnHTgushvF4HKGp+QBVPgIwPb5R&#10;Xr16tfXhw4cIVrXev3/fuLq6atYdsup0OsPd3d1RhKza7fboyZMng263O3r06NHQdyoA3J4AFgAA&#10;AAAAsOpSMOss2/bKsjQWC2o2NwIwGqrSCLz9aruWIwBv682bNzEqsHz9+nU7hax6vV5rMBiUdT1n&#10;Clk9evRo2mj14sWLj+12e/z8+fOB71wAuFsCWAAAAAAAwLqKAFYaZxjBrKPYlmV56dTALxuPxwfV&#10;7qIRgOHAWfqps7OzCFU1jo+Po8mqOfm6dXl52ej3+7W1erVarXG32x3s7OwM9/b2RoeHh4Pt7e3R&#10;y5cvBVAB4B4JYAEAAAAAAJsojTFMjVkxzrDntLDOshGAIQ9YbfQIwNvo9/vl27dvWxGy+vjxY+Po&#10;6Gjr+vq6PD8/b9X5vIeHh9etVmv0+PHj4f7+/vDg4GD47NmzQafTGbsqAPDwBLAAAAAAAABupMas&#10;tI1g1rHTwrIaj8cRmNqtvlw0AjB/nC+QQlbn5+fNi4uL5unpaXMwGDROTk626nzeg4OD6ajAp0+f&#10;Xrfb7dGTJ08GQlYAsBoEsAAAAAAAAH5dastKzVnTkFZZlsZ8UYtsBOB8wMoIwDvy6tWrrQ8fPkSw&#10;KkYGNq6urmKEYGswGJR1PWen0xnu7u6OHj16NNjb2xtGyKrb7cbXQ1cEAFaXABYAAAAAAMDXiwBW&#10;tGXFGMM0zvCqLMtLp4Z54/E4Rv1tV1/mAaudaj8eaztTd+fNmzcxKrB8/fp1O0YFnp2dteoOWbVa&#10;rXG32x1EyCoarV68ePGx3W6Pnz9/PnBFAGA9CWABAAAAAADUI7VlRTDrqBDMWktzIwDzgJURgPfk&#10;7Owsmqsax8fHEbZqHB0dbV1eXjb6/X6zzuc9PDy83tnZGe7t7Y0m+4Pt7e3Ry5cvteIBwAYSwAIA&#10;AAAAALhf0Zh1Wdw0Z12WZdlzWpbLeDyO0FSz+GmAql3cNFSlx7kH/X6/fPv2bev8/Lx5cXHRjJBV&#10;NFpNvm7V+bwRsmq1WqPHjx8P9/f3hwcHB8Nnz54NOp3O2FUBABIBLAAAAAAAgOWQ2rJSc1YEs46d&#10;lrszNwIwxv5FeMcIwCXy6tWrrRSyOj09bQ4Gg8bJyclWnc95cHAwHRX49OnT63a7PXry5Mmg2+2O&#10;Hj16NHRFAIAvIYAFAAAAAACw3FIw6yzb9sqyNOqsMh6PD6rd+YBVaqg6cJaWx5s3b6ZNVicnJ633&#10;7983rq6uYoRgazAYlHU9Z6fTGe7u7kaoahq2evHixUchKwDgrghgAQAAAAAArKYIYKUxhoPJOpqs&#10;q7IsL9fhPy4bARjygJURgCsgQlYfP34sX79+3Y5RgWdnZ63Ly8tGv9+v7Zq1Wq1xt9sd7OzsDPf2&#10;9kaHh4eDGBn4/PnzgSsCANRJAAsAAAAAAGD9pDGGqTErxhn2Hvo3NR6PI3yzW32ZRgCG/WqbP86S&#10;Ozs7i+aqxvHxcYStGkdHR1sRtjo/P2/V+byHh4fXrVZr9Pjx42GErLa3t0cvX77UCAcAPBgBLAAA&#10;AAAAgM0RIazL4qY567osy+Nv/ZdmIwDnA1ZGAK64fr9fvn37djoy8OLionl6etqMkYF1h6wODg6m&#10;TVYRstrf3x9Gk9WzZ88GnU5n7KoAAMtGAAsAAAAAAIDUlpWas2L1J6tRPZ4HrHaqfSMA18irV6+2&#10;Pnz40Dg5OWm9f/++ESGryf5Wnc8ZIautra3x06dPr9vt9ujJkyeDbrc7evTo0dAVAQBWScspAAAA&#10;AAAA2Bjbk/W02o9QVbfa/y57/MlknVcrQlj/NVk/FrNw1vvJupisgVO5et68eROjAsvXr1+3U8iq&#10;1+u1BoNBWddzdjqd4e7uboSqpmGrFy9efGy32+Pnz5/7HgIA1oYGLAAAAAAAgNUXoaoIT7Un61l1&#10;7KC4aa767Tf++6PpKkI6J8UslBUNWX+uvv6hmI0z7FeLB3R2dhahqkaErK6vr8vJ163Ly8tGv9+v&#10;ra2s1WqNu93udGTg3t7e6PDwcLC9vT16+fLltSsCAGwCASwAAAAAAIDllDdU5QGr1GDVLW4CVg+l&#10;Ua1oy4oRhr3JOpqsd5P1x2LWlvWh2nJHUsjq+Pg4Gq0aR0dHWxG2Oj8/r3X6zeHh4XWr1Ro9fvx4&#10;uL+/Pzw4OBgKWQEACGABAAAAAADct9RGNR+winBVPiJwlUVbVjQuRSNWBLNifGG0ZEVj1n8Ws8BW&#10;BLNOfTss1u/3y7dv37bOz8+bFxcXzdPT0+ZgMGicnJxs1fm8BwcH01GBT58+vU4hq2fPng06nc7Y&#10;VQEA+MwPvwJYAAAAAAAA3yw1VIU8YHWw4PFNFy1Ng2LWlhVBrGjH+n6yfixmQa331bHBJpyMV69e&#10;bX348CGCVa337983rq6uot2qNRgMyrqes9PpDHd3d0ePHj0a7O3tDZ88eTLodrvx9dC3JwDA7Qlg&#10;AQAAAAAALLZoBGD4rtouwwjAdRKNWRE6ipasaM6KgNYPxSyYFWMNz6rj/VX7D3vz5k2MCixfv37d&#10;jlGBZ2dnrbpDVq1Wa9ztdgcRsopGqxcvXnxst9vj58+fD3yrAQDcLQEsAAAAAABg06SGqhj596za&#10;TyMA88dZDo1qRVtWjDOMYNabYhbUelXM2rI+VNsHc3Z2Fs1VjePj42iyakbI6vLystHv95t1PWcK&#10;We3s7Az39vZGh4eHg+3t7dHLly+vfdsAANwfASwAAAAAAGAdLBoB2K6Ozz/Oeoj2qAg3RSNWBLNi&#10;fGG0ZEVj1p8n691kxUi907t6wn6/X759+7Z1fn7evLi4aB4dHW1Fo9Xk61ad/6GHh4fXrVZr9Pjx&#10;4+H+/v7w4OBg+OzZs0Gn0xn7NgAAWIIfTMfj8f9d7Y8mK6Xhh9UqqmPph7cTpwwAAAAAALgnEZhK&#10;Aap8HOB3Cx6HXASiYtRetGVFc1a0Y31frQhqpcasheP4Xr16tZVCVqenp83BYNA4OTnZqvM3fHBw&#10;MB0V+PTp0+t2uz168uTJoNvtjh49ejR0OQEAllsEsP73LX79TjH7JEGEskbVsY/Z43lwq/e5H1oB&#10;AAAAAICNtmgE4EG18sfhrsX7XNGcdXJ5eflxMBj0Li4u3k7W8bt3745PTk4+nJ2dXU2O1xJ66nQ6&#10;w93d3QhVTcNWL168+ChkBQCw+m4bwLqNFNYKl9V+BLIWBbeuqgUAAAAAAKymvKEqjfvLRwB2i5uA&#10;FdyLDx8+lKPRqLy6umpMtsXHjx/LGBk4GAzKuV/aKCeGw+H78Xjcn2zPJ7/27WSdnZ+ff//+/fve&#10;5N/1od/vf/i152y1WuNutzvY2dkZ7u3tjSJk1W63x8+fP1dcAACwpuoMYN1Gu1oh5nSnH3ojlDUf&#10;3BLWAgAAAACA+/G5EYBxrF0YAcgSSIGqFLbq9/ufC1l9jchlRXjrQwSzJv/Od5MV4ayjRqPx58mx&#10;k62trcudnZ2z7e3t0cuXL69dEQCAzbMsAazbiEDWTrUfwaxUyRqfOJgPbsUPuecuMwAAAAAA/ETe&#10;ULVoBGB6HJZCtFd9+PChEaGqCFelJqvY1vm80VwVowLTNtqtImjVaDTi4VYxe6+qV8zejzqdrB8n&#10;6/vJOi5m712dunoAAOtvFQNYt7VfbWPk4TjbT6Jxq1Htn/iWAAAAAABgRS0aARi+q7ZGALL00qjA&#10;CFtFuCr241idzxnhqmazOe50OuNGoxEBq2nQKgJXX/mvjJKACIbF+079antUzMJZP0zW+8m6KGbh&#10;LQAA1sAmBLBuY6e4ac5KIw/zsNZlMfs0Q+j5wRgAAAAAgHvw22q7aARg/jishBgVWI0MjEarIu1H&#10;2KouKVAVYator9rZ2RmlsNU9/qc3qhVtWTHNJYJZ0ZQVwazXk3VWzAJbfd8lAACrRQDr67WzF7cR&#10;zIrgVgSy0quDNAYxCGsBAAAAAJDLG6pSgKpdHZ9/HFZOjAeMYFVqtEojA+NYXc8ZwaoYDxhhq8n6&#10;tH/PIauvEeck3lOK4FW8v3Rc3ASzojHrXTEbZ3jhOwsAYEl/oBPAuhfxQ/NOtd+vfpAuipuQ1nxw&#10;68opAwAAAABYORGYWhSg+m7B47DyUqAqGq1Go1HZ7/fL4XBYRtiqzuet2qumowOj1SpCVnFsTU9z&#10;TGaJ95Hiw/7RnHU6Wd8Xs3DWm8kaVscAAHhAAljLab/avi9uRh7GJxvmg1vX1Q/bAAAAAADUJ2+o&#10;elbtH1QrfxzWTrRXVaMCpw1WEa6KY9FsVefzRriq2WyOO53Op5BVNFpF8IqpeJ8o3jeKMYb9antU&#10;zMJZ0ZqVGrNMaAEAuAcCWKtvp/ohO0JZ6VVHjERMwa1+dvzE6QIAAAAAmIrwVLfaXzQCsFvcBKxg&#10;7aVRgVXYqkjjA+t8zghVRbgqQlaNRmM6KjAdc0W+WqNa8QH+eO8o3htKYwxfFbMP/wtmAQDcMQGs&#10;zZLCWtfVSsGtZvV4Htzq+eEbAAAAAFgx+Yi/PGAVx9qFEYBsuDQqMIJVKWQVgasIXtUlBaqi0Sra&#10;q6rxgdOwlStyr6ItK94Pig/ux3tDx8VshGEKaB1Vj/WdKgCAr/hhSwCLz2hXK8QnIbaKWSBrUXBL&#10;WAsAAAAAqFOEpiI89bkRgOlx2HgxJrAKVk23MTIwHavrOSNYFeMBI2w1WUUaFRhhK1dkJcSH8+N9&#10;nni/J5qzIoz1Y7UipJXGGQIA8BkCWNyFCGLtVPsprJX228XPg1tXThkAAAAAbLz5hqoUsDICEH5F&#10;GhWYGq36/X45HA6nYas6n7dqryqizSparSJwlcJWrKV4Xye+p6IlK5qx3hazUFZsozUrglmnThMA&#10;gAAWD2O/2sac8TTy8Kz4aYgrbrREaOvc6QIAAACAlfLbartoBGD+OPALUsgqmquiwSrCVXEsxgfW&#10;+bwRrmo2m+NOpzNOowKFrJjTqFa8hxMfuo9QVrRmvZusV8Xs/Z94r8f0FABgYwhgsewilJWas9Kr&#10;u8ticXDrxOkCAAAAgFrkI/7ygJURgPCNIlCVha2Kanzg9FhdorkqGqwibFW1WI3TMVeEbxBtWfGe&#10;TrRlxfs6Mb7wuLgJaB1Vj/WdKgBg7X4QEsBijbSLm+asfORhs3o8PomRbgIJawEAAACw6eJeWRr3&#10;lweovlvwOPAN0qjAFLaKNqtotYqwVV3PGY1V0VwVwarJSuMDp2ErV4QHEB+sj0asXjF7vyZGGEYw&#10;K96viaBWjDO8cJoAgFUlgMWmilBWPvJwq/rBf1Fwq1eoyQUAAABgdaSGqviw4rNq3whAqFkKVKWw&#10;Vb/frz1kFSJYlUJWaVRgHHNFWBHxXkz8PxJBrGjGejtZ3xezcYZ/nqzhZJ06TQDAshPAgi+zX21j&#10;5GGnmAWy4oVAu/h5cOvK6QIAAADgjsWov261nwesUkNVt7gZBwjUJBsVOA1XRchqOByW0WhV5/NW&#10;7VVFjAyMMYHV2MDpMVhTjWpFW1a875LGGEZA61Vx05jlA/QAwFIQwIIaXgsXszBWNGel2vaz6nge&#10;3LquXjgAAAAAsJnyEX95wMoIQHhgMSowhawiXBXBqzhW53NGuKrZbI47nc44jQqMoFUErlwR+CTC&#10;jvEeTLzXEsGsGF94XMwCWjHWMNqyBLMAgPv/IUUACx5UCmvFi4RxtR+hrPnglrAWAAAAwOqI0FTc&#10;38lHAB4UNw1VRgDCEohRgdXIwAhbFWk/wlZ1SYGqCFulUYFCVnB3/4sVs+BVfEA+3lOJQFYEs2K8&#10;YYw17FcLAODOCWDB6mgXN81ZUa27VdyMO5wPbp04XQAAAAB3Km+oygNWRgDCEouQ1Wg0KqO9KoJV&#10;0WYVrVYRtqrrOSNYFeMBI1g1WZ/2o9HKFYEHEe+hxP/z8d5JBLBijGEEst5N1p+Lm3GGAABfTQAL&#10;1vfFRGrOSmGtfPxhHtzqFap4AQAAgM2V2qjmA1ZxD8UIQFgBKVCVwlb9fr8cDofT0YF1Pm+0V0XY&#10;KtqsImSVGq1cEVgZjWrFB9zjfZMIZcUIwwhovSpm76+cOk0AwJcQwALCfrWNkYedYhbIel/MQlzx&#10;omNY3AS3rpwuAAAAYMmlhqqQB6wOFjwOrIBor6pGBU4brFKTVd0hqwhXpZGBsa2arKZhK2BtxZ8r&#10;8QH2+FB7vCfyl2L2/kmMM4yxhhHKisYsH24HAG5+gBDAAm5pp7hpzko3Ks+q4/PBLWEtAAAA4K7k&#10;bVR5gOq7amsEIKyBNCqwClsVEbiKY3U+Z4SqIlzV6XTGjUZjOiowHXNFgPk/MorZeyHxHkmMMDwq&#10;Zs1ZvWrbrxYAsGEEsIA6tYub5qy4WRHBrajyTTdIY956tG9dV8cBAACAzZMaquIewrNqP40AzB8H&#10;1kQaFRjBqhSyisBVBK/qkgJV0WSVRgWmsJUrAtyBeP8jmrPifY8IYL0uZoGseO/jT8UstHXhNAHA&#10;+hLAApbpxUk+8nCruGnQWhTcAgAAAJbXohGA7WJxgxWwhmI8YGqvimBVGhkYx+p6zghWxXjACFtN&#10;VpFGBUbYyhUBHkijWvEeR7znEaGsaM2K9qw/FrP3Q06dJgBYfQJYwKpKzVmXk9UpboJbqXErpFGJ&#10;5rADAADAt8tHAMaov261/92Cx4ENkAJVqdGq3++Xw+GwjLBVnc9btVcV0WYVrVYRuBKyAlZM/DkZ&#10;72FEW1a8p/GXyTorZgGtN8UssCWYBQCr9Je7ABawAXaqFzLRnLVXzAJZ74ufNm6l4NaV0wUAAMCG&#10;WTQC8KBa+ePABor2qhgPGEGrCFxFuCqORbNVnc8b4apmsznudDqfQlap0QpgzbWK2fsY8QHzaMqK&#10;xqwIZv1QzEJZF4UPngPA0hHAAvipFNbqVS9ymtULnEXBLWEtAAAAllXeUJXG/eUjALvFTcAKoEij&#10;AquwVVE1W02P1SVCVRGuirBVFbAap2OuCMDP/9istvFh82jOel3Mglkn1bZfLQDgAQhgAXy9drUi&#10;rBUfvdsqZrXAKbgVL3rSqMRzpwsAAIBv9LkRgE+r16dGAAK/KI0KTGGraLOqO2QVjVXRXBUhq9iv&#10;xgdOw1auCMCdiPcjYqRhvA8RHxx/Vcw+WP7jZP05/vgvZq1ZAECNBLAA7u8FUD7yMIW14kVRu/h5&#10;cAsAAIDNkRqqQhr3l48AzB8H+EUxJrBqr5puI2SVjtX1nClkFe1Vk1WkUYERtnJFAB5Mo1rRihXv&#10;TfypmE35iLasCGlFMOvUaQKAuyGABbCcUnPW5WR1qhdHH4tZiCsPbkX7llnvAAAAy2fRCMDwXbU1&#10;AhD4atmowGm4qt/vl8PhcBq2qvN5q/aqItqsYkxgNTZwegyAlRF/V8SHweO9hXiP4aiYNWb9V7Uf&#10;oayLwnsPAHC7v2AFsABW3k5x05y1V70oel/cNG6l4JawFgAAwLfLG6rmRwDmjwN8sxgVmEJWEa6K&#10;4FUcq/M5I1zVbDbHnU5nnEYFRtAqAleuCMDaa1XbeL8hQlhvi1kwK95fiOasfrUAgDkCWACbpV3c&#10;NGelkYfxyZYU3Irj0b51VS0AAIBNsGgEYLs6Pv84wJ2KQFXWaFVU4wOnx+qSAlURtkqjAoWsAPgF&#10;8V5CNGfFhI547yBGGEY4K4JaMdow3l+4cJoA2GQCWAD80guq1JwVn6zcKmZhrU5x07iVRiWeO10A&#10;AMCSicDUogDVdwseB6jVhw8for2qTGGraLOKVqsIW9X1nBGsivGAEayarDQ+cNpo5YoAcFd/3VQr&#10;WrEimBVhrLPJ+nGy/jhZw2I20hAA1p4AFgB3JTVnxcjDCGlFKCtuIsanxiOslY9KBAAA+Fp5Q9Wz&#10;av+gWvnjAPcqBapS2Krf75fD4XA6OrDO503tVRGyisBVarRyRQB4QPF3X7wfkCZvHBWzD3jHOMM3&#10;xez9A8EsANbrLz8BLAAeQISxRtWLrBh/mIJbO8XPg1sAAMD6i/BUt9pfNAKwW9wErAAeTDYqcNpg&#10;lZqs6g5ZxajANDIwthG4SmErAFgxrWob9/9jbGGMMvyv6usfq2MDpwmAVSOABcCyy5uzolkravIX&#10;Bbd6XpQBAMBSyUf85QGrONYujAAEllgaFRhhqwhXxX4cq/M5I1zVbDbHnU5nnEYFRtAqAleuCAAb&#10;IN4HiEBz3P+Pe/+vilk4K94biNGG/WoBwFISwAJgnbSLm+as2G4Vs1rjFNyKkFYalXjldAEAwFeJ&#10;0NR28fkRgOlxgKUWowKrkYHRaFWk/Qhb1SUFqiJslUYFprCVKwIACzWqFeGruK//H8WsJSvasv4Y&#10;f6VXXwPAgxLAAmBTxadpUnNWvHhLYa2t6ute8dNRiQAAsM7mG6pSgOq7amsEILCSYjxgBKtSo1Ua&#10;GRjH6nrOCFbFeMAIW03Wp30hKwC4U/F3edznj8kYcT//h2J2Lz/GGb6p9k+dJgDu7S8mASwA+CKp&#10;OStGHnaqF28RzoqQVmrcSvXIAACwLH5bbReNAMwfB1hZKVAVjVaj0ajs9/vlcDgsI2xV5/NW7VXT&#10;0YHRahUhqzjmigDAg2tV27h3HyGs+PB1NGdFUCuas6Ixa+A0AXCXBLAA4O7lzVl7xU1wa6f4eXAL&#10;AABuK2+oygNWRgACayvaq6pRgdMGqwhXxbFotqrzeSNc1Ww2x51O51PIKhqtIngFAKycaMxKH6SO&#10;9bpaEcz6UzEbc9h3mgD4GgJYAPCw8uasaNYaFz8NbsXar14A+kQOAMD6isDU02p/0QjA/HGAtZVG&#10;BVZhqyKND6zzOSNUFeGqCFk1Go3pqMB0zBUBgI3QqFaEr+KefLRlRXNWfIj634vZvfkLpwmAXyKA&#10;BQCrIz6ds2jkYQpuRUgrjUq8croAAJZCaqiKn9+eVftGAAIbLY0KTGGraLOKwFXs1yUFqqLRKtqr&#10;qvGB07CVKwIAfEbcg4/78hHAivvvPxSzcYbfT9Zfitl9+FOnCYDpXxoCWACwtlJzVtxM7lQvDLeK&#10;2Sd54ng+KhEAgC8Xo/661X4esEoNVd3iZhwgwEaKMYHRXhVhq9hGyCodq+s5I1gV4wEjbDVZRRoV&#10;GGErVwQAuGOtahsfmI4QVtx//4/q63QMgA0igAUAhAhjfSxmn9iJ8YcRyhoVixu3AADWUT7iLw9Y&#10;GQEI8BlpVGBqtOr3++VwOJyGrWp9ATtrryqizSparSJwlcJWAAAPLBqz0r30WK+rFffZozUrRhkO&#10;nCaA9SOABQDcVh7W6lT7/WJxcAsA4KFFaCrCU/kIwIPipqEqPQ7AAilkFc1V0WAV4ao4FuMD63ze&#10;CFc1m81xp9MZp1GBQlYAwAprVCvuoUcAK9qyoiUr7qP/ezG7x953mgBWlwAWAFCnvDmrXb2wjBeR&#10;KbgVIa40KtGnfgCAL5U3VOUBKyMAAb5SBKqysFVRjQ+cHqtLNFdFg1WEraoWq3E65ooAABsi7p9H&#10;a1bcN7+crD8Xs/vp3xezxqzYv3CaAFbgD3QBLABgScSLzEUjD7cma1jMwlp5+xYAsH5+W23nA1bx&#10;s4ERgADfKI0KTGGraLOKVqsIW9X1nNFYFc1VEayarDQ+cBq2ckUAAH5Rq5h9cDk+wHxUzO6XR3PW&#10;SbVOnSKA5SGABQCsqtScFTfto1HrXTGrcN6qjscbtSm4BQA8nHzEXx6wMgIQoAYpUJXCVv1+v/aQ&#10;VYhgVQpZpVGBccwVAQC4c/Fh5vjZLkJY0Y71tpg1Z50Vs9asOGbiBMA9E8ACADZB3py1V8w+KTQq&#10;bhq34gVrqzoOAPy6vI0qD1B9V22NAASoUTYqcBquipDVcDgso9Gq1hdWs/aqIkYGxpjAamzg9BgA&#10;AA+uUa24zx0jDf+rmDVnxQeW/7061neaAOohgAUA8FN5c1Y0a10Ws08LpeDWdTFr3zpxqgBYQ7/N&#10;/j58Vu2nEYD54wDcgzQqMMJWEa6K/ThW6wuidnvcbDbHnU5nnEYFRtAqAleuCADASoqQfnwIOcJX&#10;cb872rJiosSPk/WnYnYv/MJpAvjGP2wFsAAAvlrenBVvTA+qF7EpuJXCWr1C5TMADyeaqLrVfh6w&#10;WtRgBcA9i1GB1cjAaLQq0n6EreqSAlURtkqjAoWsAAA2UtzfjnvXcQ872rJOi1ko68fq2KlTBPBl&#10;BLAAAO5Pas7Kg1tbxU3jVoxEfF8IawHw6/IRgHnA6rsFjwPwwCJkNRqNytRoFW1WMTowwlZ1PWcE&#10;q2I8YASrJuvTfjRauSIAAPyKuIcdP6vG/exox3pbzJqzjifrTSGYBfAzAlgAAMspD2PF+MOohI5R&#10;IxHYik8e5aMSAVgfi0YAHlQrfxyAJZMCVSls1e/3y+FwWEbYqtYXDjs7owhbRZtVhKxSo5UrAgBA&#10;DRrVig8XxzSI/ypmzVkR1PrPYhbW8gFjYCMJYAEArL48rJXGH6bg1nzjFgD3L2+oSuP+8hGA3eIm&#10;YAXAEov2qmpU4LTBKjVZ1R2yinBVGhkY26rJahq2AgCAJRA/D8d96Ahlxf3paMuKDxXHKMMYaZgC&#10;WwDr+wehABYAwEbJm7Pa1YveFNw6q35NGpUIwOd9bgTg0+rPVyMAAVZYGhVYha2KCFzFsTqfM0JV&#10;Ea7qdDrjRqMxHRWYjrkiAACssPhwcNyDjskOPxSzlqwIZUU4K404BFh5AlgAAHxO3pzVrl4kR2Ar&#10;xiB+mKzrYta+deZUAWskNVSFNO4vHwGYPw7ACkujAiNYlUJWEbiK4FVdUqAqmqzSqMAUtnJFAADY&#10;MHH/OZqzIoR1Vm2jOet4st5M1qlTBKwSASwAAO5Kas7Kg1upJWC+cQvgPi0aARi+q7ZGAAKsqRgP&#10;mNqrIliVRgbGsbqeM4JVMR4wwlaTVaRRgRG2ckUAAODXf6SuVtxfjnas74tZc1Y0aP1ndcw9ZmDp&#10;CGABAPAQ8uasvcl6V72o3qpeSDerx66cKuAXpIaqCHg+q/bTCMD8cQDWWBoVmBqt+v1+ORwOywhb&#10;1foD7ay9qog2q2i1isCVkBUAANQmfr6P+8bxId80zvBtMftQcIw0PK8eA3iYP6QEsAAAWHJ5c1an&#10;enEd9qoX12G7eoENrL5FIwDb1fH5xwHYEClkFc1V0WAV4ao4Fs1Wtf4g2m6Pm83muNPpjNOowNRo&#10;BQAALI2YyBD3j1MwK8YX/qWYtWfFsQunCKibABYAAOskb86aD26lxq00KhG4PxGYWhSg+m7B4wBs&#10;sDQqsApbFRG4iv04VpdorooGqwhbxX6ErNIxVwQAAFZa3C+O5qy4Hxz3h38sZgGtN9USzALujAAW&#10;AACbLDVnxQvxeIMtAlsxBvHDZF0XPx2VCPzcohGAB9XKHweAT9KowBS2ijarukNW0VgVzVURsor9&#10;anzgNGzligAAwMZpVCvuDUcIK5qyIpj1brJeFbMGLYBbEcACAIAvEzXWl9V+Cm6l2TPzjVuwyiI8&#10;1a32F40A7BY3ASsAWCjGBFbtVdNthKzSsbqeM4Wsor1qsoo0KjDCVq4IAADwBeL1SnxYN+7zpnGG&#10;b4tZc1aMNIyAlvu/wOI/QASwAADgzuXNWfPBrV7x01GJcB/yEX95wCqOtQsjAAH4CtmowGm4qt/v&#10;l8PhcBq2qvUHrVl7VRFtVjEmsBobOD0GAABQk7jPG+GrGGcYwaxozopQ1vfVsb5TBJtNAAsAAB5W&#10;3pzVrl64pxf076v91LgF855W3x+fGwGYHgeArxajAlPIKsJVEbyKY7X+gNRuj5vN5rjT6YzTqMAI&#10;WkXgyhUBAACWSHzYNj6EkoJZ59X2TbUunCLYDAJYAACwWi/mw/zIw63ip8GtS6dqpc03VKUA1XfV&#10;1ghAAO5cBKqyRquiGh84PVaXFKiKsFUaFShkBQAArIlGtSKQdVTMxhjGNsYYvpqsU6cI1osAFgAA&#10;rK/UnBXBrXgjs1+96I/Q1nXx08Yt6vfbartoBGD+OADU4sOHD9FeVaawVbRZRatVhK3qes4IVsV4&#10;wAhWTVYaHzhttHJFAACADRSvv+J+bdyrjTBWjDCMYFY0aP2lOjZwmmAF/+cWwAIAAIqfNmc1ipuw&#10;Vriqbgpce/H/M3lDVQpQtavj848DQO1SoCqFrfr9fjkcDqejA+t83ipYNR0dGIGr1GjligAAAHyx&#10;uEcb91/TOMNoyYpQ1o/Vsb5TBMtLAAsAALitvDlrPrh1Ve03s/1VE4GpRQGq7xY8DgD3LhsVOG2w&#10;Sk1WdYesIlyVRgbGNlqtUtgKAACA2sS91ni9l4JZ0ZIVrVkRzjouTDmApSCABQAA1H1zIDVnzQe3&#10;3me/5j7CWnlD1bNq3whAAJZWGhUYYasIV8V+HKvzOSNc1Ww2x51OZ5xGBUbQKgJXrggAAMBSaVTr&#10;vJgFsn6stm8n61UhmAX3SgALAABYJimMlQe3torFjVvhYLK61f6iEYDd6tcAwFKKUYHVyMBotCrS&#10;foSt6pICVRG2SqMCU9jKFQEAAFh50ZYV91djZGG0ZX1f3ASzfqi2wF3/jyeABQAALJndyfpdtf+k&#10;uAlT/b7a7kzWy2r/pNpGUOu82r8qbhq18n0AeBAxHjCCVanRKo0MjGN1PWcEq2I8YIStJuvTvpAV&#10;AADARosPuMa91DTO8LSYjTL8sVoDpwi+jgAWAABwXyI0FeGp3eImQPWkWuF31WN1iYDWdbX/rtpe&#10;FzfBrXwfAG4lBaqi0Wo0GpX9fr8cDodlhK3qfN6qvWo6OjBarSJkFcdcEQAAAG4hGrPi9WsaY/iu&#10;2kY4600xa9MCfoEAFgAA8C3yAFWEqiJAlTdU5Y+vkrw5K0JZ6ZNfJ9mvOXH5ATZLtFdVowKnDVYR&#10;ropj0WxV5/NGuKrZbI47nc6nkFU0WkXwCgAAAGrUqFbcI43GrLgnmsYZvpqsC6cIZgSwAACARdK4&#10;v3wEYN5Q9Xun6JMIZ/Wq/QhtpU+D9YrFwS0AllwaFViFrYo0PrDO54xQVYSrImTVaDSmowLTMVcE&#10;AACAJRNtWdGaFfdCI4z1fTEbZxj7P1Rb2Kz/KQSwAABgY6QRgOEP1fY+RwAyk8JYEc5KIw/zxq08&#10;uAVATdKowBS2ijarCFzFfl2isSqaq6LRKvar8YHTsJUrAgAAwJpoFbP7m2mcYaw31dc/Fu59sqYE&#10;sAAAYLVFYOp31X4aARjyBqsnTtPKioDWdbX/rtpeF4uDWwDMiTGB0V4VYavYRsgqHavrOVPIKtqr&#10;JqtIowIjbOWKAAAAsMGiMStej6dg1tviJpwVq+8UscoEsAAAYDmlAFUEql5W+0YA8kvyMFYEtObH&#10;H+bBLYC1kUYFpkarfr9fDofDadiqzuet2quKaLOKMYERuEphKwAAAOCLNaoV9y5jfGEEtGKc4etq&#10;XThFrAIBLAAAuD95G1UaARgjARcFrKBOEc7qVfsR2kqfLsvHH544TcCySCGraK6KBqsIV8WxGB9Y&#10;5/NGuKrZbI47nc44jQoUsgIAAIB7ER+sitasuHcZbVnfFzfBrAhqvXOKWKpvWAEsAAD4JvkIwAhX&#10;Pa32U0NVHrCCVZXCWBHOWjT+MA9uAXy1CFRlYauiGh84PVaXaK6KBqsIW1UtVuN0zBUBAACApdQq&#10;Zvcj0zjDWBHQOq62cO8EsAAAYLEITUV4Kh8BmDdYGQEIi+XNWelTaPn4wzy4BWygNCowha2izSpa&#10;rSJsVddzRmNVNFdFsGqy0vjAadjKFQEAAIC1EY1ZcX8hD2b9pZjdp4ytD5FSGwEsAAA2SR6gilBV&#10;hKvyhqr8caB+Ecq6zvbnxx/mwS1ghaRAVQpb9fv92kNWIYJVKWSVRgXGMVcEAAAANlqjWhHEilBW&#10;BLTSOMNXxWzMIXwTASwAAFbd50YA/q74ecAKWF15c1Zs002RfPzhidME9ycbFTgNV0XIajgcltFo&#10;VefzVu1VRYwMjDGB1djA6TEAAACAW4h7GNGaFfcaI4yVB7N+KG4a/uHXv5kEsAAAWFJpBGD4Q7XN&#10;G6pSwApgXgSyetn+ovGHeXAL+AUxKjCFrCJcFcGrOFbnc0a4qtlsjjudzjiNCoygVQSuXBEAAADg&#10;HrSK2f3D74tZa9bbah1Xx+AnBLAAALhPi0YAht8veBzgvuTNWelTbfn4wzy4BWspRgVWIwMjbFWk&#10;/Qhb1SUFqiJslUYFClkBAAAASy4as6I5K0JY0ZYVTVlvitl9xb8UPvS5sQSwAAC4CylAFYGqNO4v&#10;b6j6vVMErIkIZV1n+/PjD/PgFiyVCFmNRqMy2qsiWBVtVtFqFWGrup4zglUxHjCCVZP1aT8arVwR&#10;AAAAYI00qhVBrGjMSs1Z8fWrYjbmkDUmgAUAwOcsGgG4UywOWAHwc3lzVmzTTZZ8/OGJ08RdSoGq&#10;FLbq9/vlcDicjg6s83mjvSrCVtFmFSGr1GjligAAAAAbLu7JRGtW3Bt8Xdw0Z8V+CmixDhdaAAsA&#10;YKNEYOp31X6M+nta7aeGqjxgBcD9iUBWr9rPw1p5iCsPbrHBor2qGhU4bbBKTVZ1h6wiXJVGBsa2&#10;arKahq0AAAAAuLVWMbvfl9qy3hazYNbxZP3o9KwWASwAgPWwaATgk2rljwOwHlJzVtygSSMP8/GH&#10;eXCLFZVGBVZhqyICV3GszueMUFWEqzqdzrjRaExHBaZjrggAAADAvYjGrPigXWrL+qHajw9o/snp&#10;WU4CWAAAyysPUC0aAZg/DgCfE6Gs62o/rzRPIa48uMU9S6MCI1iVQlYRuIrgVV1SoCqarNKowBS2&#10;ckUAAAAAllajWnGPLxqzUnNWfP3HQnv+gxLAAgC4X58bAfi76jEjAAF4SHlzVoSy0k2bfPzhidN0&#10;OzEeMLVXRbAqjQyMY3U9ZwSrYjxghK0mq0ijAiNs5YoAAAAArJW4xxStWRfFbIxhas6KcYbRnuXD&#10;l/dxEQSwAADuRISmIjz1uRGAKWAFAOsiAlm9aj9CW/1sP4W48uDWWkujAlOjVb/fL4fDYRlhqzqf&#10;t2qvKqLNKlqtInAlZAUAAABApVXM7s/9VzELZUVAK4JZx5P1o9NzdwSwAAA+Lw9QRagqBah+v+Bx&#10;AOCXpeasuOGTPnWXh7Xy/aWUQlbRXBUNVhGuimPRbFXn80a4qtlsjjudzqeQVWq0AgAAAICvEI1Z&#10;8cHBFMxKIw3jA5V/cnpuTwALANhEeYBqfgRg/jgA8DAioHVd7b+rttfFTXAr379z7969OxwOh633&#10;7993P3782Lm8vNzpdrv/b4St6hKhqghXRdiqCliN0zHfDgAAAADck0a1oikrglkpoBX36P5YbEjb&#10;/dcQwAIA1kUaARj+UG13iptxgEYAAsB6ypuzIpSVbgKdZL/mZP4fOj8/PxgMBlu9Xm8atrq6ujro&#10;9/vd0WjUmv+14/G42N7e/n/29/dPv+U3Go1V0VwVIavYr8YHTsNWLiMAAAAASyzasqI166KYhbPy&#10;kYY/FDV+WHJVtHyPAABLLAJTv6v2F40AzANWAMBm2iluQtiH2fH/9uHDh+Ljx4/F5eVljA6M7aDf&#10;719P7NzmCcqyLCKk9SW/NoWsor1qsoo0KjDCVi4VAAAAACsqPkAYH3zsFLP35vL351rVYxHKilGG&#10;0Zb1arLOJuvHTTlBAlgAwENIAardYnFDlRGAAMAXGQ6HnwJWEbbq9Xqfji3QKr7yXkij0fjd1tbW&#10;/ng87sfqdDoRzLqaHLuMMYHV2MBp2AoAAAAANkhqpP8/q5VEY1Y0Z6W2rKNqP9qy/rxuJ8EIQgDg&#10;rjypVlg0AjB/HADgVs7Pz4u80WowGEyP1Wl3d7doNptFt9sttra2ikePHk2/jrXotzhZ19X+u2p7&#10;XdzUr+ejEgEAAABgUzWqFeMLI5iVmrPiPtr/t6r/UQJYAMAvyUcARnjqabVvBCAAcOciUBXBqqur&#10;q2nYqhobOG20qsv29nbRbrenYasYGXhwcDD9Oo7XKA9jxY2l9CnBk2qbB7cAAAAAYBNEW1Z88vGi&#10;mIWzUnNW7Edj1lJ/uFEACwA2U4SmIjyVjwDMG6rycYAAAHcmBapS2Cq+jlarCFvVJRqrImAVoapY&#10;EbJKx1ZAhLN61X7cZOpX+73i58EtAAAAAFhHrWJ2X+z7YtaWFQ30rybruFiSe2MCWACwPvIAVYSq&#10;4h1FIwABgHuXjwqMsFWv15tu4+s6RbAqhax2dnY+NVptmHTDKcJZi8Yf5sEtAAAAAFhl0ZgVzVn/&#10;UcyasyKcFc1ZEcz68T5/IwJYALD80ri/fARg3lD1e6cIALhvKVCVh63SyMA6pSar2KZRgbEfjVbc&#10;WgS0rqv9d9U2H3+YB7cAAAAAYFWkYNbrYjbGMDVnRTDrT3U8oQAWADyMNAIw/KHaGgEIACydNCrw&#10;6upqGq6K/ThWpxSo6na7n0YFprAVDyYPY8U3wPz4wzy4BQAAAADLqFGtCGXFBxJTc9bbyfpj8Q3N&#10;8QJYAHB3IjD1u2o/jQAMqaEqHwcIALA0UntVhKxim5qsouWqLhGmilBVhKvSqMAUtmLl5WGt2Par&#10;/Xz84YnTBAAAAMCSiLasaM2K+1jRlvVDcdOcFfu/+sFDASwA+HUpQBXvBqYAlRGAAMBKSaMCU6NV&#10;BKzi6zhelxSoirBVrJ2dnU8jA6ESgaxetr9o/GEe3AIAAACA+9SqttGWdVbcNGfF/o/pFwlgAbCp&#10;8nF/aQRg3lBlBCAAsHJSyCq1V/V6vek2vq5TtFdFi1U+KjCOQQ3y5qx31TYff5gHtwAAAACgLtGY&#10;Fc1ZryfrVAALgHWSjwCMcNXTat8IQABgbaRAVR62ikaraLaq9Qet3d1po1W32/0UskrHYEnF/xTX&#10;2f78+MM8uAUAAAAAX00AC4BVEKGpCE/lIwDzBisjAAGAtZNGBV5dXU3DVrHqDllFqCrCVRGySuMD&#10;U9gK1lzenBXbfrWfjz88cZoAAAAAWKTlFADwQPIAVYSqIlyVN1TljwMArKU0KjCCVSlklY7VJYWs&#10;IlwVYwNjVGAKW8EG26nWl4hAVq/az8NaeYgrD24BAAAAsOYEsAC4a6mNKh8BGGMB5wNWAAAbIR8V&#10;mAJW8XXs1yUFqiJsFWtnZ+dT2Ar4ZnE/7fAWvz41Z0UgK9XY5eMP8+AWAAAAACtIAAuAL5FGAIY/&#10;VNu8oSoFrAAANlI0VkWwKrVX9Xq9T8fqFIGqCFblowJjPwJYwNLIw1r/x6/82ghlXVf777LjKcSV&#10;B7cAAAAAWBLleDz+304DwEZaNAIw/H7B4wAAGy8FqvJGq8FgMB0fWKcUqOp2u5+arYSsgOKnzVnx&#10;B1EaeZiPPzz5/9m7m93I0SMNoyqgNvSCi7ZRq16376wv3YA3EkAvKCAb0PjNYWRFV6csKUuflD/n&#10;AAQ/UsJgkBuXpKcjfEwAAAAA45mABXB9KqBKUFXr/vqEqt98RAAAz0tQlbBqXdd9bFVrAxNgjZLJ&#10;VZlgVWsD+0QrgGdMd98nFb+0EjFB1rKdE209tnNFXD3cAgAAAOANBFgAl+HYCsDp7nhgBQDACyqo&#10;qtgqz5lqldhqlJpelagqV9YH1juAwfI7wF/e8P01OStBVo3567FWPwMAAADcPAEWwOfJX9p+3c5Z&#10;9feP7VwTqnpgBQDAG/VVgYmtlmUZHllFwqqKrKZpuvv69ev+HcAF6bHWtxe+N4HWbjs/bPfd3fdw&#10;q58BAAAArpIAC+D9HVsB+Pft6l8HAOAnJaxKYFWxVSKrejdSgqqEVX1VYM6ZaAVwY3ph+tKUrT45&#10;K1FWrTy8b99z7yMFAAAALs2Xp6en330MAC/qAVWiqsRVfUJV/zoAAO8sqwL7RKusDcy7kSqomuf5&#10;sCqwYisAhkuctWznRFuP23m5+x5u9TMAAADApzEBC7hlz60A/PXur4EVAACD1SSrdV3391y1PnCU&#10;xFSJqhJX1apAkRXAWcjvLX95w/fX5KwEWVXo9olb/QwAAADwrgRYwDVKNDVt539u9z6hqgIrAAA+&#10;WAVVmV6VKVZ5zlSrxFaj1PSqRFW5pmk6rAwE4Gr0WOvbC9+bQGu3nR+2++7ueLgFAAAA8CIBFnAp&#10;jq0AjN+OfB0AgE/UVwUmtlqWZX/P80iZXpUpVgmrElnVRCsA+PF/Mtr5pSlbPcZKoFUrD2viVg+3&#10;AAAAgBv15enp6XcfA/CJekD14wrA/nUAAM5IBVU9tqqVgSPVJKvca1VgzplyBQCfLHHWsp0TbT1u&#10;5+Xur+EWAAAAcEVMwAJGOLYCcNrehxWAAAAXolYFruu6D6xy5d1IiaoSV83zfFgfWLEVAJyx/K71&#10;lzd8f8VYibOOrT/s4RYAAABw5r8UAHiNBFO/budjKwB7YAUAwAWpVYEJqyqyqnejVGSVuKpWBVZs&#10;BQA3osda31743gRau+38sN37+sMebgEAAAAfTIAFVECVv3RVQPX37epfBwDggtWqwJpolcAqz3k/&#10;SgVVia1yTdN0iK0AgDfp/+P50pStHmMl0Ppx/WEPtwAAAIB38OXp6el3HwNcnR5QHVsB2L8OAMCV&#10;qMiqplcty7K/53mkBFUJq/qqQJEVAFyEHmvl/rid+/rDex8TAAAA/G8mYMHl6CsAE0/9Yzv/un3N&#10;CkAAgBtQQVWPrTLRKpOthv5j9G9/20+0muf5EFnVOwDgYk3b9RoJspZ2Prb+sIdbAAAAcDMEWPD5&#10;Ek3lF13PrQCswAoAgBtSqwLXdd3HVrlqstUoiaoSV9XawD7RCgC4efldcl9/+O2F7++Tsx62e19/&#10;2MMtAAAAuPgfmoH31wOqRFU/TqiyAhAAgENQVbFVnkdHVplYlbAqV9YGZlVgvQMAeEe/PHM+JlHW&#10;rp1/XH/Ywy0AAAA4O1+enp5+9zHAq/223Y+tAOxfBwCAvb4qsKZY5TnnUSqoyuSqXNM0HWIrAIAL&#10;1ydn5f64nfv6w3sfEwAAAB/JBCz4vgIw/rndrQAEAODVMrGqAqvEVcuyHN6NlKAqYVVfFZhzAiwA&#10;gCs13X3/Xd5LEmQt27nHWj3i6uEWAAAAnESAxbVKMPXrdq4VgFETqvo6QAAAeJWsCuwTrbI2MO+G&#10;/sN2C6rmeT5MtqrYCgCA/ym///7lDd9fk7MSZNU/8vr6wx5uAQAAwJ9+AIVLUgFVgqoKqKwABADg&#10;3SSoSli1rus+tqq1gZloNUpiqkRViatqVaDICgDgw/VY69tL/2y8+/84Kx7a+4q4ergFAADAlfvy&#10;9PT0u4+BT9bX/dUKwD6hqn8dAAB+WgVVFVvlOVOtEluNUtOrElXlSmRV7wAAuGp9clairFp52Ncf&#10;3vuYAAAALpcJWIzSVwAmnvrHdrYCEACAD9FXBSa2WpZleGQVCasqspqm6TDRCgCAmzVtV7y0EjFB&#10;1rKdE209tnNFXD3cAgAA4AwIsHirRFP5ZUFfAdgnVPV1gAAAMFTCqgRWPbaqlYEj1SSr3GtVYM6Z&#10;aAUAAD8hv7P/5Q3fX5OzEmTVysMea/UzAAAAA3+Ygx5QJapKQGUFIAAAZ6NWBa7ruo+rcs67kSqo&#10;muf5sCqwYisAADgTPdb69tI/q/977bbzw3bf3X0Pt/oZAACANxBgXbda99dXANaEKisAAQA4KzW9&#10;KpFV7jXJKlOuRklMlagqcVWtCqzYCgAArkzfi/3SlK0+OStRVq08vG/fc+8jBQAA+H9fnp6efvcx&#10;XJRaARj/3O5WAAIAcBFqVWBNtEpglee8H6WCqsRWuaZpOqwMBAAAflrirGU7J9p63M7L3fdwq58B&#10;AACujglY5yF/+fl1O9cKwOgTrKwABADgIlRkVdOrlmXZ3/M8UqZXZYpVXxWYdwAAwFD5O8Mvb/j+&#10;mpyVIKtWHvaJW/0MAABwMT8YMU4FVAmqat1fn1D1m48IAIBLVEFVj60y0SqTrUZKXJWJVvM8HyKr&#10;egcAAFyEHmt9e+F78wPGbjs/bPfd3fFwCwAA4NMIsN6uT6OqFYBZCXgssAIAgItWqwLXdd3HVrlG&#10;R1aJqhJXJbKq9YEVWwEAADelj7R9acpWj7HyQ0utPKyJWz3cAgAAeFdfnp6efvcx/GkFYOKqf2zn&#10;mlDVAysAALgqtSowYVVFVvVulIqsEldlbWBWBVZsBQAAMFjirGU7J9p63M7L3V/DLQAAgBdd+wSs&#10;YysA+wQrKwABALgJfVVgBVZ5znmUCqoSW+WapukQWwEAAHyi/G3klzd8f8VYibOOrT/s4RYAAHCj&#10;P2Rcmh5QJapKXNUnVPWvAwDAzcjEqoRVNb1qWZbDu5ESVCWs6qsCc06ABQAAcAV6rPXthe9NoLXb&#10;zg/bva8/7OEWAABwJc4lwHpuBeCvd38NrAAA4GZVUNUnWv3xxx/79YFD/8G+BVXzPB8mW4msAAAA&#10;/qKP/H1pylaPsfJD3Y/rD3u4BQAAnLEvT09Pvw/8v59oatrO/9zufUJVBVYAAECToCph1bqu+9iq&#10;1gYmwBolk6sywarWBvaJVgAAAHyqHmvl/rid+/rDex8TAAB8jlMmYB1bARi/Hfk6AADwjAqqKrbK&#10;c6ZaJbYapaZXJarKlfWB9Q4AAICzNd19/w/eX5Iga2nnY+sPe7gFAAD8pB5gVUCVv7zUur8+oeo3&#10;HxcAALxNXxWY2GpZluGRVSSsqshqmqa7r1+/7t8BAABw9fK3n77+8NsL398nZz1s977+sIdbAADA&#10;EVlB+ORjAACA0yWsSmBVsVUiq3o3UoKqhFV9VWDOmWgFAAAAAyTK2rXzj+sPe7gFAAA3Q4AFAACv&#10;lFWBfaJV1gbm3UgVVM3zfFgVWLEVAAAAnLE+OSv3x+3c1x/e+5gAALgGAiwAAGhqktW6rvt7rlof&#10;OEpiqkRViatqVaDICgAAgBuSIGvZzj3W6hFXD7cAAOCsCLAAALg5FVRlelWmWOU5U60SW41S06sS&#10;VeWapumwMhAAAAB4k5qclSCrRlP39Yc93AIAgOEEWAAAXKW+KjCx1bIs+3ueR8r0qkyxSliVyKom&#10;WgEAAACfIlHWbjs/tPcVcfVwCwAATiLAAgDgYlVQ1WOrWhk4Uk2yyr1WBeacKVcAAADAxeqTsxJl&#10;1crDvv7w3scEAMCPBFgAAJy9WhW4rus+sMqVdyNVUDXP82F9YMVWAAAAwM1LkLVs50Rbj+1cEVcP&#10;twAAuGICLAAAzkKtCkxYVZFVvRslMVWiqsRVtSqwYisAAACAd1STsxJk1X9V1mOtfgYA4MIIsAAA&#10;+DC1KrAmWiWwynPej1JBVWKrXNM0HWIrAAAAgDOUQGu3nR+2++7ue7jVzwAAnAEBFgAA76oiq5pe&#10;tSzL/p7nkRJUJazqqwJFVgAAAMCV65OzEmXVysP79j33PiYAgLEEWAAAvFkFVT22ykSrTLYaKXFV&#10;JlrN83yIrOodAAAAAP9T4qxlOyfaetzOy933cKufAQB4JQEWAADPqlWB67ruY6tcNdlqlERViatq&#10;bWCfaAUAAADAh6nJWQmy6r+66xO3+hkA4KYJsAAAblwFVRVb5Xl0ZJWJVQmrcmVtYFYF1jsAAAAA&#10;Lk4Crd12ftjuu7vj4RYAwNURYAEA3IC+KrCmWOU551EqqMrkqlzTNB1iKwAAAABuVo+xEmjVysOa&#10;uNXDLQCAiyDAAgC4EplYVYFV4qplWQ7vRkpQlbCqrwrMOQEWAAAAAPyExFnLdk609bidl7u/hlsA&#10;AJ9GgAUAcGGyKrBPtMrawLwbqYKqeZ7/tD5QZAUAAADAGakYK3HWsfWHPdwCAHg3AiwAgDOUoCph&#10;1bqu+9iq1gZmotUomVyVCVYJq2pVYE20AgAAAIArk0Brt50ftntff9jDLQCA/0mABQDwSSqoqtgq&#10;z5lqldhqlJpelagqVyKregcAAAAAHNVjrARaP64/7OEWAHCDBFgAAAP1VYGJrZZlGR5ZRcKqiqym&#10;aTpMtAIAAAAAhuqxVu6P27mvP7z3MQHAdRFgAQD8pIRVCax6bFUrA0eqSVa516rAnDPRCgAAAAA4&#10;ewmylnY+tv6wh1sAwJkSYAEAvFKtClzXdR9X5Zx3I1VQNc/zYVVgxVYAAAAAwE3pk7Metntff9jD&#10;LQDgAwmwAACaml6VyCr3mmSVKVejJKZKVJW4qlYFVmwFAAAAAHCCRFm7dv5x/WEPtwCAnyTAAgBu&#10;TgVVNdEqz1kdmNhqlAqqElvlmqbpsDIQAAAAAOAT9clZuT9u577+8N7HBADPE2ABAFcpMVWiqoqt&#10;lmXZ3/M8UqZXZYpVwqpEVjXRCgAAAADgCiTIWtr52PrDHm4BwE0QYAEAF6uCqh5bZaJVJluNlLgq&#10;E63med6vDqxJVnkHAAAAAMBBTc7qsVZff9jDLQC4WAIsAODs1arAdV33sVWu0ZFVoqrEVYmsan1g&#10;xVYAAAAAALy7/NJ3t50f2vuKuHq4BQBnRYAFAJyFWhWYsKoiq3o3SkVWiatqVWDFVgAAAAAAnK0+&#10;OStRVq087OsP731MAHwUARYA8GH6qsAKrPKc8ygVVCW2yjVN0yG2AgAAAADg6iXIWrZzoq3Hdq6I&#10;q4dbAPBmAiwA4F1lYlXCqppetSzL4d1ICaoSVvVVgSIrAAAAAADeqCZnJciqlYd9/WEPtwBgT4AF&#10;ALxZBVV9otUff/yxXx84UuKqTLSa5/kw2areAQAAAADAB8svxXfb+aG9r4irh1sAXDEBFgDw/E+O&#10;//nPPqxa13UfW9XawARYo2RyVSZY1drAPtEKAAAAAAAuVJ+clSirVh7et++59zEBXCYBFgDcuAqq&#10;Krbq6wNH6dOrsjYwqwLrHQAAAAAA3LjEWct2TrT1uJ2Xu+/hVj8D8MkEWABwA/qqwIRVy7Lsn/N+&#10;pIRVmVyVa5qmQ2wFAAAAAAC8m5qclSCrVh72iVv9DMAAAiwAuBIJqxJYVWyVyKrejZSgKmFVXxWY&#10;cyZaAQAAAAAAZyWB1m47P2z33d33cKufAXglARYAXNpPRv/5z58mWmVtYN6NVEHVPM+HVYEVWwEA&#10;AAAAAFepT87KHyJq5eF9+557HxOAAAsAzlKCqoRV67ruY6tctT5wlMRUiaoSV9WqQJEVAAAAAADw&#10;Comzlu2caOtxOy93x8MtgKsiwAKAT1JBVcVWec5Uq8RWo9T0qkRVuRJZ1TsAAAAAAIAPUjFW4qxa&#10;89EnbvVwC+DsCbAAYKC+KjCx1bIs+3ueR0pYlSlWCaumaTpMtAIAAAAAALgwCbR22/lhu+/ujodb&#10;AJ9CgAUAP6mCqh5b1crAkWqSVe61KjDnTLQCAAAAAAC4QT3GSqD14/rDHm4BvBsBFgC8Uq0KXNd1&#10;H1flnHcjVVA1z/NhVWDFVgAAAAAAAJwscdaynRNtPW7nvv7w3scEvIYACwCaWhWYsCpTrGqSVd6N&#10;kpgqUVXiqloVWLEVAAAAAAAAZ6FirMRZx9Yf9nALuDECLABuTq0KrIlWCazynPejVFCV2CrXNE2H&#10;2AoAAAAAAICr0idnPWz3vv6wh1vAFRBgAXCVKrKq6VXLsuzveR4pQVXCqr4qUGQFAAAAAADAMxJl&#10;7dr5x/WHPdwCzpQAC4CLVUFVj60y0SqTrUZKXJWJVvM8HyKregcAAAAAAACD9MlZuT9u577+8N7H&#10;BB9PgAXA2atVgeu67mOrXKMjq0RViasSWdX6wIqtAAAAAAAA4MwlyFra+dj6wx5uAT9BgAXAWahV&#10;gRVb5bnejVJhVa6sDcyqwHoHAAAAAAAAN6RPznrY7n39YQ+3gB8IsAD4MH1VYM655znnUSqoyuSq&#10;XNM0HWIrAAAAAAAA4M0SZe2280N7XxFXD7fgJgiwAHhXmVjVp1cty3J4N1KCqoRVfVVgzgmwAAAA&#10;AAAAgE/RJ2clyqqVh3394b2PiUsnwALgJFkV2CdaZW1g3o1UQdU8z39aHyiyAgAAAAAAgIuXIGvZ&#10;zom2Htu5Iq4ebsHZEGAB8KwEVQmr1nXdx1a1NjATrUbJ5KpMsEpYVasCa6IVAAAAAAAAwKYmZyXI&#10;qkkRff1hD7dgKAEWwI2roKpiqzxnqlViq1FqelWiqlyJrOodAAAAAAAAwDtLlLXbzg/tfUVcPdyC&#10;NxNgAdyAviowsdWyLMMjq0hYVZHVNE2HiVYAAAAAAAAAZ6pPzkqUVSsP79v33PuY6ARYAFciYVUC&#10;q4qtElnVu5ESVCWsyvSqWhWYcyZaAQAAAAAAAFyxxFnLdk609bidl7vv4VY/c6UEWAAXplYFruu6&#10;j6tyzruRKqia5/mwKrBiKwAAAAAAAABepSZnJciqP/L2iVv9zAURYAGcoZpklcgq91y1PnCUxFSJ&#10;qhJX1arAiq0AAAAAAAAA+FAJtHbb+WG77+6+h1v9zCcTYAF8kgqqaqJVnrM6MLHVKBVUJbbKNU3T&#10;YWUgAAAAAAAAABepT85KlFUrD+/b99z7mMYRYAEMlJgqUVXFVsuy7O95HinTqzLFKmFVIquaaAUA&#10;AAAAAADATUuctWznRFuP23m5Ox5u8QoCLICfVEFVj60y0SqTrUZKXJWJVvM871cH1iSrvAMAAAAA&#10;AACAd1AxVuKs+iN4n7jVw62bJcACeKVaFbiu6z62yjU6skpUlbgqkVWtD6zYCgAAAAAAAADOSP6A&#10;vtvOD9t9d3c83LoqAiyAplYFJqyqyKrejVKRVeKqWhVYsRUAAAAAAAAAXKEeYyXQ+nH9YQ+3zp4A&#10;C7g5tSqwJlolsMpz3o9SQVViq1zTNB1iKwAAAAAAAADgWYmzlu2caOtxO/f1h/ef+f+gAAu4SplY&#10;lbCqplcty3J4N1KCqoRVfVWgyAoAAAAAAAAAPkzFWImzjq0/7OHWuxBgARergqqaaJVzJlplstVI&#10;iasy0Wqe58Nkq3oHAAAAAAAAAFyMPjnrYbv39Yc93HqWAAs4e7UqcF3XfWyVqyZbjZLJVZlgVWsD&#10;+0QrAAAAAAAAAODmJMratfNh/aEACzgLFVRVbNXXB47Sp1dlbWBWBdY7AAAAAAAAAIDXEGABH6av&#10;CkxYtSzL/jnvR6mgKpOrck3TdIitAAAAAAAAAAB+lgALeFcJqxJYVWyVyKrejZSgKmFVXxWYcwIs&#10;AAAAAAAAAIBRBFjASbIqsE+0ytrAvBupgqp5ng+TrSq2AgAAAAAAAAD4DAIs4FkJqhJWreu6j61y&#10;1frAURJTJapKXFWrAkVWAAAAAAAAAMC5EmDBjaugqmKrPGeqVWKrUWp6VaKqXIms6h0AAAAAAAAA&#10;wCURYMEN6KsCE1sty7K/53mkhFWZYpWwapqmw0QrAAAAAAAAAIBrIcCCK1FBVY+tamXgSDXJKvda&#10;FZhzJloBAAAAAAAAAFw7ARZcmFoVuK7rPq7KOe9GqqBqnufDqsCKrQAAAAAAAAAAbpkAC85QrQpM&#10;WJUpVjXJKu9GSUyVqCpxVa0KrNgKAAAAAAAAAIDjBFjwSWpVYE20SmCV57wfpYKqxFa5pmk6rAwE&#10;AAAAAAAAAODtBFgwUEVWNb1qWZb9Pc8jZXpVplj1VYF5BwAAAAAAAADA+xJgwU+qoKrHVplolclW&#10;IyWuykSreZ4PkVW9AwAAAAAAAADgYwiw4JVqVeC6rvvYKtfoyCpRVeKqRFa1PrBiKwAAAAAAAAAA&#10;Pp8AC5paFVixVZ7r3SgVVuXK2sCsCqx3AAAAAAAAAACcNwEWN6evCsw59zznPEoFVZlclWuapkNs&#10;BQAAAAAAAADA5RJgcZUysapPr1qW5fBupARVCav6qsCcE2ABAAAAAAAAAHB9BFhcrAqq+kSrrA3M&#10;+sCRKqia5/lP6wNFVgAAAAAAAAAAt0eAxdlLUJWwal3XfWxVawMTYI2SyVWZYFVrA/tEKwAAAAAA&#10;AAAAKAIszkIFVRVb5TlTrRJbjVLTqxJV5cr6wHoHAAAAAAAAAACvIcDiw/RVgYmtlmUZHllFwqqK&#10;rKZpuvv69ev+HQAAAAAAAAAA/CwBFu8qYVUCq4qtElnVu5ESVCWs6qsCc85EKwAAAAAAAAAAGEWA&#10;xUlqVeC6rvu4Kue8G6mCqnmeD6sCK7YCAAAAAAAAAIDPIMDiWTXJKpFV7rlqfeAoiakSVSWuqlWB&#10;FVsBAAAAAAAAAMC5EWDduAqqaqJVnrM6MLHVKBVUJbbKNU3TYWUgAAAAAAAAAABcEgHWDUhMlaiq&#10;YqtlWfb3PI+U6VWZYpWwKpFVTbQCAAAAAAAAAIBrIcC6EhVU9diqVgaOVJOscs/qwDpnyhUAAAAA&#10;AAAAAFw7AdaFqVWB67ruA6tceTdSoqrEVfM8H9YHVmwFAAAAAAAAAAC3TIB1hmpVYMKqiqzq3SgV&#10;WSWuqlWBFVsBAAAAAAAAAADHCbA+Sa0KrIlWCazynPejVFCV2CrXNE2H2AoAAAAAAAAAAHg7AdZA&#10;mViVsKqmVy3Lcng3UoKqhFV9VaDICgAAAAAAAAAA3p8A6ydVUFUTrXLORKtMthopcVUmWs3zfJhs&#10;Ve8AAAAAAAAAAICPIcB6pVoVuK7rPrbKVZOtRsnkqkywqrWBfaIVAAAAAAAAAADw+QRYTQVVFVv1&#10;9YGj9OlVWRuYVYH1DgAAAAAAAAAAOG83F2D1VYE1xSrPOY9SQVUmV+WapukQWwEAAAAAAAAAAJfr&#10;KgOsTKyqwCpx1bIsh3cjJahKWNVXBeacAAsAAAAAAAAAALg+Fx1gZVVgn2iVtYF5N1IFVfM8HyZb&#10;VWwFAAAAAAAAAADclrMPsBJUJaxa13UfW9XawEy0GiUxVaKqxFW1KlBkBQAAAAAAAAAA/OgsAqwK&#10;qiq2ynOmWiW2GqWmVyWqypXIqt4BAAAAAAAAAAC8xocFWH1VYGKrZVn29zyPlLAqU6wSVk3TdJho&#10;BQAAAAAAAAAA8LPeNcCqoKrHVrUycKSaZJV7rQrMOROtAAAAAAAAAAAARjkpwKpVgeu67uOqnPNu&#10;pAqq5nk+rAqs2AoAAAAAAAAAAOAzPBtg1fSqRFa51ySrTLkaJTFVoqrEVbUqsGIrAAAAAAAAAACA&#10;c3MIsB4eHu7+/e9/71cHJrYapYKqxFa5pmk6rAwEAAAAAAAAAAC4JF/7w3uuEcz0qkyx6qsC8w4A&#10;AAAAAAAAAOBaHAKsxFJvlbgqE63meT5EVvUOAAAAAAAAAADg2h2qq+emUyWqSlyVyKrWB1ZsBQAA&#10;AAAAAAAAcMu+PP1XPfzrX//a3xNjVWwFAAAAAAAAAADAcX8KsAAAAAAAAAAAAHg9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f5PgAEATfn5EHXFwqE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L5sAABbQ29udGVudF9UeXBlc10ueG1sUEsB&#10;AhQACgAAAAAAh07iQAAAAAAAAAAAAAAAAAYAAAAAAAAAAAAQAAAAi2oAAF9yZWxzL1BLAQIUABQA&#10;AAAIAIdO4kCKFGY80QAAAJQBAAALAAAAAAAAAAEAIAAAAK9qAABfcmVscy8ucmVsc1BLAQIUAAoA&#10;AAAAAIdO4kAAAAAAAAAAAAAAAAAEAAAAAAAAAAAAEAAAAAAAAABkcnMvUEsBAhQACgAAAAAAh07i&#10;QAAAAAAAAAAAAAAAAAoAAAAAAAAAAAAQAAAAqWsAAGRycy9fcmVscy9QSwECFAAUAAAACACHTuJA&#10;qiYOvrYAAAAhAQAAGQAAAAAAAAABACAAAADRawAAZHJzL19yZWxzL2Uyb0RvYy54bWwucmVsc1BL&#10;AQIUABQAAAAIAIdO4kAR20zZ0wAAAAYBAAAPAAAAAAAAAAEAIAAAACIAAABkcnMvZG93bnJldi54&#10;bWxQSwECFAAUAAAACACHTuJAnVt2MXYEAACVDgAADgAAAAAAAAABACAAAAAiAQAAZHJzL2Uyb0Rv&#10;Yy54bWxQSwECFAAKAAAAAACHTuJAAAAAAAAAAAAAAAAACgAAAAAAAAAAABAAAADEBQAAZHJzL21l&#10;ZGlhL1BLAQIUABQAAAAIAIdO4kCbGxQRbWQAAGhkAAAUAAAAAAAAAAEAIAAAAOwFAABkcnMvbWVk&#10;aWEvaW1hZ2UxLnBuZ1BLBQYAAAAACgAKAFICAADzbQAAAAA=&#10;">
                    <o:lock v:ext="edit" aspectratio="f"/>
                    <v:shape id="矩形 51" o:spid="_x0000_s1026" o:spt="100" style="position:absolute;left:0;top:-1;height:1130373;width:7315200;v-text-anchor:middle;" fillcolor="#4F81BD [3204]" filled="t" stroked="f" coordsize="7312660,1129665" o:gfxdata="UEsDBAoAAAAAAIdO4kAAAAAAAAAAAAAAAAAEAAAAZHJzL1BLAwQUAAAACACHTuJAgkIY4r4AAADc&#10;AAAADwAAAGRycy9kb3ducmV2LnhtbEWPT2sCQQzF7wW/wxChtzqrYimro6ClWC9S14J4Cztxd3En&#10;s8yM/769ORR6S3gv7/0yW9xdq64UYuPZwHCQgSIuvW24MvC7/3r7ABUTssXWMxl4UITFvPcyw9z6&#10;G+/oWqRKSQjHHA3UKXW51rGsyWEc+I5YtJMPDpOsodI24E3CXatHWfauHTYsDTV2tKqpPBcXZ8BS&#10;DOPDz+ZzvFkvfbHdj3bHszPmtT/MpqAS3dO/+e/62wr+RPDlGZlAz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IY4r4A&#10;AADcAAAADwAAAAAAAAABACAAAAAiAAAAZHJzL2Rvd25yZXYueG1sUEsBAhQAFAAAAAgAh07iQDMv&#10;BZ47AAAAOQAAABAAAAAAAAAAAQAgAAAADQEAAGRycy9zaGFwZXhtbC54bWxQSwUGAAAAAAYABgBb&#10;AQAAtwMAAAAA&#10;" path="m0,0l7312660,0,7312660,1129665,3619500,733425,0,1091565,0,0xe">
                      <v:path o:connectlocs="0,0;7315200,0;7315200,1130373;3620757,733884;0,1092249;0,0" o:connectangles="0,0,0,0,0,0"/>
                      <v:fill on="t" focussize="0,0"/>
                      <v:stroke on="f" weight="2pt"/>
                      <v:imagedata o:title=""/>
                      <o:lock v:ext="edit" aspectratio="f"/>
                    </v:shape>
                    <v:rect id="_x0000_s1026" o:spid="_x0000_s1026" o:spt="1" style="position:absolute;left:0;top:0;height:1216152;width:7315200;v-text-anchor:middle;" filled="t" stroked="f" coordsize="21600,21600" o:gfxdata="UEsDBAoAAAAAAIdO4kAAAAAAAAAAAAAAAAAEAAAAZHJzL1BLAwQUAAAACACHTuJAwvuJg7sAAADc&#10;AAAADwAAAGRycy9kb3ducmV2LnhtbEVPTWsCMRC9F/wPYQRvNbuCRVejiFj1VqqCHodk3F12M1mS&#10;1LX/vikUepvH+5zl+mlb8SAfascK8nEGglg7U3Op4HJ+f52BCBHZYOuYFHxTgPVq8LLEwrieP+lx&#10;iqVIIRwKVFDF2BVSBl2RxTB2HXHi7s5bjAn6UhqPfQq3rZxk2Zu0WHNqqLCjbUW6OX1ZBf1Gzv3t&#10;2uvjJN/t77OPRodDo9RomGcLEJGe8V/85z6aNH+aw+8z6QK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uJg7sAAADc&#10;AAAADwAAAAAAAAABACAAAAAiAAAAZHJzL2Rvd25yZXYueG1sUEsBAhQAFAAAAAgAh07iQDMvBZ47&#10;AAAAOQAAABAAAAAAAAAAAQAgAAAACgEAAGRycy9zaGFwZXhtbC54bWxQSwUGAAAAAAYABgBbAQAA&#10;tAMAAAAA&#10;">
                      <v:fill type="frame" on="t" focussize="0,0" recolor="t" rotate="t" r:id="rId14"/>
                      <v:stroke on="f" weight="2pt"/>
                      <v:imagedata o:title=""/>
                      <o:lock v:ext="edit" aspectratio="f"/>
                    </v:rect>
                  </v:group>
                </w:pict>
              </mc:Fallback>
            </mc:AlternateContent>
          </w:r>
        </w:p>
        <w:p>
          <w:pPr>
            <w:widowControl/>
            <w:spacing w:line="240" w:lineRule="auto"/>
            <w:ind w:firstLine="0" w:firstLineChars="0"/>
            <w:jc w:val="left"/>
            <w:rPr>
              <w:rFonts w:eastAsia="黑体"/>
              <w:b/>
              <w:bCs/>
              <w:color w:val="000000"/>
              <w:kern w:val="44"/>
              <w:sz w:val="36"/>
              <w:szCs w:val="36"/>
            </w:rPr>
          </w:pPr>
          <w:r>
            <w:rPr>
              <w:rFonts w:eastAsia="黑体"/>
              <w:b/>
              <w:bCs/>
              <w:color w:val="000000"/>
              <w:kern w:val="44"/>
              <w:sz w:val="36"/>
              <w:szCs w:val="36"/>
            </w:rPr>
            <mc:AlternateContent>
              <mc:Choice Requires="wps">
                <w:drawing>
                  <wp:anchor distT="45720" distB="45720" distL="114300" distR="114300" simplePos="0" relativeHeight="251666432" behindDoc="0" locked="0" layoutInCell="1" allowOverlap="1">
                    <wp:simplePos x="0" y="0"/>
                    <wp:positionH relativeFrom="margin">
                      <wp:align>center</wp:align>
                    </wp:positionH>
                    <wp:positionV relativeFrom="paragraph">
                      <wp:posOffset>1940560</wp:posOffset>
                    </wp:positionV>
                    <wp:extent cx="7188200" cy="1404620"/>
                    <wp:effectExtent l="0" t="0" r="12700" b="24765"/>
                    <wp:wrapSquare wrapText="bothSides"/>
                    <wp:docPr id="1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188200" cy="1404620"/>
                            </a:xfrm>
                            <a:prstGeom prst="rect">
                              <a:avLst/>
                            </a:prstGeom>
                            <a:solidFill>
                              <a:srgbClr val="FFFFFF"/>
                            </a:solidFill>
                            <a:ln w="9525">
                              <a:solidFill>
                                <a:schemeClr val="bg1"/>
                              </a:solidFill>
                              <a:miter lim="800000"/>
                            </a:ln>
                          </wps:spPr>
                          <wps:txbx>
                            <w:txbxContent>
                              <w:p>
                                <w:pPr>
                                  <w:spacing w:line="240" w:lineRule="auto"/>
                                  <w:ind w:firstLine="0" w:firstLineChars="0"/>
                                  <w:jc w:val="center"/>
                                  <w:rPr>
                                    <w:rFonts w:ascii="方正小标宋简体" w:eastAsia="方正小标宋简体"/>
                                    <w:color w:val="0070C0"/>
                                    <w:sz w:val="44"/>
                                    <w:szCs w:val="44"/>
                                  </w:rPr>
                                </w:pPr>
                                <w:r>
                                  <w:rPr>
                                    <w:rFonts w:hint="eastAsia" w:ascii="方正小标宋简体" w:eastAsia="方正小标宋简体"/>
                                    <w:color w:val="0070C0"/>
                                    <w:sz w:val="44"/>
                                    <w:szCs w:val="44"/>
                                  </w:rPr>
                                  <w:t>深圳市深汕特别合作区应急管理体系和能力建设</w:t>
                                </w:r>
                              </w:p>
                              <w:p>
                                <w:pPr>
                                  <w:spacing w:line="240" w:lineRule="auto"/>
                                  <w:ind w:firstLine="0" w:firstLineChars="0"/>
                                  <w:jc w:val="center"/>
                                  <w:rPr>
                                    <w:rFonts w:ascii="方正小标宋简体" w:eastAsia="方正小标宋简体"/>
                                    <w:color w:val="0070C0"/>
                                    <w:sz w:val="44"/>
                                    <w:szCs w:val="44"/>
                                  </w:rPr>
                                </w:pPr>
                                <w:r>
                                  <w:rPr>
                                    <w:rFonts w:hint="eastAsia" w:ascii="方正小标宋简体" w:eastAsia="方正小标宋简体"/>
                                    <w:color w:val="0070C0"/>
                                    <w:sz w:val="44"/>
                                    <w:szCs w:val="44"/>
                                  </w:rPr>
                                  <w:t>“十四五”规划（公众意见征求稿）</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152.8pt;height:110.6pt;width:566pt;mso-position-horizontal:center;mso-position-horizontal-relative:margin;mso-wrap-distance-bottom:3.6pt;mso-wrap-distance-left:9pt;mso-wrap-distance-right:9pt;mso-wrap-distance-top:3.6pt;z-index:251666432;mso-width-relative:page;mso-height-relative:margin;mso-height-percent:200;" fillcolor="#FFFFFF" filled="t" stroked="t" coordsize="21600,21600" o:gfxdata="UEsDBAoAAAAAAIdO4kAAAAAAAAAAAAAAAAAEAAAAZHJzL1BLAwQUAAAACACHTuJAcQpehNkAAAAJ&#10;AQAADwAAAGRycy9kb3ducmV2LnhtbE2PwU7DMBBE70j8g7VI3KidVI1KyKYHBBIcqooCQtxce0lS&#10;4nUUO235e9wTHGdnNfOmWp1cLw40hs4zQjZTIIiNtx03CG+vjzdLECFqtrr3TAg/FGBVX15UurT+&#10;yC902MZGpBAOpUZoYxxKKYNpyekw8wNx8r786HRMcmykHfUxhbte5koV0umOU0OrB7pvyXxvJ4fw&#10;YIan281nv//YmHdVTGr9vPdrxOurTN2BiHSKf89wxk/oUCemnZ/YBtEjpCERYa4WBYiznc3zdNoh&#10;LPJiCbKu5P8F9S9QSwMEFAAAAAgAh07iQE01gJ45AgAAfQQAAA4AAABkcnMvZTJvRG9jLnhtbK2U&#10;zY7TMBDH70i8g+U7TVu1u92o6WppVYS0fEgLD+A6TmNhe4ztNikPAG/AiQt3nqvPwdjJlqpcVogc&#10;Ijsz/s/Mb8aZ37Zakb1wXoIp6GgwpEQYDqU024J+/LB+MaPEB2ZKpsCIgh6Ep7eL58/mjc3FGGpQ&#10;pXAERYzPG1vQOgSbZ5nntdDMD8AKg8YKnGYBt26blY41qK5VNh4Or7IGXGkdcOE9fl11RtoruqcI&#10;QlVJLlbAd1qY0Kk6oVjAknwtraeLlG1VCR7eVZUXgaiCYqUhvTEIrjfxnS3mLN86ZmvJ+xTYU1K4&#10;qEkzaTDoSWrFAiM7J/+S0pI78FCFAQeddYUkIljFaHjB5qFmVqRaELW3J+j+/8nyt/v3jsgSJ2FC&#10;iWEaO378/u3449fx51cyjnwa63N0e7DoGNqX0KJvqtXbe+CfPDGwrJnZijvnoKkFKzG/UTyZnR3t&#10;dHwU2TRvoMQ4bBcgCbWV0xEe4iCojr05nHoj2kA4frwezWY4PpRwtI0mw8nVOHUvY/njcet8eCVA&#10;k7goqMPmJ3m2v/chpsPyR5cYzYOS5VoqlTZuu1kqR/YMB2WdnlTBhZsypCnozXQ87Qj8g4SWAe+P&#10;krqgs2F8+jjK9MAio45WaDdt34ANlAdE56CbYLy/uKjBfaGkwektqP+8Y05Qol4bxH8zmkziuKfN&#10;ZHqNrIg7t2zOLcxwlCpooKRbLkO6IgmMvcM2rWUCGPvZZdLnilOZuPY3KI79+T55/flrL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QpehNkAAAAJAQAADwAAAAAAAAABACAAAAAiAAAAZHJzL2Rv&#10;d25yZXYueG1sUEsBAhQAFAAAAAgAh07iQE01gJ45AgAAfQQAAA4AAAAAAAAAAQAgAAAAKAEAAGRy&#10;cy9lMm9Eb2MueG1sUEsFBgAAAAAGAAYAWQEAANMFAAAAAA==&#10;">
                    <v:fill on="t" focussize="0,0"/>
                    <v:stroke color="#FFFFFF [3212]" miterlimit="8" joinstyle="miter"/>
                    <v:imagedata o:title=""/>
                    <o:lock v:ext="edit" aspectratio="f"/>
                    <v:textbox style="mso-fit-shape-to-text:t;">
                      <w:txbxContent>
                        <w:p>
                          <w:pPr>
                            <w:spacing w:line="240" w:lineRule="auto"/>
                            <w:ind w:firstLine="0" w:firstLineChars="0"/>
                            <w:jc w:val="center"/>
                            <w:rPr>
                              <w:rFonts w:ascii="方正小标宋简体" w:eastAsia="方正小标宋简体"/>
                              <w:color w:val="0070C0"/>
                              <w:sz w:val="44"/>
                              <w:szCs w:val="44"/>
                            </w:rPr>
                          </w:pPr>
                          <w:r>
                            <w:rPr>
                              <w:rFonts w:hint="eastAsia" w:ascii="方正小标宋简体" w:eastAsia="方正小标宋简体"/>
                              <w:color w:val="0070C0"/>
                              <w:sz w:val="44"/>
                              <w:szCs w:val="44"/>
                            </w:rPr>
                            <w:t>深圳市深汕特别合作区应急管理体系和能力建设</w:t>
                          </w:r>
                        </w:p>
                        <w:p>
                          <w:pPr>
                            <w:spacing w:line="240" w:lineRule="auto"/>
                            <w:ind w:firstLine="0" w:firstLineChars="0"/>
                            <w:jc w:val="center"/>
                            <w:rPr>
                              <w:rFonts w:ascii="方正小标宋简体" w:eastAsia="方正小标宋简体"/>
                              <w:color w:val="0070C0"/>
                              <w:sz w:val="44"/>
                              <w:szCs w:val="44"/>
                            </w:rPr>
                          </w:pPr>
                          <w:r>
                            <w:rPr>
                              <w:rFonts w:hint="eastAsia" w:ascii="方正小标宋简体" w:eastAsia="方正小标宋简体"/>
                              <w:color w:val="0070C0"/>
                              <w:sz w:val="44"/>
                              <w:szCs w:val="44"/>
                            </w:rPr>
                            <w:t>“十四五”规划（公众意见征求稿）</w:t>
                          </w:r>
                        </w:p>
                      </w:txbxContent>
                    </v:textbox>
                    <w10:wrap type="square"/>
                  </v:shape>
                </w:pict>
              </mc:Fallback>
            </mc:AlternateContent>
          </w:r>
          <w:r>
            <mc:AlternateContent>
              <mc:Choice Requires="wps">
                <w:drawing>
                  <wp:anchor distT="45720" distB="45720" distL="114300" distR="114300" simplePos="0" relativeHeight="251665408" behindDoc="0" locked="0" layoutInCell="1" allowOverlap="1">
                    <wp:simplePos x="0" y="0"/>
                    <wp:positionH relativeFrom="margin">
                      <wp:align>center</wp:align>
                    </wp:positionH>
                    <wp:positionV relativeFrom="paragraph">
                      <wp:posOffset>6791960</wp:posOffset>
                    </wp:positionV>
                    <wp:extent cx="5029200" cy="1404620"/>
                    <wp:effectExtent l="0" t="0" r="19050" b="2794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solidFill>
                              <a:srgbClr val="FFFFFF"/>
                            </a:solidFill>
                            <a:ln w="9525">
                              <a:solidFill>
                                <a:schemeClr val="bg1"/>
                              </a:solidFill>
                              <a:miter lim="800000"/>
                            </a:ln>
                          </wps:spPr>
                          <wps:txbx>
                            <w:txbxContent>
                              <w:p>
                                <w:pPr>
                                  <w:ind w:firstLine="0" w:firstLineChars="0"/>
                                  <w:jc w:val="center"/>
                                  <w:rPr>
                                    <w:color w:val="0070C0"/>
                                  </w:rPr>
                                </w:pPr>
                                <w:r>
                                  <w:rPr>
                                    <w:rFonts w:hint="eastAsia"/>
                                    <w:color w:val="0070C0"/>
                                  </w:rPr>
                                  <w:t>深圳市深汕特别合作区应急管理局</w:t>
                                </w:r>
                              </w:p>
                              <w:p>
                                <w:pPr>
                                  <w:ind w:firstLine="0" w:firstLineChars="0"/>
                                  <w:jc w:val="center"/>
                                  <w:rPr>
                                    <w:color w:val="0070C0"/>
                                  </w:rPr>
                                </w:pPr>
                                <w:r>
                                  <w:rPr>
                                    <w:rFonts w:hint="eastAsia"/>
                                    <w:color w:val="0070C0"/>
                                  </w:rPr>
                                  <w:t>深圳市城市公共安全技术研究院有限</w:t>
                                </w:r>
                                <w:r>
                                  <w:rPr>
                                    <w:color w:val="0070C0"/>
                                  </w:rPr>
                                  <w:t>公司</w:t>
                                </w:r>
                              </w:p>
                              <w:p>
                                <w:pPr>
                                  <w:ind w:firstLine="0" w:firstLineChars="0"/>
                                  <w:jc w:val="center"/>
                                  <w:rPr>
                                    <w:color w:val="0070C0"/>
                                  </w:rPr>
                                </w:pPr>
                                <w:r>
                                  <w:rPr>
                                    <w:rFonts w:hint="eastAsia"/>
                                    <w:color w:val="0070C0"/>
                                  </w:rPr>
                                  <w:t>2021年9月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534.8pt;height:110.6pt;width:396pt;mso-position-horizontal:center;mso-position-horizontal-relative:margin;mso-wrap-distance-bottom:3.6pt;mso-wrap-distance-left:9pt;mso-wrap-distance-right:9pt;mso-wrap-distance-top:3.6pt;z-index:251665408;mso-width-relative:page;mso-height-relative:margin;mso-height-percent:200;" fillcolor="#FFFFFF" filled="t" stroked="t" coordsize="21600,21600" o:gfxdata="UEsDBAoAAAAAAIdO4kAAAAAAAAAAAAAAAAAEAAAAZHJzL1BLAwQUAAAACACHTuJABXJJwdkAAAAK&#10;AQAADwAAAGRycy9kb3ducmV2LnhtbE2PwU7DMBBE70j8g7VI3KjdHEKTxukBgQSHqqIFIW5uvE1S&#10;7HUUO235e5YTHPfNaHamWl28EyccYx9Iw3ymQCA1wfbUanjbPd0tQMRkyBoXCDV8Y4RVfX1VmdKG&#10;M73iaZtawSEUS6OhS2kopYxNh97EWRiQWDuE0ZvE59hKO5ozh3snM6Vy6U1P/KEzAz502HxtJ6/h&#10;sRmei82nO35smneVT2r9cgxrrW9v5moJIuEl/Znhtz5Xh5o77cNENgqngYckpiovchCs3xcZoz2j&#10;rFALkHUl/0+ofwBQSwMEFAAAAAgAh07iQFPrNhc6AgAAfgQAAA4AAABkcnMvZTJvRG9jLnhtbK2U&#10;zY7TMBDH70i8g+U7TRq1+xE1XS27KkJaPqSFB3Adp7GwPcZ2m5QHgDfgxIU7z9XnYOxkS7VcVogc&#10;Ijsz/s/Mb8ZZXPVakZ1wXoKp6HSSUyIMh1qaTUU/fli9uKDEB2ZqpsCIiu6Fp1fL588WnS1FAS2o&#10;WjiCIsaXna1oG4Its8zzVmjmJ2CFQWMDTrOAW7fJasc6VNcqK/L8LOvA1dYBF97j19vBSEdF9xRB&#10;aBrJxS3wrRYmDKpOKBawJN9K6+kyZds0god3TeNFIKqiWGlIbwyC63V8Z8sFKzeO2VbyMQX2lBQe&#10;1aSZNBj0KHXLAiNbJ/+S0pI78NCECQedDYUkIljFNH/E5r5lVqRaELW3R+j+/8nyt7v3jsi6osX0&#10;nBLDNLb88P3b4cevw8+vpIiAOutL9Lu36Bn6l9Dj2KRivb0D/skTAzctMxtx7Rx0rWA1JjiNJ7OT&#10;o4OOjyLr7g3UGIdtAyShvnE60kMeBNWxOftjc0QfCMeP87y4xPmhhKNtOstnZ0VqX8bKh+PW+fBK&#10;gCZxUVGH3U/ybHfnQ0yHlQ8uMZoHJeuVVCpt3GZ9oxzZMZyUVXpSBY/clCFdRS/nxXwg8A8SWga8&#10;QErqil7k8RnjKDMCi4wGWqFf92MD1lDvEZ2DYYTxAuOiBfeFkg7Ht6L+85Y5QYl6bRD/5XQ2i/Oe&#10;NrP5ObIi7tSyPrUww1GqooGSYXkT0h1JYOw1tmklE8DYzyGTMVccy8R1vEJx7k/3yevPb2P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VyScHZAAAACgEAAA8AAAAAAAAAAQAgAAAAIgAAAGRycy9k&#10;b3ducmV2LnhtbFBLAQIUABQAAAAIAIdO4kBT6zYXOgIAAH4EAAAOAAAAAAAAAAEAIAAAACgBAABk&#10;cnMvZTJvRG9jLnhtbFBLBQYAAAAABgAGAFkBAADUBQAAAAA=&#10;">
                    <v:fill on="t" focussize="0,0"/>
                    <v:stroke color="#FFFFFF [3212]" miterlimit="8" joinstyle="miter"/>
                    <v:imagedata o:title=""/>
                    <o:lock v:ext="edit" aspectratio="f"/>
                    <v:textbox style="mso-fit-shape-to-text:t;">
                      <w:txbxContent>
                        <w:p>
                          <w:pPr>
                            <w:ind w:firstLine="0" w:firstLineChars="0"/>
                            <w:jc w:val="center"/>
                            <w:rPr>
                              <w:color w:val="0070C0"/>
                            </w:rPr>
                          </w:pPr>
                          <w:r>
                            <w:rPr>
                              <w:rFonts w:hint="eastAsia"/>
                              <w:color w:val="0070C0"/>
                            </w:rPr>
                            <w:t>深圳市深汕特别合作区应急管理局</w:t>
                          </w:r>
                        </w:p>
                        <w:p>
                          <w:pPr>
                            <w:ind w:firstLine="0" w:firstLineChars="0"/>
                            <w:jc w:val="center"/>
                            <w:rPr>
                              <w:color w:val="0070C0"/>
                            </w:rPr>
                          </w:pPr>
                          <w:r>
                            <w:rPr>
                              <w:rFonts w:hint="eastAsia"/>
                              <w:color w:val="0070C0"/>
                            </w:rPr>
                            <w:t>深圳市城市公共安全技术研究院有限</w:t>
                          </w:r>
                          <w:r>
                            <w:rPr>
                              <w:color w:val="0070C0"/>
                            </w:rPr>
                            <w:t>公司</w:t>
                          </w:r>
                        </w:p>
                        <w:p>
                          <w:pPr>
                            <w:ind w:firstLine="0" w:firstLineChars="0"/>
                            <w:jc w:val="center"/>
                            <w:rPr>
                              <w:color w:val="0070C0"/>
                            </w:rPr>
                          </w:pPr>
                          <w:r>
                            <w:rPr>
                              <w:rFonts w:hint="eastAsia"/>
                              <w:color w:val="0070C0"/>
                            </w:rPr>
                            <w:t>2021年9月</w:t>
                          </w:r>
                        </w:p>
                      </w:txbxContent>
                    </v:textbox>
                    <w10:wrap type="square"/>
                  </v:shape>
                </w:pict>
              </mc:Fallback>
            </mc:AlternateContent>
          </w:r>
          <w:r>
            <w:rPr>
              <w:rFonts w:eastAsia="黑体"/>
              <w:b/>
              <w:bCs/>
              <w:color w:val="000000"/>
              <w:kern w:val="44"/>
              <w:sz w:val="36"/>
              <w:szCs w:val="36"/>
            </w:rPr>
            <w:br w:type="page"/>
          </w:r>
        </w:p>
      </w:sdtContent>
    </w:sdt>
    <w:p>
      <w:pPr>
        <w:pStyle w:val="2"/>
      </w:pPr>
      <w:bookmarkStart w:id="32" w:name="_Toc62228022"/>
      <w:bookmarkStart w:id="33" w:name="_Toc80221207"/>
      <w:bookmarkStart w:id="34" w:name="_Toc80221567"/>
      <w:r>
        <w:t>前  言</w:t>
      </w:r>
      <w:bookmarkEnd w:id="32"/>
      <w:bookmarkEnd w:id="33"/>
      <w:bookmarkEnd w:id="34"/>
    </w:p>
    <w:p>
      <w:pPr>
        <w:ind w:firstLine="640"/>
        <w:rPr>
          <w:snapToGrid w:val="0"/>
        </w:rPr>
      </w:pPr>
      <w:r>
        <w:rPr>
          <w:snapToGrid w:val="0"/>
        </w:rPr>
        <w:t>深圳市深汕特别合作区（以下简称“合作区”）地处珠三角核心区和沿海经济带的连接点，区位独特、交通便利、空间广阔、生态优美，是珠三角通往粤东的桥头堡，是深港向东拓展辐射的战略支点，也是大湾区的有机组成部分。合作区作为深圳第“10＋1”（深圳10区+深汕特别合作区）区，已迈入深圳全面负责建设管理的新时代。</w:t>
      </w:r>
    </w:p>
    <w:p>
      <w:pPr>
        <w:ind w:firstLine="640"/>
        <w:rPr>
          <w:snapToGrid w:val="0"/>
        </w:rPr>
      </w:pPr>
      <w:r>
        <w:rPr>
          <w:snapToGrid w:val="0"/>
        </w:rPr>
        <w:t>合作区党工委、管委会历来高度重视应急管理工作，在广东省、深圳市应急管理部门的支持推动下，2019年3月，合作区全新组建应急管理局。合作区应急管理局成立以来，牢固树立安全发展理念，坚守发展绝不能以牺牲人的生命为代价的红线，守牢安全生产基本盘，完善自然灾害防御体系，推进应急管理体系和能力建设，为合作区经济社会快速有序发展提供了有力安全保障。</w:t>
      </w:r>
    </w:p>
    <w:p>
      <w:pPr>
        <w:ind w:firstLine="640"/>
        <w:rPr>
          <w:snapToGrid w:val="0"/>
        </w:rPr>
      </w:pPr>
      <w:r>
        <w:rPr>
          <w:snapToGrid w:val="0"/>
        </w:rPr>
        <w:t>“十四五”时期，是深圳全面建设粤港澳大湾区和中国特色社会主义先行示范区的重大历史机遇期，也是合作区践行“创新完善、探索推广深汕特别合作区管理体制机制”、主动作为落实综合授权改革试点历史使命，建设粤港澳大湾区向东辐射重要节点、区域协调发展示范区、深圳自主创新拓展区、现代化国际性滨海智慧新城的蝶变跃升期。</w:t>
      </w:r>
    </w:p>
    <w:p>
      <w:pPr>
        <w:ind w:firstLine="640"/>
        <w:rPr>
          <w:snapToGrid w:val="0"/>
        </w:rPr>
      </w:pPr>
      <w:r>
        <w:rPr>
          <w:snapToGrid w:val="0"/>
        </w:rPr>
        <w:t>为深化“十四五”时期合作区应急管理事业改革发展，有效防范化解重大安全风险，全面提高各类灾害事故应对处置能力，合作区应急管理局委托深圳</w:t>
      </w:r>
      <w:r>
        <w:rPr>
          <w:rFonts w:hint="eastAsia"/>
          <w:snapToGrid w:val="0"/>
        </w:rPr>
        <w:t>市</w:t>
      </w:r>
      <w:r>
        <w:rPr>
          <w:snapToGrid w:val="0"/>
        </w:rPr>
        <w:t>城市公共安全技术研究院</w:t>
      </w:r>
      <w:r>
        <w:rPr>
          <w:rFonts w:hint="eastAsia"/>
          <w:snapToGrid w:val="0"/>
        </w:rPr>
        <w:t>有限公司</w:t>
      </w:r>
      <w:r>
        <w:rPr>
          <w:snapToGrid w:val="0"/>
        </w:rPr>
        <w:t>组织开展《深汕特别合作区应急管理体系和能力建设“十四五”规划》（以下简称《规划》）编制工作。《规划》是深汕特别合作区“十四五”规划体系中的重点专项规划，是合作区“十四五”期间应急管理事业发展改革的指导性文件，也是今后编制各类应急管理专项规划、年度计划和履行安全生产、防灾减灾救灾和灾害事故处置应对工作的重要依据。</w:t>
      </w:r>
    </w:p>
    <w:p>
      <w:pPr>
        <w:ind w:firstLine="640"/>
        <w:rPr>
          <w:color w:val="000000"/>
        </w:rPr>
      </w:pPr>
      <w:r>
        <w:t>规划基准年为2020年，规划期限为2021-2025年，远期目标至2035年。</w:t>
      </w:r>
    </w:p>
    <w:p>
      <w:pPr>
        <w:spacing w:line="520" w:lineRule="exact"/>
        <w:ind w:firstLine="0" w:firstLineChars="0"/>
        <w:jc w:val="center"/>
        <w:rPr>
          <w:rFonts w:eastAsia="黑体"/>
          <w:b/>
          <w:color w:val="000000"/>
          <w:sz w:val="36"/>
          <w:szCs w:val="36"/>
        </w:rPr>
        <w:sectPr>
          <w:headerReference r:id="rId7" w:type="first"/>
          <w:footerReference r:id="rId10" w:type="first"/>
          <w:headerReference r:id="rId5" w:type="default"/>
          <w:footerReference r:id="rId8" w:type="default"/>
          <w:headerReference r:id="rId6" w:type="even"/>
          <w:footerReference r:id="rId9" w:type="even"/>
          <w:type w:val="continuous"/>
          <w:pgSz w:w="11907" w:h="16840"/>
          <w:pgMar w:top="1440" w:right="1800" w:bottom="1440" w:left="1800" w:header="1134" w:footer="1134" w:gutter="0"/>
          <w:pgNumType w:start="1"/>
          <w:cols w:space="720" w:num="1"/>
          <w:docGrid w:linePitch="312" w:charSpace="0"/>
        </w:sectPr>
      </w:pPr>
    </w:p>
    <w:p>
      <w:pPr>
        <w:spacing w:line="520" w:lineRule="exact"/>
        <w:ind w:firstLine="0" w:firstLineChars="0"/>
        <w:jc w:val="center"/>
        <w:rPr>
          <w:rFonts w:eastAsia="黑体"/>
          <w:color w:val="000000"/>
          <w:sz w:val="36"/>
          <w:szCs w:val="36"/>
        </w:rPr>
      </w:pPr>
      <w:r>
        <w:rPr>
          <w:rFonts w:eastAsia="黑体"/>
          <w:color w:val="000000"/>
          <w:sz w:val="36"/>
          <w:szCs w:val="36"/>
        </w:rPr>
        <w:t>目   录</w:t>
      </w:r>
    </w:p>
    <w:p>
      <w:pPr>
        <w:pStyle w:val="18"/>
        <w:tabs>
          <w:tab w:val="right" w:leader="dot" w:pos="8297"/>
        </w:tabs>
        <w:rPr>
          <w:rFonts w:ascii="Times New Roman" w:hAnsi="Times New Roman" w:cs="Times New Roman" w:eastAsiaTheme="minorEastAsia"/>
          <w:bCs w:val="0"/>
          <w:caps w:val="0"/>
          <w:sz w:val="21"/>
          <w:szCs w:val="22"/>
        </w:rPr>
      </w:pPr>
      <w:r>
        <w:rPr>
          <w:rFonts w:ascii="Times New Roman" w:hAnsi="Times New Roman" w:cs="Times New Roman"/>
          <w:bCs w:val="0"/>
          <w:color w:val="000000"/>
          <w:kern w:val="44"/>
          <w:sz w:val="24"/>
        </w:rPr>
        <w:fldChar w:fldCharType="begin"/>
      </w:r>
      <w:r>
        <w:rPr>
          <w:rFonts w:ascii="Times New Roman" w:hAnsi="Times New Roman" w:cs="Times New Roman"/>
          <w:bCs w:val="0"/>
          <w:color w:val="000000"/>
          <w:kern w:val="44"/>
          <w:sz w:val="24"/>
        </w:rPr>
        <w:instrText xml:space="preserve"> TOC \o "1-3" \h \z \u </w:instrText>
      </w:r>
      <w:r>
        <w:rPr>
          <w:rFonts w:ascii="Times New Roman" w:hAnsi="Times New Roman" w:cs="Times New Roman"/>
          <w:bCs w:val="0"/>
          <w:color w:val="000000"/>
          <w:kern w:val="44"/>
          <w:sz w:val="24"/>
        </w:rPr>
        <w:fldChar w:fldCharType="separate"/>
      </w:r>
      <w:r>
        <w:fldChar w:fldCharType="begin"/>
      </w:r>
      <w:r>
        <w:instrText xml:space="preserve"> HYPERLINK \l "_Toc80221568" </w:instrText>
      </w:r>
      <w:r>
        <w:fldChar w:fldCharType="separate"/>
      </w:r>
      <w:r>
        <w:rPr>
          <w:rStyle w:val="46"/>
          <w:rFonts w:ascii="Times New Roman" w:hAnsi="Times New Roman"/>
        </w:rPr>
        <w:t>第一章 基础与形势</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_Toc80221568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8297"/>
        </w:tabs>
        <w:ind w:firstLine="560"/>
        <w:rPr>
          <w:rFonts w:ascii="Times New Roman" w:hAnsi="Times New Roman" w:cs="Times New Roman" w:eastAsiaTheme="minorEastAsia"/>
          <w:smallCaps w:val="0"/>
          <w:sz w:val="21"/>
          <w:szCs w:val="22"/>
        </w:rPr>
      </w:pPr>
      <w:r>
        <w:fldChar w:fldCharType="begin"/>
      </w:r>
      <w:r>
        <w:instrText xml:space="preserve"> HYPERLINK \l "_Toc80221569" </w:instrText>
      </w:r>
      <w:r>
        <w:fldChar w:fldCharType="separate"/>
      </w:r>
      <w:r>
        <w:rPr>
          <w:rStyle w:val="46"/>
          <w:rFonts w:ascii="Times New Roman" w:hAnsi="Times New Roman"/>
        </w:rPr>
        <w:t>第一节 规划基础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_Toc80221569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8297"/>
        </w:tabs>
        <w:ind w:firstLine="560"/>
        <w:rPr>
          <w:rFonts w:ascii="Times New Roman" w:hAnsi="Times New Roman" w:cs="Times New Roman" w:eastAsiaTheme="minorEastAsia"/>
          <w:smallCaps w:val="0"/>
          <w:sz w:val="21"/>
          <w:szCs w:val="22"/>
        </w:rPr>
      </w:pPr>
      <w:r>
        <w:fldChar w:fldCharType="begin"/>
      </w:r>
      <w:r>
        <w:instrText xml:space="preserve"> HYPERLINK \l "_Toc80221570" </w:instrText>
      </w:r>
      <w:r>
        <w:fldChar w:fldCharType="separate"/>
      </w:r>
      <w:r>
        <w:rPr>
          <w:rStyle w:val="46"/>
          <w:rFonts w:ascii="Times New Roman" w:hAnsi="Times New Roman"/>
        </w:rPr>
        <w:t>第二节 问题挑战</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_Toc80221570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8297"/>
        </w:tabs>
        <w:ind w:firstLine="560"/>
        <w:rPr>
          <w:rFonts w:ascii="Times New Roman" w:hAnsi="Times New Roman" w:cs="Times New Roman" w:eastAsiaTheme="minorEastAsia"/>
          <w:smallCaps w:val="0"/>
          <w:sz w:val="21"/>
          <w:szCs w:val="22"/>
        </w:rPr>
      </w:pPr>
      <w:r>
        <w:fldChar w:fldCharType="begin"/>
      </w:r>
      <w:r>
        <w:instrText xml:space="preserve"> HYPERLINK \l "_Toc80221571" </w:instrText>
      </w:r>
      <w:r>
        <w:fldChar w:fldCharType="separate"/>
      </w:r>
      <w:r>
        <w:rPr>
          <w:rStyle w:val="46"/>
          <w:rFonts w:ascii="Times New Roman" w:hAnsi="Times New Roman"/>
        </w:rPr>
        <w:t>第三节 发展机遇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_Toc80221571 \h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297"/>
        </w:tabs>
        <w:rPr>
          <w:rFonts w:ascii="Times New Roman" w:hAnsi="Times New Roman" w:cs="Times New Roman" w:eastAsiaTheme="minorEastAsia"/>
          <w:bCs w:val="0"/>
          <w:caps w:val="0"/>
          <w:sz w:val="21"/>
          <w:szCs w:val="22"/>
        </w:rPr>
      </w:pPr>
      <w:r>
        <w:fldChar w:fldCharType="begin"/>
      </w:r>
      <w:r>
        <w:instrText xml:space="preserve"> HYPERLINK \l "_Toc80221572" </w:instrText>
      </w:r>
      <w:r>
        <w:fldChar w:fldCharType="separate"/>
      </w:r>
      <w:r>
        <w:rPr>
          <w:rStyle w:val="46"/>
          <w:rFonts w:ascii="Times New Roman" w:hAnsi="Times New Roman"/>
        </w:rPr>
        <w:t>第二章 总体要求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_Toc80221572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8297"/>
        </w:tabs>
        <w:ind w:firstLine="560"/>
        <w:rPr>
          <w:rFonts w:ascii="Times New Roman" w:hAnsi="Times New Roman" w:cs="Times New Roman" w:eastAsiaTheme="minorEastAsia"/>
          <w:smallCaps w:val="0"/>
          <w:sz w:val="21"/>
          <w:szCs w:val="22"/>
        </w:rPr>
      </w:pPr>
      <w:r>
        <w:fldChar w:fldCharType="begin"/>
      </w:r>
      <w:r>
        <w:instrText xml:space="preserve"> HYPERLINK \l "_Toc80221573" </w:instrText>
      </w:r>
      <w:r>
        <w:fldChar w:fldCharType="separate"/>
      </w:r>
      <w:r>
        <w:rPr>
          <w:rStyle w:val="46"/>
          <w:rFonts w:ascii="Times New Roman" w:hAnsi="Times New Roman"/>
        </w:rPr>
        <w:t>第一节 指导思想</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_Toc80221573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8297"/>
        </w:tabs>
        <w:ind w:firstLine="560"/>
        <w:rPr>
          <w:rFonts w:ascii="Times New Roman" w:hAnsi="Times New Roman" w:cs="Times New Roman" w:eastAsiaTheme="minorEastAsia"/>
          <w:smallCaps w:val="0"/>
          <w:sz w:val="21"/>
          <w:szCs w:val="22"/>
        </w:rPr>
      </w:pPr>
      <w:r>
        <w:fldChar w:fldCharType="begin"/>
      </w:r>
      <w:r>
        <w:instrText xml:space="preserve"> HYPERLINK \l "_Toc80221574" </w:instrText>
      </w:r>
      <w:r>
        <w:fldChar w:fldCharType="separate"/>
      </w:r>
      <w:r>
        <w:rPr>
          <w:rStyle w:val="46"/>
          <w:rFonts w:ascii="Times New Roman" w:hAnsi="Times New Roman"/>
        </w:rPr>
        <w:t>第二节 基本原则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_Toc80221574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8297"/>
        </w:tabs>
        <w:ind w:firstLine="560"/>
        <w:rPr>
          <w:rFonts w:ascii="Times New Roman" w:hAnsi="Times New Roman" w:cs="Times New Roman" w:eastAsiaTheme="minorEastAsia"/>
          <w:smallCaps w:val="0"/>
          <w:sz w:val="21"/>
          <w:szCs w:val="22"/>
        </w:rPr>
      </w:pPr>
      <w:r>
        <w:fldChar w:fldCharType="begin"/>
      </w:r>
      <w:r>
        <w:instrText xml:space="preserve"> HYPERLINK \l "_Toc80221575" </w:instrText>
      </w:r>
      <w:r>
        <w:fldChar w:fldCharType="separate"/>
      </w:r>
      <w:r>
        <w:rPr>
          <w:rStyle w:val="46"/>
          <w:rFonts w:ascii="Times New Roman" w:hAnsi="Times New Roman"/>
        </w:rPr>
        <w:t>第三节 发展目标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_Toc80221575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297"/>
        </w:tabs>
        <w:rPr>
          <w:rFonts w:ascii="Times New Roman" w:hAnsi="Times New Roman" w:cs="Times New Roman" w:eastAsiaTheme="minorEastAsia"/>
          <w:bCs w:val="0"/>
          <w:caps w:val="0"/>
          <w:sz w:val="21"/>
          <w:szCs w:val="22"/>
        </w:rPr>
      </w:pPr>
      <w:r>
        <w:fldChar w:fldCharType="begin"/>
      </w:r>
      <w:r>
        <w:instrText xml:space="preserve"> HYPERLINK \l "_Toc80221576" </w:instrText>
      </w:r>
      <w:r>
        <w:fldChar w:fldCharType="separate"/>
      </w:r>
      <w:r>
        <w:rPr>
          <w:rStyle w:val="46"/>
          <w:rFonts w:ascii="Times New Roman" w:hAnsi="Times New Roman"/>
        </w:rPr>
        <w:t>第三章 主要任务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_Toc80221576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8297"/>
        </w:tabs>
        <w:ind w:firstLine="560"/>
        <w:rPr>
          <w:rFonts w:ascii="Times New Roman" w:hAnsi="Times New Roman" w:cs="Times New Roman" w:eastAsiaTheme="minorEastAsia"/>
          <w:smallCaps w:val="0"/>
          <w:sz w:val="21"/>
          <w:szCs w:val="22"/>
        </w:rPr>
      </w:pPr>
      <w:r>
        <w:fldChar w:fldCharType="begin"/>
      </w:r>
      <w:r>
        <w:instrText xml:space="preserve"> HYPERLINK \l "_Toc80221577" </w:instrText>
      </w:r>
      <w:r>
        <w:fldChar w:fldCharType="separate"/>
      </w:r>
      <w:r>
        <w:rPr>
          <w:rStyle w:val="46"/>
          <w:rFonts w:ascii="Times New Roman" w:hAnsi="Times New Roman"/>
        </w:rPr>
        <w:t>第一节 健全组织管理体系，提升统筹协调能力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_Toc80221577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"_Toc80221578" </w:instrText>
      </w:r>
      <w:r>
        <w:fldChar w:fldCharType="separate"/>
      </w:r>
      <w:r>
        <w:rPr>
          <w:rStyle w:val="46"/>
          <w:rFonts w:ascii="Times New Roman" w:hAnsi="Times New Roman"/>
        </w:rPr>
        <w:t>一、强化“大应急”组织领导</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_Toc80221578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"_Toc80221579" </w:instrText>
      </w:r>
      <w:r>
        <w:fldChar w:fldCharType="separate"/>
      </w:r>
      <w:r>
        <w:rPr>
          <w:rStyle w:val="46"/>
          <w:rFonts w:ascii="Times New Roman" w:hAnsi="Times New Roman"/>
        </w:rPr>
        <w:t>二、完善应急管理责任体系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_Toc80221579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"_Toc80221580" </w:instrText>
      </w:r>
      <w:r>
        <w:fldChar w:fldCharType="separate"/>
      </w:r>
      <w:r>
        <w:rPr>
          <w:rStyle w:val="46"/>
          <w:rFonts w:ascii="Times New Roman" w:hAnsi="Times New Roman"/>
        </w:rPr>
        <w:t>三、强化应急管理机构建设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_Toc80221580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8297"/>
        </w:tabs>
        <w:ind w:firstLine="560"/>
        <w:rPr>
          <w:rFonts w:ascii="Times New Roman" w:hAnsi="Times New Roman" w:cs="Times New Roman" w:eastAsiaTheme="minorEastAsia"/>
          <w:smallCaps w:val="0"/>
          <w:sz w:val="21"/>
          <w:szCs w:val="22"/>
        </w:rPr>
      </w:pPr>
      <w:r>
        <w:fldChar w:fldCharType="begin"/>
      </w:r>
      <w:r>
        <w:instrText xml:space="preserve"> HYPERLINK \l "_Toc80221581" </w:instrText>
      </w:r>
      <w:r>
        <w:fldChar w:fldCharType="separate"/>
      </w:r>
      <w:r>
        <w:rPr>
          <w:rStyle w:val="46"/>
          <w:rFonts w:ascii="Times New Roman" w:hAnsi="Times New Roman"/>
        </w:rPr>
        <w:t>第二节 健全政策制度体系，提升依法履职能力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_Toc80221581 \h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"_Toc80221582" </w:instrText>
      </w:r>
      <w:r>
        <w:fldChar w:fldCharType="separate"/>
      </w:r>
      <w:r>
        <w:rPr>
          <w:rStyle w:val="46"/>
          <w:rFonts w:ascii="Times New Roman" w:hAnsi="Times New Roman"/>
        </w:rPr>
        <w:t>一、完善法治政策体系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_Toc80221582 \h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"_Toc80221583" </w:instrText>
      </w:r>
      <w:r>
        <w:fldChar w:fldCharType="separate"/>
      </w:r>
      <w:r>
        <w:rPr>
          <w:rStyle w:val="46"/>
          <w:rFonts w:ascii="Times New Roman" w:hAnsi="Times New Roman"/>
        </w:rPr>
        <w:t>二、提升监管执法能力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_Toc80221583 \h </w:instrText>
      </w:r>
      <w:r>
        <w:rPr>
          <w:rFonts w:ascii="Times New Roman" w:hAnsi="Times New Roman" w:cs="Times New Roman"/>
        </w:rPr>
        <w:fldChar w:fldCharType="separate"/>
      </w:r>
      <w:r>
        <w:rPr>
          <w:rFonts w:ascii="Times New Roman" w:hAnsi="Times New Roman" w:cs="Times New Roman"/>
        </w:rPr>
        <w:t>17</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"_Toc80221584" </w:instrText>
      </w:r>
      <w:r>
        <w:fldChar w:fldCharType="separate"/>
      </w:r>
      <w:r>
        <w:rPr>
          <w:rStyle w:val="46"/>
          <w:rFonts w:ascii="Times New Roman" w:hAnsi="Times New Roman"/>
        </w:rPr>
        <w:t>三、完善应急预案体系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_Toc80221584 \h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8297"/>
        </w:tabs>
        <w:ind w:firstLine="560"/>
        <w:rPr>
          <w:rFonts w:ascii="Times New Roman" w:hAnsi="Times New Roman" w:cs="Times New Roman" w:eastAsiaTheme="minorEastAsia"/>
          <w:smallCaps w:val="0"/>
          <w:sz w:val="21"/>
          <w:szCs w:val="22"/>
        </w:rPr>
      </w:pPr>
      <w:r>
        <w:fldChar w:fldCharType="begin"/>
      </w:r>
      <w:r>
        <w:instrText xml:space="preserve"> HYPERLINK \l "_Toc80221585" </w:instrText>
      </w:r>
      <w:r>
        <w:fldChar w:fldCharType="separate"/>
      </w:r>
      <w:r>
        <w:rPr>
          <w:rStyle w:val="46"/>
          <w:rFonts w:ascii="Times New Roman" w:hAnsi="Times New Roman"/>
        </w:rPr>
        <w:t>第三节 健全风险防控体系，提升综合防范能力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_Toc80221585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"_Toc80221586" </w:instrText>
      </w:r>
      <w:r>
        <w:fldChar w:fldCharType="separate"/>
      </w:r>
      <w:r>
        <w:rPr>
          <w:rStyle w:val="46"/>
          <w:rFonts w:ascii="Times New Roman" w:hAnsi="Times New Roman"/>
        </w:rPr>
        <w:t>一、加强安全风险源头治理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_Toc80221586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"_Toc80221587" </w:instrText>
      </w:r>
      <w:r>
        <w:fldChar w:fldCharType="separate"/>
      </w:r>
      <w:r>
        <w:rPr>
          <w:rStyle w:val="46"/>
          <w:rFonts w:ascii="Times New Roman" w:hAnsi="Times New Roman"/>
        </w:rPr>
        <w:t>二、加强安全风险普查评估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_Toc80221587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"_Toc80221588" </w:instrText>
      </w:r>
      <w:r>
        <w:fldChar w:fldCharType="separate"/>
      </w:r>
      <w:r>
        <w:rPr>
          <w:rStyle w:val="46"/>
          <w:rFonts w:ascii="Times New Roman" w:hAnsi="Times New Roman"/>
        </w:rPr>
        <w:t>三、强化多灾种和灾害链监测预警</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_Toc80221588 \h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"_Toc80221589" </w:instrText>
      </w:r>
      <w:r>
        <w:fldChar w:fldCharType="separate"/>
      </w:r>
      <w:r>
        <w:rPr>
          <w:rStyle w:val="46"/>
          <w:rFonts w:ascii="Times New Roman" w:hAnsi="Times New Roman"/>
        </w:rPr>
        <w:t>四、实施重点行业领域安全生产专项整治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_Toc80221589 \h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"_Toc80221590" </w:instrText>
      </w:r>
      <w:r>
        <w:fldChar w:fldCharType="separate"/>
      </w:r>
      <w:r>
        <w:rPr>
          <w:rStyle w:val="46"/>
          <w:rFonts w:ascii="Times New Roman" w:hAnsi="Times New Roman"/>
        </w:rPr>
        <w:t>五、推进自然灾害防治体系建设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_Toc80221590 \h </w:instrText>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8297"/>
        </w:tabs>
        <w:ind w:firstLine="560"/>
        <w:rPr>
          <w:rFonts w:ascii="Times New Roman" w:hAnsi="Times New Roman" w:cs="Times New Roman" w:eastAsiaTheme="minorEastAsia"/>
          <w:smallCaps w:val="0"/>
          <w:sz w:val="21"/>
          <w:szCs w:val="22"/>
        </w:rPr>
      </w:pPr>
      <w:r>
        <w:fldChar w:fldCharType="begin"/>
      </w:r>
      <w:r>
        <w:instrText xml:space="preserve"> HYPERLINK \l "_Toc80221591" </w:instrText>
      </w:r>
      <w:r>
        <w:fldChar w:fldCharType="separate"/>
      </w:r>
      <w:r>
        <w:rPr>
          <w:rStyle w:val="46"/>
          <w:rFonts w:ascii="Times New Roman" w:hAnsi="Times New Roman"/>
        </w:rPr>
        <w:t>第四节 健全救援力量体系，提升应急处置能力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_Toc80221591 \h </w:instrText>
      </w:r>
      <w:r>
        <w:rPr>
          <w:rFonts w:ascii="Times New Roman" w:hAnsi="Times New Roman" w:cs="Times New Roman"/>
        </w:rPr>
        <w:fldChar w:fldCharType="separate"/>
      </w:r>
      <w:r>
        <w:rPr>
          <w:rFonts w:ascii="Times New Roman" w:hAnsi="Times New Roman" w:cs="Times New Roman"/>
        </w:rPr>
        <w:t>34</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"_Toc80221592" </w:instrText>
      </w:r>
      <w:r>
        <w:fldChar w:fldCharType="separate"/>
      </w:r>
      <w:r>
        <w:rPr>
          <w:rStyle w:val="46"/>
          <w:rFonts w:ascii="Times New Roman" w:hAnsi="Times New Roman"/>
        </w:rPr>
        <w:t>一、强化救援力量建设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_Toc80221592 \h </w:instrText>
      </w:r>
      <w:r>
        <w:rPr>
          <w:rFonts w:ascii="Times New Roman" w:hAnsi="Times New Roman" w:cs="Times New Roman"/>
        </w:rPr>
        <w:fldChar w:fldCharType="separate"/>
      </w:r>
      <w:r>
        <w:rPr>
          <w:rFonts w:ascii="Times New Roman" w:hAnsi="Times New Roman" w:cs="Times New Roman"/>
        </w:rPr>
        <w:t>34</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"_Toc80221593" </w:instrText>
      </w:r>
      <w:r>
        <w:fldChar w:fldCharType="separate"/>
      </w:r>
      <w:r>
        <w:rPr>
          <w:rStyle w:val="46"/>
          <w:rFonts w:ascii="Times New Roman" w:hAnsi="Times New Roman"/>
        </w:rPr>
        <w:t>二、建设应急指挥中心</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_Toc80221593 \h </w:instrText>
      </w:r>
      <w:r>
        <w:rPr>
          <w:rFonts w:ascii="Times New Roman" w:hAnsi="Times New Roman" w:cs="Times New Roman"/>
        </w:rPr>
        <w:fldChar w:fldCharType="separate"/>
      </w:r>
      <w:r>
        <w:rPr>
          <w:rFonts w:ascii="Times New Roman" w:hAnsi="Times New Roman" w:cs="Times New Roman"/>
        </w:rPr>
        <w:t>36</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"_Toc80221594" </w:instrText>
      </w:r>
      <w:r>
        <w:fldChar w:fldCharType="separate"/>
      </w:r>
      <w:r>
        <w:rPr>
          <w:rStyle w:val="46"/>
          <w:rFonts w:ascii="Times New Roman" w:hAnsi="Times New Roman"/>
        </w:rPr>
        <w:t>三、健全应急响应机制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_Toc80221594 \h </w:instrText>
      </w:r>
      <w:r>
        <w:rPr>
          <w:rFonts w:ascii="Times New Roman" w:hAnsi="Times New Roman" w:cs="Times New Roman"/>
        </w:rPr>
        <w:fldChar w:fldCharType="separate"/>
      </w:r>
      <w:r>
        <w:rPr>
          <w:rFonts w:ascii="Times New Roman" w:hAnsi="Times New Roman" w:cs="Times New Roman"/>
        </w:rPr>
        <w:t>38</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"_Toc80221595" </w:instrText>
      </w:r>
      <w:r>
        <w:fldChar w:fldCharType="separate"/>
      </w:r>
      <w:r>
        <w:rPr>
          <w:rStyle w:val="46"/>
          <w:rFonts w:ascii="Times New Roman" w:hAnsi="Times New Roman"/>
        </w:rPr>
        <w:t>四、提升灾害救助能力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_Toc80221595 \h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8297"/>
        </w:tabs>
        <w:ind w:firstLine="560"/>
        <w:rPr>
          <w:rFonts w:ascii="Times New Roman" w:hAnsi="Times New Roman" w:cs="Times New Roman" w:eastAsiaTheme="minorEastAsia"/>
          <w:smallCaps w:val="0"/>
          <w:sz w:val="21"/>
          <w:szCs w:val="22"/>
        </w:rPr>
      </w:pPr>
      <w:r>
        <w:fldChar w:fldCharType="begin"/>
      </w:r>
      <w:r>
        <w:instrText xml:space="preserve"> HYPERLINK \l "_Toc80221596" </w:instrText>
      </w:r>
      <w:r>
        <w:fldChar w:fldCharType="separate"/>
      </w:r>
      <w:r>
        <w:rPr>
          <w:rStyle w:val="46"/>
          <w:rFonts w:ascii="Times New Roman" w:hAnsi="Times New Roman"/>
        </w:rPr>
        <w:t>第五节 健全多元支撑体系，提升系统保障能力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_Toc80221596 \h </w:instrText>
      </w:r>
      <w:r>
        <w:rPr>
          <w:rFonts w:ascii="Times New Roman" w:hAnsi="Times New Roman" w:cs="Times New Roman"/>
        </w:rPr>
        <w:fldChar w:fldCharType="separate"/>
      </w:r>
      <w:r>
        <w:rPr>
          <w:rFonts w:ascii="Times New Roman" w:hAnsi="Times New Roman" w:cs="Times New Roman"/>
        </w:rPr>
        <w:t>42</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"_Toc80221597" </w:instrText>
      </w:r>
      <w:r>
        <w:fldChar w:fldCharType="separate"/>
      </w:r>
      <w:r>
        <w:rPr>
          <w:rStyle w:val="46"/>
          <w:rFonts w:ascii="Times New Roman" w:hAnsi="Times New Roman"/>
        </w:rPr>
        <w:t>一、提升科技支撑保障能力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_Toc80221597 \h </w:instrText>
      </w:r>
      <w:r>
        <w:rPr>
          <w:rFonts w:ascii="Times New Roman" w:hAnsi="Times New Roman" w:cs="Times New Roman"/>
        </w:rPr>
        <w:fldChar w:fldCharType="separate"/>
      </w:r>
      <w:r>
        <w:rPr>
          <w:rFonts w:ascii="Times New Roman" w:hAnsi="Times New Roman" w:cs="Times New Roman"/>
        </w:rPr>
        <w:t>42</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"_Toc80221598" </w:instrText>
      </w:r>
      <w:r>
        <w:fldChar w:fldCharType="separate"/>
      </w:r>
      <w:r>
        <w:rPr>
          <w:rStyle w:val="46"/>
          <w:rFonts w:ascii="Times New Roman" w:hAnsi="Times New Roman"/>
        </w:rPr>
        <w:t>二、提升应急综合保障能力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_Toc80221598 \h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"_Toc80221599" </w:instrText>
      </w:r>
      <w:r>
        <w:fldChar w:fldCharType="separate"/>
      </w:r>
      <w:r>
        <w:rPr>
          <w:rStyle w:val="46"/>
          <w:rFonts w:ascii="Times New Roman" w:hAnsi="Times New Roman"/>
        </w:rPr>
        <w:t>三、提升区域协同保障能力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_Toc80221599 \h </w:instrText>
      </w:r>
      <w:r>
        <w:rPr>
          <w:rFonts w:ascii="Times New Roman" w:hAnsi="Times New Roman" w:cs="Times New Roman"/>
        </w:rPr>
        <w:fldChar w:fldCharType="separate"/>
      </w:r>
      <w:r>
        <w:rPr>
          <w:rFonts w:ascii="Times New Roman" w:hAnsi="Times New Roman" w:cs="Times New Roman"/>
        </w:rPr>
        <w:t>45</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"_Toc80221600" </w:instrText>
      </w:r>
      <w:r>
        <w:fldChar w:fldCharType="separate"/>
      </w:r>
      <w:r>
        <w:rPr>
          <w:rStyle w:val="46"/>
          <w:rFonts w:ascii="Times New Roman" w:hAnsi="Times New Roman"/>
        </w:rPr>
        <w:t>四、提升基层基础保障能力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_Toc80221600 \h </w:instrText>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8297"/>
        </w:tabs>
        <w:ind w:firstLine="560"/>
        <w:rPr>
          <w:rFonts w:ascii="Times New Roman" w:hAnsi="Times New Roman" w:cs="Times New Roman" w:eastAsiaTheme="minorEastAsia"/>
          <w:smallCaps w:val="0"/>
          <w:sz w:val="21"/>
          <w:szCs w:val="22"/>
        </w:rPr>
      </w:pPr>
      <w:r>
        <w:fldChar w:fldCharType="begin"/>
      </w:r>
      <w:r>
        <w:instrText xml:space="preserve"> HYPERLINK \l "_Toc80221601" </w:instrText>
      </w:r>
      <w:r>
        <w:fldChar w:fldCharType="separate"/>
      </w:r>
      <w:r>
        <w:rPr>
          <w:rStyle w:val="46"/>
          <w:rFonts w:ascii="Times New Roman" w:hAnsi="Times New Roman"/>
        </w:rPr>
        <w:t>第六节 健全社会共治体系，提升群防群治能力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_Toc80221601 \h </w:instrText>
      </w:r>
      <w:r>
        <w:rPr>
          <w:rFonts w:ascii="Times New Roman" w:hAnsi="Times New Roman" w:cs="Times New Roman"/>
        </w:rPr>
        <w:fldChar w:fldCharType="separate"/>
      </w:r>
      <w:r>
        <w:rPr>
          <w:rFonts w:ascii="Times New Roman" w:hAnsi="Times New Roman" w:cs="Times New Roman"/>
        </w:rPr>
        <w:t>48</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"_Toc80221602" </w:instrText>
      </w:r>
      <w:r>
        <w:fldChar w:fldCharType="separate"/>
      </w:r>
      <w:r>
        <w:rPr>
          <w:rStyle w:val="46"/>
          <w:rFonts w:ascii="Times New Roman" w:hAnsi="Times New Roman"/>
        </w:rPr>
        <w:t>一、推动社会协同治理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_Toc80221602 \h </w:instrText>
      </w:r>
      <w:r>
        <w:rPr>
          <w:rFonts w:ascii="Times New Roman" w:hAnsi="Times New Roman" w:cs="Times New Roman"/>
        </w:rPr>
        <w:fldChar w:fldCharType="separate"/>
      </w:r>
      <w:r>
        <w:rPr>
          <w:rFonts w:ascii="Times New Roman" w:hAnsi="Times New Roman" w:cs="Times New Roman"/>
        </w:rPr>
        <w:t>48</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"_Toc80221603" </w:instrText>
      </w:r>
      <w:r>
        <w:fldChar w:fldCharType="separate"/>
      </w:r>
      <w:r>
        <w:rPr>
          <w:rStyle w:val="46"/>
          <w:rFonts w:ascii="Times New Roman" w:hAnsi="Times New Roman"/>
        </w:rPr>
        <w:t>二、强化社会动员监督</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_Toc80221603 \h </w:instrText>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"_Toc80221604" </w:instrText>
      </w:r>
      <w:r>
        <w:fldChar w:fldCharType="separate"/>
      </w:r>
      <w:r>
        <w:rPr>
          <w:rStyle w:val="46"/>
          <w:rFonts w:ascii="Times New Roman" w:hAnsi="Times New Roman"/>
        </w:rPr>
        <w:t>三、加强安全文化建设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_Toc80221604 \h </w:instrText>
      </w:r>
      <w:r>
        <w:rPr>
          <w:rFonts w:ascii="Times New Roman" w:hAnsi="Times New Roman" w:cs="Times New Roman"/>
        </w:rPr>
        <w:fldChar w:fldCharType="separate"/>
      </w:r>
      <w:r>
        <w:rPr>
          <w:rFonts w:ascii="Times New Roman" w:hAnsi="Times New Roman" w:cs="Times New Roman"/>
        </w:rPr>
        <w:t>51</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297"/>
        </w:tabs>
        <w:rPr>
          <w:rFonts w:ascii="Times New Roman" w:hAnsi="Times New Roman" w:cs="Times New Roman" w:eastAsiaTheme="minorEastAsia"/>
          <w:bCs w:val="0"/>
          <w:caps w:val="0"/>
          <w:sz w:val="21"/>
          <w:szCs w:val="22"/>
        </w:rPr>
      </w:pPr>
      <w:r>
        <w:fldChar w:fldCharType="begin"/>
      </w:r>
      <w:r>
        <w:instrText xml:space="preserve"> HYPERLINK \l "_Toc80221605" </w:instrText>
      </w:r>
      <w:r>
        <w:fldChar w:fldCharType="separate"/>
      </w:r>
      <w:r>
        <w:rPr>
          <w:rStyle w:val="46"/>
          <w:rFonts w:ascii="Times New Roman" w:hAnsi="Times New Roman"/>
        </w:rPr>
        <w:t>第四章 规划投资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_Toc80221605 \h </w:instrText>
      </w:r>
      <w:r>
        <w:rPr>
          <w:rFonts w:ascii="Times New Roman" w:hAnsi="Times New Roman" w:cs="Times New Roman"/>
        </w:rPr>
        <w:fldChar w:fldCharType="separate"/>
      </w:r>
      <w:r>
        <w:rPr>
          <w:rFonts w:ascii="Times New Roman" w:hAnsi="Times New Roman" w:cs="Times New Roman"/>
        </w:rPr>
        <w:t>53</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297"/>
        </w:tabs>
        <w:rPr>
          <w:rFonts w:ascii="Times New Roman" w:hAnsi="Times New Roman" w:cs="Times New Roman" w:eastAsiaTheme="minorEastAsia"/>
          <w:bCs w:val="0"/>
          <w:caps w:val="0"/>
          <w:sz w:val="21"/>
          <w:szCs w:val="22"/>
        </w:rPr>
      </w:pPr>
      <w:r>
        <w:fldChar w:fldCharType="begin"/>
      </w:r>
      <w:r>
        <w:instrText xml:space="preserve"> HYPERLINK \l "_Toc80221606" </w:instrText>
      </w:r>
      <w:r>
        <w:fldChar w:fldCharType="separate"/>
      </w:r>
      <w:r>
        <w:rPr>
          <w:rStyle w:val="46"/>
          <w:rFonts w:ascii="Times New Roman" w:hAnsi="Times New Roman"/>
        </w:rPr>
        <w:t>第五章 保障措施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_Toc80221606 \h </w:instrText>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8297"/>
        </w:tabs>
        <w:ind w:firstLine="560"/>
        <w:rPr>
          <w:rFonts w:ascii="Times New Roman" w:hAnsi="Times New Roman" w:cs="Times New Roman" w:eastAsiaTheme="minorEastAsia"/>
          <w:smallCaps w:val="0"/>
          <w:sz w:val="21"/>
          <w:szCs w:val="22"/>
        </w:rPr>
      </w:pPr>
      <w:r>
        <w:fldChar w:fldCharType="begin"/>
      </w:r>
      <w:r>
        <w:instrText xml:space="preserve"> HYPERLINK \l "_Toc80221607" </w:instrText>
      </w:r>
      <w:r>
        <w:fldChar w:fldCharType="separate"/>
      </w:r>
      <w:r>
        <w:rPr>
          <w:rStyle w:val="46"/>
          <w:rFonts w:ascii="Times New Roman" w:hAnsi="Times New Roman"/>
        </w:rPr>
        <w:t>第一节 加强组织领导，落实政府保障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_Toc80221607 \h </w:instrText>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8297"/>
        </w:tabs>
        <w:ind w:firstLine="560"/>
        <w:rPr>
          <w:rFonts w:ascii="Times New Roman" w:hAnsi="Times New Roman" w:cs="Times New Roman" w:eastAsiaTheme="minorEastAsia"/>
          <w:smallCaps w:val="0"/>
          <w:sz w:val="21"/>
          <w:szCs w:val="22"/>
        </w:rPr>
      </w:pPr>
      <w:r>
        <w:fldChar w:fldCharType="begin"/>
      </w:r>
      <w:r>
        <w:instrText xml:space="preserve"> HYPERLINK \l "_Toc80221608" </w:instrText>
      </w:r>
      <w:r>
        <w:fldChar w:fldCharType="separate"/>
      </w:r>
      <w:r>
        <w:rPr>
          <w:rStyle w:val="46"/>
          <w:rFonts w:ascii="Times New Roman" w:hAnsi="Times New Roman"/>
        </w:rPr>
        <w:t>第二节 强化人才队伍，适应发展需求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_Toc80221608 \h </w:instrText>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8297"/>
        </w:tabs>
        <w:ind w:firstLine="560"/>
        <w:rPr>
          <w:rFonts w:ascii="Times New Roman" w:hAnsi="Times New Roman" w:cs="Times New Roman" w:eastAsiaTheme="minorEastAsia"/>
          <w:smallCaps w:val="0"/>
          <w:sz w:val="21"/>
          <w:szCs w:val="22"/>
        </w:rPr>
      </w:pPr>
      <w:r>
        <w:fldChar w:fldCharType="begin"/>
      </w:r>
      <w:r>
        <w:instrText xml:space="preserve"> HYPERLINK \l "_Toc80221609" </w:instrText>
      </w:r>
      <w:r>
        <w:fldChar w:fldCharType="separate"/>
      </w:r>
      <w:r>
        <w:rPr>
          <w:rStyle w:val="46"/>
          <w:rFonts w:ascii="Times New Roman" w:hAnsi="Times New Roman"/>
        </w:rPr>
        <w:t>第三节 拓宽融资渠道，确保资金投入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_Toc80221609 \h </w:instrText>
      </w:r>
      <w:r>
        <w:rPr>
          <w:rFonts w:ascii="Times New Roman" w:hAnsi="Times New Roman" w:cs="Times New Roman"/>
        </w:rPr>
        <w:fldChar w:fldCharType="separate"/>
      </w:r>
      <w:r>
        <w:rPr>
          <w:rFonts w:ascii="Times New Roman" w:hAnsi="Times New Roman" w:cs="Times New Roman"/>
        </w:rPr>
        <w:t>56</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8297"/>
        </w:tabs>
        <w:ind w:firstLine="560"/>
        <w:rPr>
          <w:rFonts w:ascii="Times New Roman" w:hAnsi="Times New Roman" w:cs="Times New Roman" w:eastAsiaTheme="minorEastAsia"/>
          <w:smallCaps w:val="0"/>
          <w:sz w:val="21"/>
          <w:szCs w:val="22"/>
        </w:rPr>
      </w:pPr>
      <w:r>
        <w:fldChar w:fldCharType="begin"/>
      </w:r>
      <w:r>
        <w:instrText xml:space="preserve"> HYPERLINK \l "_Toc80221610" </w:instrText>
      </w:r>
      <w:r>
        <w:fldChar w:fldCharType="separate"/>
      </w:r>
      <w:r>
        <w:rPr>
          <w:rStyle w:val="46"/>
          <w:rFonts w:ascii="Times New Roman" w:hAnsi="Times New Roman"/>
        </w:rPr>
        <w:t>第四节 加强考核评估，强化规划管理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_Toc80221610 \h </w:instrText>
      </w:r>
      <w:r>
        <w:rPr>
          <w:rFonts w:ascii="Times New Roman" w:hAnsi="Times New Roman" w:cs="Times New Roman"/>
        </w:rPr>
        <w:fldChar w:fldCharType="separate"/>
      </w:r>
      <w:r>
        <w:rPr>
          <w:rFonts w:ascii="Times New Roman" w:hAnsi="Times New Roman" w:cs="Times New Roman"/>
        </w:rPr>
        <w:t>56</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297"/>
        </w:tabs>
        <w:rPr>
          <w:rFonts w:ascii="Times New Roman" w:hAnsi="Times New Roman" w:cs="Times New Roman" w:eastAsiaTheme="minorEastAsia"/>
          <w:bCs w:val="0"/>
          <w:caps w:val="0"/>
          <w:sz w:val="21"/>
          <w:szCs w:val="22"/>
        </w:rPr>
      </w:pPr>
      <w:r>
        <w:fldChar w:fldCharType="begin"/>
      </w:r>
      <w:r>
        <w:instrText xml:space="preserve"> HYPERLINK \l "_Toc80221611" </w:instrText>
      </w:r>
      <w:r>
        <w:fldChar w:fldCharType="separate"/>
      </w:r>
      <w:r>
        <w:rPr>
          <w:rStyle w:val="46"/>
          <w:rFonts w:ascii="Times New Roman" w:hAnsi="Times New Roman"/>
          <w:shd w:val="clear" w:color="auto" w:fill="FFFFFF"/>
        </w:rPr>
        <w:t>附件一：区域概述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_Toc80221611 \h </w:instrText>
      </w:r>
      <w:r>
        <w:rPr>
          <w:rFonts w:ascii="Times New Roman" w:hAnsi="Times New Roman" w:cs="Times New Roman"/>
        </w:rPr>
        <w:fldChar w:fldCharType="separate"/>
      </w:r>
      <w:r>
        <w:rPr>
          <w:rFonts w:ascii="Times New Roman" w:hAnsi="Times New Roman" w:cs="Times New Roman"/>
        </w:rPr>
        <w:t>57</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8297"/>
        </w:tabs>
        <w:ind w:firstLine="560"/>
        <w:rPr>
          <w:rFonts w:ascii="Times New Roman" w:hAnsi="Times New Roman" w:cs="Times New Roman" w:eastAsiaTheme="minorEastAsia"/>
          <w:smallCaps w:val="0"/>
          <w:sz w:val="21"/>
          <w:szCs w:val="22"/>
        </w:rPr>
      </w:pPr>
      <w:r>
        <w:fldChar w:fldCharType="begin"/>
      </w:r>
      <w:r>
        <w:instrText xml:space="preserve"> HYPERLINK \l "_Toc80221612" </w:instrText>
      </w:r>
      <w:r>
        <w:fldChar w:fldCharType="separate"/>
      </w:r>
      <w:r>
        <w:rPr>
          <w:rStyle w:val="46"/>
          <w:rFonts w:ascii="Times New Roman" w:hAnsi="Times New Roman"/>
        </w:rPr>
        <w:t>第一节 自然地理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_Toc80221612 \h </w:instrText>
      </w:r>
      <w:r>
        <w:rPr>
          <w:rFonts w:ascii="Times New Roman" w:hAnsi="Times New Roman" w:cs="Times New Roman"/>
        </w:rPr>
        <w:fldChar w:fldCharType="separate"/>
      </w:r>
      <w:r>
        <w:rPr>
          <w:rFonts w:ascii="Times New Roman" w:hAnsi="Times New Roman" w:cs="Times New Roman"/>
        </w:rPr>
        <w:t>57</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"_Toc80221613" </w:instrText>
      </w:r>
      <w:r>
        <w:fldChar w:fldCharType="separate"/>
      </w:r>
      <w:r>
        <w:rPr>
          <w:rStyle w:val="46"/>
          <w:rFonts w:ascii="Times New Roman" w:hAnsi="Times New Roman"/>
        </w:rPr>
        <w:t>一、地理位置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_Toc80221613 \h </w:instrText>
      </w:r>
      <w:r>
        <w:rPr>
          <w:rFonts w:ascii="Times New Roman" w:hAnsi="Times New Roman" w:cs="Times New Roman"/>
        </w:rPr>
        <w:fldChar w:fldCharType="separate"/>
      </w:r>
      <w:r>
        <w:rPr>
          <w:rFonts w:ascii="Times New Roman" w:hAnsi="Times New Roman" w:cs="Times New Roman"/>
        </w:rPr>
        <w:t>57</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"_Toc80221614" </w:instrText>
      </w:r>
      <w:r>
        <w:fldChar w:fldCharType="separate"/>
      </w:r>
      <w:r>
        <w:rPr>
          <w:rStyle w:val="46"/>
          <w:rFonts w:ascii="Times New Roman" w:hAnsi="Times New Roman"/>
        </w:rPr>
        <w:t>二、地形地貌</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_Toc80221614 \h </w:instrText>
      </w:r>
      <w:r>
        <w:rPr>
          <w:rFonts w:ascii="Times New Roman" w:hAnsi="Times New Roman" w:cs="Times New Roman"/>
        </w:rPr>
        <w:fldChar w:fldCharType="separate"/>
      </w:r>
      <w:r>
        <w:rPr>
          <w:rFonts w:ascii="Times New Roman" w:hAnsi="Times New Roman" w:cs="Times New Roman"/>
        </w:rPr>
        <w:t>58</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"_Toc80221615" </w:instrText>
      </w:r>
      <w:r>
        <w:fldChar w:fldCharType="separate"/>
      </w:r>
      <w:r>
        <w:rPr>
          <w:rStyle w:val="46"/>
          <w:rFonts w:ascii="Times New Roman" w:hAnsi="Times New Roman"/>
        </w:rPr>
        <w:t>三、气候气象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_Toc80221615 \h </w:instrText>
      </w:r>
      <w:r>
        <w:rPr>
          <w:rFonts w:ascii="Times New Roman" w:hAnsi="Times New Roman" w:cs="Times New Roman"/>
        </w:rPr>
        <w:fldChar w:fldCharType="separate"/>
      </w:r>
      <w:r>
        <w:rPr>
          <w:rFonts w:ascii="Times New Roman" w:hAnsi="Times New Roman" w:cs="Times New Roman"/>
        </w:rPr>
        <w:t>59</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"_Toc80221616" </w:instrText>
      </w:r>
      <w:r>
        <w:fldChar w:fldCharType="separate"/>
      </w:r>
      <w:r>
        <w:rPr>
          <w:rStyle w:val="46"/>
          <w:rFonts w:ascii="Times New Roman" w:hAnsi="Times New Roman"/>
        </w:rPr>
        <w:t>四、水文条件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_Toc80221616 \h </w:instrText>
      </w:r>
      <w:r>
        <w:rPr>
          <w:rFonts w:ascii="Times New Roman" w:hAnsi="Times New Roman" w:cs="Times New Roman"/>
        </w:rPr>
        <w:fldChar w:fldCharType="separate"/>
      </w:r>
      <w:r>
        <w:rPr>
          <w:rFonts w:ascii="Times New Roman" w:hAnsi="Times New Roman" w:cs="Times New Roman"/>
        </w:rPr>
        <w:t>59</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8297"/>
        </w:tabs>
        <w:ind w:firstLine="560"/>
        <w:rPr>
          <w:rFonts w:ascii="Times New Roman" w:hAnsi="Times New Roman" w:cs="Times New Roman" w:eastAsiaTheme="minorEastAsia"/>
          <w:smallCaps w:val="0"/>
          <w:sz w:val="21"/>
          <w:szCs w:val="22"/>
        </w:rPr>
      </w:pPr>
      <w:r>
        <w:fldChar w:fldCharType="begin"/>
      </w:r>
      <w:r>
        <w:instrText xml:space="preserve"> HYPERLINK \l "_Toc80221617" </w:instrText>
      </w:r>
      <w:r>
        <w:fldChar w:fldCharType="separate"/>
      </w:r>
      <w:r>
        <w:rPr>
          <w:rStyle w:val="46"/>
          <w:rFonts w:ascii="Times New Roman" w:hAnsi="Times New Roman"/>
        </w:rPr>
        <w:t>第二节 社会经济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_Toc80221617 \h </w:instrText>
      </w:r>
      <w:r>
        <w:rPr>
          <w:rFonts w:ascii="Times New Roman" w:hAnsi="Times New Roman" w:cs="Times New Roman"/>
        </w:rPr>
        <w:fldChar w:fldCharType="separate"/>
      </w:r>
      <w:r>
        <w:rPr>
          <w:rFonts w:ascii="Times New Roman" w:hAnsi="Times New Roman" w:cs="Times New Roman"/>
        </w:rPr>
        <w:t>60</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"_Toc80221618" </w:instrText>
      </w:r>
      <w:r>
        <w:fldChar w:fldCharType="separate"/>
      </w:r>
      <w:r>
        <w:rPr>
          <w:rStyle w:val="46"/>
          <w:rFonts w:ascii="Times New Roman" w:hAnsi="Times New Roman"/>
        </w:rPr>
        <w:t>一、总体概述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_Toc80221618 \h </w:instrText>
      </w:r>
      <w:r>
        <w:rPr>
          <w:rFonts w:ascii="Times New Roman" w:hAnsi="Times New Roman" w:cs="Times New Roman"/>
        </w:rPr>
        <w:fldChar w:fldCharType="separate"/>
      </w:r>
      <w:r>
        <w:rPr>
          <w:rFonts w:ascii="Times New Roman" w:hAnsi="Times New Roman" w:cs="Times New Roman"/>
        </w:rPr>
        <w:t>60</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"_Toc80221619" </w:instrText>
      </w:r>
      <w:r>
        <w:fldChar w:fldCharType="separate"/>
      </w:r>
      <w:r>
        <w:rPr>
          <w:rStyle w:val="46"/>
          <w:rFonts w:ascii="Times New Roman" w:hAnsi="Times New Roman"/>
        </w:rPr>
        <w:t>二、产业基础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_Toc80221619 \h </w:instrText>
      </w:r>
      <w:r>
        <w:rPr>
          <w:rFonts w:ascii="Times New Roman" w:hAnsi="Times New Roman" w:cs="Times New Roman"/>
        </w:rPr>
        <w:fldChar w:fldCharType="separate"/>
      </w:r>
      <w:r>
        <w:rPr>
          <w:rFonts w:ascii="Times New Roman" w:hAnsi="Times New Roman" w:cs="Times New Roman"/>
        </w:rPr>
        <w:t>60</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"_Toc80221620" </w:instrText>
      </w:r>
      <w:r>
        <w:fldChar w:fldCharType="separate"/>
      </w:r>
      <w:r>
        <w:rPr>
          <w:rStyle w:val="46"/>
          <w:rFonts w:ascii="Times New Roman" w:hAnsi="Times New Roman"/>
        </w:rPr>
        <w:t>三、道路交通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_Toc80221620 \h </w:instrText>
      </w:r>
      <w:r>
        <w:rPr>
          <w:rFonts w:ascii="Times New Roman" w:hAnsi="Times New Roman" w:cs="Times New Roman"/>
        </w:rPr>
        <w:fldChar w:fldCharType="separate"/>
      </w:r>
      <w:r>
        <w:rPr>
          <w:rFonts w:ascii="Times New Roman" w:hAnsi="Times New Roman" w:cs="Times New Roman"/>
        </w:rPr>
        <w:t>61</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"_Toc80221621" </w:instrText>
      </w:r>
      <w:r>
        <w:fldChar w:fldCharType="separate"/>
      </w:r>
      <w:r>
        <w:rPr>
          <w:rStyle w:val="46"/>
          <w:rFonts w:ascii="Times New Roman" w:hAnsi="Times New Roman"/>
        </w:rPr>
        <w:t>四、发展规划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_Toc80221621 \h </w:instrText>
      </w:r>
      <w:r>
        <w:rPr>
          <w:rFonts w:ascii="Times New Roman" w:hAnsi="Times New Roman" w:cs="Times New Roman"/>
        </w:rPr>
        <w:fldChar w:fldCharType="separate"/>
      </w:r>
      <w:r>
        <w:rPr>
          <w:rFonts w:ascii="Times New Roman" w:hAnsi="Times New Roman" w:cs="Times New Roman"/>
        </w:rPr>
        <w:t>62</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297"/>
        </w:tabs>
        <w:rPr>
          <w:rFonts w:ascii="Times New Roman" w:hAnsi="Times New Roman" w:cs="Times New Roman" w:eastAsiaTheme="minorEastAsia"/>
          <w:bCs w:val="0"/>
          <w:caps w:val="0"/>
          <w:sz w:val="21"/>
          <w:szCs w:val="22"/>
        </w:rPr>
      </w:pPr>
      <w:r>
        <w:fldChar w:fldCharType="begin"/>
      </w:r>
      <w:r>
        <w:instrText xml:space="preserve"> HYPERLINK \l "_Toc80221622" </w:instrText>
      </w:r>
      <w:r>
        <w:fldChar w:fldCharType="separate"/>
      </w:r>
      <w:r>
        <w:rPr>
          <w:rStyle w:val="46"/>
          <w:rFonts w:ascii="Times New Roman" w:hAnsi="Times New Roman"/>
        </w:rPr>
        <w:t>附件二 风险分析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_Toc80221622 \h </w:instrText>
      </w:r>
      <w:r>
        <w:rPr>
          <w:rFonts w:ascii="Times New Roman" w:hAnsi="Times New Roman" w:cs="Times New Roman"/>
        </w:rPr>
        <w:fldChar w:fldCharType="separate"/>
      </w:r>
      <w:r>
        <w:rPr>
          <w:rFonts w:ascii="Times New Roman" w:hAnsi="Times New Roman" w:cs="Times New Roman"/>
        </w:rPr>
        <w:t>63</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8297"/>
        </w:tabs>
        <w:ind w:firstLine="560"/>
        <w:rPr>
          <w:rFonts w:ascii="Times New Roman" w:hAnsi="Times New Roman" w:cs="Times New Roman" w:eastAsiaTheme="minorEastAsia"/>
          <w:smallCaps w:val="0"/>
          <w:sz w:val="21"/>
          <w:szCs w:val="22"/>
        </w:rPr>
      </w:pPr>
      <w:r>
        <w:fldChar w:fldCharType="begin"/>
      </w:r>
      <w:r>
        <w:instrText xml:space="preserve"> HYPERLINK \l "_Toc80221623" </w:instrText>
      </w:r>
      <w:r>
        <w:fldChar w:fldCharType="separate"/>
      </w:r>
      <w:r>
        <w:rPr>
          <w:rStyle w:val="46"/>
          <w:rFonts w:ascii="Times New Roman" w:hAnsi="Times New Roman"/>
        </w:rPr>
        <w:t>第一节 安全生产风险</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_Toc80221623 \h </w:instrText>
      </w:r>
      <w:r>
        <w:rPr>
          <w:rFonts w:ascii="Times New Roman" w:hAnsi="Times New Roman" w:cs="Times New Roman"/>
        </w:rPr>
        <w:fldChar w:fldCharType="separate"/>
      </w:r>
      <w:r>
        <w:rPr>
          <w:rFonts w:ascii="Times New Roman" w:hAnsi="Times New Roman" w:cs="Times New Roman"/>
        </w:rPr>
        <w:t>63</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"_Toc80221624" </w:instrText>
      </w:r>
      <w:r>
        <w:fldChar w:fldCharType="separate"/>
      </w:r>
      <w:r>
        <w:rPr>
          <w:rStyle w:val="46"/>
          <w:rFonts w:ascii="Times New Roman" w:hAnsi="Times New Roman"/>
          <w:snapToGrid w:val="0"/>
        </w:rPr>
        <w:t>一、建设施工安全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_Toc80221624 \h </w:instrText>
      </w:r>
      <w:r>
        <w:rPr>
          <w:rFonts w:ascii="Times New Roman" w:hAnsi="Times New Roman" w:cs="Times New Roman"/>
        </w:rPr>
        <w:fldChar w:fldCharType="separate"/>
      </w:r>
      <w:r>
        <w:rPr>
          <w:rFonts w:ascii="Times New Roman" w:hAnsi="Times New Roman" w:cs="Times New Roman"/>
        </w:rPr>
        <w:t>63</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"_Toc80221625" </w:instrText>
      </w:r>
      <w:r>
        <w:fldChar w:fldCharType="separate"/>
      </w:r>
      <w:r>
        <w:rPr>
          <w:rStyle w:val="46"/>
          <w:rFonts w:ascii="Times New Roman" w:hAnsi="Times New Roman"/>
          <w:snapToGrid w:val="0"/>
        </w:rPr>
        <w:t>二、道路交通安全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_Toc80221625 \h </w:instrText>
      </w:r>
      <w:r>
        <w:rPr>
          <w:rFonts w:ascii="Times New Roman" w:hAnsi="Times New Roman" w:cs="Times New Roman"/>
        </w:rPr>
        <w:fldChar w:fldCharType="separate"/>
      </w:r>
      <w:r>
        <w:rPr>
          <w:rFonts w:ascii="Times New Roman" w:hAnsi="Times New Roman" w:cs="Times New Roman"/>
        </w:rPr>
        <w:t>63</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"_Toc80221626" </w:instrText>
      </w:r>
      <w:r>
        <w:fldChar w:fldCharType="separate"/>
      </w:r>
      <w:r>
        <w:rPr>
          <w:rStyle w:val="46"/>
          <w:rFonts w:ascii="Times New Roman" w:hAnsi="Times New Roman"/>
          <w:snapToGrid w:val="0"/>
        </w:rPr>
        <w:t>三、工商贸安全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_Toc80221626 \h </w:instrText>
      </w:r>
      <w:r>
        <w:rPr>
          <w:rFonts w:ascii="Times New Roman" w:hAnsi="Times New Roman" w:cs="Times New Roman"/>
        </w:rPr>
        <w:fldChar w:fldCharType="separate"/>
      </w:r>
      <w:r>
        <w:rPr>
          <w:rFonts w:ascii="Times New Roman" w:hAnsi="Times New Roman" w:cs="Times New Roman"/>
        </w:rPr>
        <w:t>64</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"_Toc80221627" </w:instrText>
      </w:r>
      <w:r>
        <w:fldChar w:fldCharType="separate"/>
      </w:r>
      <w:r>
        <w:rPr>
          <w:rStyle w:val="46"/>
          <w:rFonts w:ascii="Times New Roman" w:hAnsi="Times New Roman"/>
          <w:snapToGrid w:val="0"/>
        </w:rPr>
        <w:t>四、消防安全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_Toc80221627 \h </w:instrText>
      </w:r>
      <w:r>
        <w:rPr>
          <w:rFonts w:ascii="Times New Roman" w:hAnsi="Times New Roman" w:cs="Times New Roman"/>
        </w:rPr>
        <w:fldChar w:fldCharType="separate"/>
      </w:r>
      <w:r>
        <w:rPr>
          <w:rFonts w:ascii="Times New Roman" w:hAnsi="Times New Roman" w:cs="Times New Roman"/>
        </w:rPr>
        <w:t>64</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"_Toc80221628" </w:instrText>
      </w:r>
      <w:r>
        <w:fldChar w:fldCharType="separate"/>
      </w:r>
      <w:r>
        <w:rPr>
          <w:rStyle w:val="46"/>
          <w:rFonts w:ascii="Times New Roman" w:hAnsi="Times New Roman"/>
          <w:snapToGrid w:val="0"/>
        </w:rPr>
        <w:t>五、海上安全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_Toc80221628 \h </w:instrText>
      </w:r>
      <w:r>
        <w:rPr>
          <w:rFonts w:ascii="Times New Roman" w:hAnsi="Times New Roman" w:cs="Times New Roman"/>
        </w:rPr>
        <w:fldChar w:fldCharType="separate"/>
      </w:r>
      <w:r>
        <w:rPr>
          <w:rFonts w:ascii="Times New Roman" w:hAnsi="Times New Roman" w:cs="Times New Roman"/>
        </w:rPr>
        <w:t>65</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8297"/>
        </w:tabs>
        <w:ind w:firstLine="560"/>
        <w:rPr>
          <w:rFonts w:ascii="Times New Roman" w:hAnsi="Times New Roman" w:cs="Times New Roman" w:eastAsiaTheme="minorEastAsia"/>
          <w:smallCaps w:val="0"/>
          <w:sz w:val="21"/>
          <w:szCs w:val="22"/>
        </w:rPr>
      </w:pPr>
      <w:r>
        <w:fldChar w:fldCharType="begin"/>
      </w:r>
      <w:r>
        <w:instrText xml:space="preserve"> HYPERLINK \l "_Toc80221629" </w:instrText>
      </w:r>
      <w:r>
        <w:fldChar w:fldCharType="separate"/>
      </w:r>
      <w:r>
        <w:rPr>
          <w:rStyle w:val="46"/>
          <w:rFonts w:ascii="Times New Roman" w:hAnsi="Times New Roman"/>
        </w:rPr>
        <w:t>第二节 自然灾害风险</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_Toc80221629 \h </w:instrText>
      </w:r>
      <w:r>
        <w:rPr>
          <w:rFonts w:ascii="Times New Roman" w:hAnsi="Times New Roman" w:cs="Times New Roman"/>
        </w:rPr>
        <w:fldChar w:fldCharType="separate"/>
      </w:r>
      <w:r>
        <w:rPr>
          <w:rFonts w:ascii="Times New Roman" w:hAnsi="Times New Roman" w:cs="Times New Roman"/>
        </w:rPr>
        <w:t>65</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"_Toc80221630" </w:instrText>
      </w:r>
      <w:r>
        <w:fldChar w:fldCharType="separate"/>
      </w:r>
      <w:r>
        <w:rPr>
          <w:rStyle w:val="46"/>
          <w:rFonts w:ascii="Times New Roman" w:hAnsi="Times New Roman"/>
          <w:snapToGrid w:val="0"/>
        </w:rPr>
        <w:t>一、台风暴雨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_Toc80221630 \h </w:instrText>
      </w:r>
      <w:r>
        <w:rPr>
          <w:rFonts w:ascii="Times New Roman" w:hAnsi="Times New Roman" w:cs="Times New Roman"/>
        </w:rPr>
        <w:fldChar w:fldCharType="separate"/>
      </w:r>
      <w:r>
        <w:rPr>
          <w:rFonts w:ascii="Times New Roman" w:hAnsi="Times New Roman" w:cs="Times New Roman"/>
        </w:rPr>
        <w:t>65</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"_Toc80221631" </w:instrText>
      </w:r>
      <w:r>
        <w:fldChar w:fldCharType="separate"/>
      </w:r>
      <w:r>
        <w:rPr>
          <w:rStyle w:val="46"/>
          <w:rFonts w:ascii="Times New Roman" w:hAnsi="Times New Roman"/>
          <w:snapToGrid w:val="0"/>
        </w:rPr>
        <w:t>二、地震灾害</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_Toc80221631 \h </w:instrText>
      </w:r>
      <w:r>
        <w:rPr>
          <w:rFonts w:ascii="Times New Roman" w:hAnsi="Times New Roman" w:cs="Times New Roman"/>
        </w:rPr>
        <w:fldChar w:fldCharType="separate"/>
      </w:r>
      <w:r>
        <w:rPr>
          <w:rFonts w:ascii="Times New Roman" w:hAnsi="Times New Roman" w:cs="Times New Roman"/>
        </w:rPr>
        <w:t>66</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"_Toc80221632" </w:instrText>
      </w:r>
      <w:r>
        <w:fldChar w:fldCharType="separate"/>
      </w:r>
      <w:r>
        <w:rPr>
          <w:rStyle w:val="46"/>
          <w:rFonts w:ascii="Times New Roman" w:hAnsi="Times New Roman"/>
          <w:snapToGrid w:val="0"/>
        </w:rPr>
        <w:t>三、地质灾害</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_Toc80221632 \h </w:instrText>
      </w:r>
      <w:r>
        <w:rPr>
          <w:rFonts w:ascii="Times New Roman" w:hAnsi="Times New Roman" w:cs="Times New Roman"/>
        </w:rPr>
        <w:fldChar w:fldCharType="separate"/>
      </w:r>
      <w:r>
        <w:rPr>
          <w:rFonts w:ascii="Times New Roman" w:hAnsi="Times New Roman" w:cs="Times New Roman"/>
        </w:rPr>
        <w:t>66</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"_Toc80221633" </w:instrText>
      </w:r>
      <w:r>
        <w:fldChar w:fldCharType="separate"/>
      </w:r>
      <w:r>
        <w:rPr>
          <w:rStyle w:val="46"/>
          <w:rFonts w:ascii="Times New Roman" w:hAnsi="Times New Roman"/>
          <w:snapToGrid w:val="0"/>
        </w:rPr>
        <w:t>四、海洋灾害</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_Toc80221633 \h </w:instrText>
      </w:r>
      <w:r>
        <w:rPr>
          <w:rFonts w:ascii="Times New Roman" w:hAnsi="Times New Roman" w:cs="Times New Roman"/>
        </w:rPr>
        <w:fldChar w:fldCharType="separate"/>
      </w:r>
      <w:r>
        <w:rPr>
          <w:rFonts w:ascii="Times New Roman" w:hAnsi="Times New Roman" w:cs="Times New Roman"/>
        </w:rPr>
        <w:t>66</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"_Toc80221634" </w:instrText>
      </w:r>
      <w:r>
        <w:fldChar w:fldCharType="separate"/>
      </w:r>
      <w:r>
        <w:rPr>
          <w:rStyle w:val="46"/>
          <w:rFonts w:ascii="Times New Roman" w:hAnsi="Times New Roman"/>
          <w:snapToGrid w:val="0"/>
        </w:rPr>
        <w:t>五、森林火灾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_Toc80221634 \h </w:instrText>
      </w:r>
      <w:r>
        <w:rPr>
          <w:rFonts w:ascii="Times New Roman" w:hAnsi="Times New Roman" w:cs="Times New Roman"/>
        </w:rPr>
        <w:fldChar w:fldCharType="separate"/>
      </w:r>
      <w:r>
        <w:rPr>
          <w:rFonts w:ascii="Times New Roman" w:hAnsi="Times New Roman" w:cs="Times New Roman"/>
        </w:rPr>
        <w:t>67</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8297"/>
        </w:tabs>
        <w:ind w:firstLine="560"/>
        <w:rPr>
          <w:rFonts w:ascii="Times New Roman" w:hAnsi="Times New Roman" w:cs="Times New Roman" w:eastAsiaTheme="minorEastAsia"/>
          <w:smallCaps w:val="0"/>
          <w:sz w:val="21"/>
          <w:szCs w:val="22"/>
        </w:rPr>
      </w:pPr>
      <w:r>
        <w:fldChar w:fldCharType="begin"/>
      </w:r>
      <w:r>
        <w:instrText xml:space="preserve"> HYPERLINK \l "_Toc80221635" </w:instrText>
      </w:r>
      <w:r>
        <w:fldChar w:fldCharType="separate"/>
      </w:r>
      <w:r>
        <w:rPr>
          <w:rStyle w:val="46"/>
          <w:rFonts w:ascii="Times New Roman" w:hAnsi="Times New Roman"/>
        </w:rPr>
        <w:t>第三节 灾害事故情况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_Toc80221635 \h </w:instrText>
      </w:r>
      <w:r>
        <w:rPr>
          <w:rFonts w:ascii="Times New Roman" w:hAnsi="Times New Roman" w:cs="Times New Roman"/>
        </w:rPr>
        <w:fldChar w:fldCharType="separate"/>
      </w:r>
      <w:r>
        <w:rPr>
          <w:rFonts w:ascii="Times New Roman" w:hAnsi="Times New Roman" w:cs="Times New Roman"/>
        </w:rPr>
        <w:t>67</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"_Toc80221636" </w:instrText>
      </w:r>
      <w:r>
        <w:fldChar w:fldCharType="separate"/>
      </w:r>
      <w:r>
        <w:rPr>
          <w:rStyle w:val="46"/>
          <w:rFonts w:ascii="Times New Roman" w:hAnsi="Times New Roman"/>
          <w:snapToGrid w:val="0"/>
        </w:rPr>
        <w:t>一、自然灾害（2020年）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_Toc80221636 \h </w:instrText>
      </w:r>
      <w:r>
        <w:rPr>
          <w:rFonts w:ascii="Times New Roman" w:hAnsi="Times New Roman" w:cs="Times New Roman"/>
        </w:rPr>
        <w:fldChar w:fldCharType="separate"/>
      </w:r>
      <w:r>
        <w:rPr>
          <w:rFonts w:ascii="Times New Roman" w:hAnsi="Times New Roman" w:cs="Times New Roman"/>
        </w:rPr>
        <w:t>67</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7"/>
        </w:tabs>
        <w:ind w:firstLine="560"/>
        <w:rPr>
          <w:rFonts w:ascii="Times New Roman" w:hAnsi="Times New Roman" w:cs="Times New Roman" w:eastAsiaTheme="minorEastAsia"/>
          <w:iCs w:val="0"/>
          <w:sz w:val="21"/>
          <w:szCs w:val="22"/>
        </w:rPr>
      </w:pPr>
      <w:r>
        <w:fldChar w:fldCharType="begin"/>
      </w:r>
      <w:r>
        <w:instrText xml:space="preserve"> HYPERLINK \l "_Toc80221637" </w:instrText>
      </w:r>
      <w:r>
        <w:fldChar w:fldCharType="separate"/>
      </w:r>
      <w:r>
        <w:rPr>
          <w:rStyle w:val="46"/>
          <w:rFonts w:ascii="Times New Roman" w:hAnsi="Times New Roman"/>
          <w:snapToGrid w:val="0"/>
        </w:rPr>
        <w:t>二、安全事故（2020年）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_Toc80221637 \h </w:instrText>
      </w:r>
      <w:r>
        <w:rPr>
          <w:rFonts w:ascii="Times New Roman" w:hAnsi="Times New Roman" w:cs="Times New Roman"/>
        </w:rPr>
        <w:fldChar w:fldCharType="separate"/>
      </w:r>
      <w:r>
        <w:rPr>
          <w:rFonts w:ascii="Times New Roman" w:hAnsi="Times New Roman" w:cs="Times New Roman"/>
        </w:rPr>
        <w:t>67</w:t>
      </w:r>
      <w:r>
        <w:rPr>
          <w:rFonts w:ascii="Times New Roman" w:hAnsi="Times New Roman" w:cs="Times New Roman"/>
        </w:rPr>
        <w:fldChar w:fldCharType="end"/>
      </w:r>
      <w:r>
        <w:rPr>
          <w:rFonts w:ascii="Times New Roman" w:hAnsi="Times New Roman" w:cs="Times New Roman"/>
        </w:rPr>
        <w:fldChar w:fldCharType="end"/>
      </w:r>
    </w:p>
    <w:p>
      <w:pPr>
        <w:spacing w:line="240" w:lineRule="auto"/>
        <w:ind w:firstLine="480"/>
      </w:pPr>
      <w:r>
        <w:rPr>
          <w:rFonts w:eastAsia="黑体"/>
          <w:bCs/>
          <w:color w:val="000000"/>
          <w:kern w:val="44"/>
          <w:sz w:val="24"/>
          <w:szCs w:val="20"/>
        </w:rPr>
        <w:fldChar w:fldCharType="end"/>
      </w:r>
      <w:r>
        <w:rPr>
          <w:rFonts w:eastAsia="黑体"/>
          <w:b/>
          <w:sz w:val="24"/>
        </w:rPr>
        <w:t xml:space="preserve"> </w:t>
      </w:r>
    </w:p>
    <w:p>
      <w:pPr>
        <w:ind w:firstLine="640"/>
        <w:rPr>
          <w:color w:val="000000"/>
        </w:rPr>
        <w:sectPr>
          <w:pgSz w:w="11907" w:h="16840"/>
          <w:pgMar w:top="1440" w:right="1800" w:bottom="1440" w:left="1800" w:header="1134" w:footer="1134" w:gutter="0"/>
          <w:pgNumType w:start="1"/>
          <w:cols w:space="720" w:num="1"/>
          <w:docGrid w:linePitch="435" w:charSpace="0"/>
        </w:sectPr>
      </w:pPr>
    </w:p>
    <w:p>
      <w:pPr>
        <w:ind w:firstLine="640"/>
        <w:rPr>
          <w:snapToGrid w:val="0"/>
        </w:rPr>
      </w:pPr>
      <w:bookmarkStart w:id="35" w:name="_Toc359512489"/>
      <w:r>
        <w:rPr>
          <w:snapToGrid w:val="0"/>
        </w:rPr>
        <w:t>为深化“十四五”时期深圳市深汕特别合作区（以下简称“合作区”）应急管理事业改革发展，有效防范化解重大安全风险，全面提高各类灾害事故应对处置能力，依据国家、省、市应急管理领域上位规划和《</w:t>
      </w:r>
      <w:r>
        <w:rPr>
          <w:rFonts w:hint="eastAsia"/>
          <w:snapToGrid w:val="0"/>
        </w:rPr>
        <w:t>深圳市</w:t>
      </w:r>
      <w:r>
        <w:rPr>
          <w:snapToGrid w:val="0"/>
        </w:rPr>
        <w:t>深汕特别合作区国民经济和社会发展第十四个五年规划纲要》，制定本规划。</w:t>
      </w:r>
    </w:p>
    <w:p>
      <w:pPr>
        <w:pStyle w:val="2"/>
        <w:spacing w:line="900" w:lineRule="exact"/>
        <w:rPr>
          <w:szCs w:val="36"/>
        </w:rPr>
      </w:pPr>
      <w:bookmarkStart w:id="36" w:name="_Toc80221568"/>
      <w:r>
        <w:rPr>
          <w:szCs w:val="36"/>
        </w:rPr>
        <w:t xml:space="preserve">第一章 </w:t>
      </w:r>
      <w:bookmarkEnd w:id="35"/>
      <w:r>
        <w:rPr>
          <w:szCs w:val="36"/>
        </w:rPr>
        <w:t>基础与形势</w:t>
      </w:r>
      <w:bookmarkEnd w:id="36"/>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Pr>
        <w:pStyle w:val="3"/>
      </w:pPr>
      <w:bookmarkStart w:id="37" w:name="_Toc80221569"/>
      <w:r>
        <w:t>第一节 规划基础</w:t>
      </w:r>
      <w:bookmarkEnd w:id="37"/>
    </w:p>
    <w:p>
      <w:pPr>
        <w:ind w:firstLine="640"/>
        <w:rPr>
          <w:snapToGrid w:val="0"/>
        </w:rPr>
      </w:pPr>
      <w:r>
        <w:rPr>
          <w:snapToGrid w:val="0"/>
        </w:rPr>
        <w:t>“十三五”时期，是深汕合作区发展史上具有极具重要历史意义的开篇节点，合作区实现从“深汕两方共管”到“深圳全面主导”的突破性转变，经济社会高速发展，区域环境大幅改善。在区党工委、管委会的正确领导下，在省、市应急管理部门的具体指导下，合作区采取有效措施，统筹推进应急管理、安全生产和防灾减灾救灾各项工作，逐步为合作区高质量发展筑起安全屏障，实现新时代应急管理工作的良好开局。</w:t>
      </w:r>
    </w:p>
    <w:p>
      <w:pPr>
        <w:ind w:firstLine="640"/>
        <w:rPr>
          <w:snapToGrid w:val="0"/>
        </w:rPr>
      </w:pPr>
      <w:r>
        <w:rPr>
          <w:rFonts w:eastAsia="楷体_GB2312"/>
          <w:snapToGrid w:val="0"/>
        </w:rPr>
        <w:t>一是应急管理体制逐步建立。</w:t>
      </w:r>
      <w:r>
        <w:rPr>
          <w:snapToGrid w:val="0"/>
        </w:rPr>
        <w:t>合作区先后成立了应急委、安委会、减灾委、三防指挥部、森林防灭火指挥部，统筹协调应急管理相关领域工作。2019年3月，全新组建合作区应急管理局，列入区直正处级工作机构。推动各镇完善安全管理机构，鹅埠、小漠、赤石、</w:t>
      </w:r>
      <w:r>
        <w:rPr>
          <w:rFonts w:eastAsia="仿宋"/>
          <w:snapToGrid w:val="0"/>
        </w:rPr>
        <w:t>鲘</w:t>
      </w:r>
      <w:r>
        <w:rPr>
          <w:snapToGrid w:val="0"/>
        </w:rPr>
        <w:t>门均设置安监站，配备专职安全管理人员。</w:t>
      </w:r>
    </w:p>
    <w:p>
      <w:pPr>
        <w:ind w:firstLine="640"/>
        <w:rPr>
          <w:snapToGrid w:val="0"/>
        </w:rPr>
      </w:pPr>
      <w:r>
        <w:rPr>
          <w:rFonts w:eastAsia="楷体_GB2312"/>
          <w:snapToGrid w:val="0"/>
        </w:rPr>
        <w:t>二是安全</w:t>
      </w:r>
      <w:r>
        <w:rPr>
          <w:rFonts w:hint="eastAsia" w:eastAsia="楷体_GB2312"/>
          <w:snapToGrid w:val="0"/>
        </w:rPr>
        <w:t>管理</w:t>
      </w:r>
      <w:r>
        <w:rPr>
          <w:rFonts w:eastAsia="楷体_GB2312"/>
          <w:snapToGrid w:val="0"/>
        </w:rPr>
        <w:t>责任不断压实。</w:t>
      </w:r>
      <w:r>
        <w:rPr>
          <w:snapToGrid w:val="0"/>
        </w:rPr>
        <w:t>依据“三管三必须”</w:t>
      </w:r>
      <w:r>
        <w:rPr>
          <w:rStyle w:val="48"/>
          <w:snapToGrid w:val="0"/>
        </w:rPr>
        <w:footnoteReference w:id="0"/>
      </w:r>
      <w:r>
        <w:rPr>
          <w:snapToGrid w:val="0"/>
        </w:rPr>
        <w:t>的要求，制定了《深汕特别合作区党政部门及有关单位安全生产工作职责规定》，细化规定了负有安全生产监管职责部门、相关行业（领域）主管部门和党委、政府其他工作部门安全生产监管责任。同时，每年与党工委各单位及各镇签订安全生产和消防工作责任书，层层压实安全监管责任。</w:t>
      </w:r>
    </w:p>
    <w:p>
      <w:pPr>
        <w:ind w:firstLine="640"/>
        <w:rPr>
          <w:snapToGrid w:val="0"/>
        </w:rPr>
      </w:pPr>
      <w:r>
        <w:rPr>
          <w:rFonts w:eastAsia="楷体_GB2312"/>
          <w:snapToGrid w:val="0"/>
        </w:rPr>
        <w:t>三是安全风险防控体系初步建立。</w:t>
      </w:r>
      <w:r>
        <w:rPr>
          <w:snapToGrid w:val="0"/>
        </w:rPr>
        <w:t>全面开展高危行业领域专项治理，采用“四不两直”</w:t>
      </w:r>
      <w:r>
        <w:rPr>
          <w:rStyle w:val="48"/>
          <w:snapToGrid w:val="0"/>
        </w:rPr>
        <w:footnoteReference w:id="1"/>
      </w:r>
      <w:r>
        <w:rPr>
          <w:snapToGrid w:val="0"/>
        </w:rPr>
        <w:t>等方式对各行业领域进行安全生产检查。持续进行灾害风险隐患排查治理，识别管控山洪灾害、地质灾害、森林火灾、危险建筑边坡、低洼内涝黑点、临建设施、建筑工地、“山边、海边、河边”等风险隐患点118处。</w:t>
      </w:r>
    </w:p>
    <w:p>
      <w:pPr>
        <w:ind w:firstLine="640"/>
        <w:rPr>
          <w:snapToGrid w:val="0"/>
        </w:rPr>
      </w:pPr>
      <w:r>
        <w:rPr>
          <w:rFonts w:eastAsia="楷体_GB2312"/>
          <w:snapToGrid w:val="0"/>
        </w:rPr>
        <w:t>四是应急预案体系</w:t>
      </w:r>
      <w:r>
        <w:rPr>
          <w:rFonts w:hint="eastAsia" w:eastAsia="楷体_GB2312"/>
          <w:snapToGrid w:val="0"/>
        </w:rPr>
        <w:t>基本</w:t>
      </w:r>
      <w:r>
        <w:rPr>
          <w:rFonts w:eastAsia="楷体_GB2312"/>
          <w:snapToGrid w:val="0"/>
        </w:rPr>
        <w:t>完善。</w:t>
      </w:r>
      <w:r>
        <w:rPr>
          <w:snapToGrid w:val="0"/>
        </w:rPr>
        <w:t>印发实施《深汕特别合作区突发事件总体应急预案（试行）》，明确应急组织机构和职责、预防与预警、应急处置、后期处置、应急保障、监督管理、应急救援程序、队伍等内容。积极推进生产安全事故、地质灾害、森林火灾、防汛、防台风等34个专项预案编制和演练，督促各部门各镇推进应急预案制修订工作，初步建立覆盖全区、各行业、各单位的应急预案体系。</w:t>
      </w:r>
    </w:p>
    <w:p>
      <w:pPr>
        <w:ind w:firstLine="640"/>
      </w:pPr>
      <w:r>
        <w:rPr>
          <w:rFonts w:eastAsia="楷体_GB2312"/>
          <w:snapToGrid w:val="0"/>
        </w:rPr>
        <w:t>五是应急救援力量显著增强。</w:t>
      </w:r>
      <w:r>
        <w:t>合作区已建立“两个中心+四个执勤点”的消防队站模式，成功将城市、森林两支消防队伍深度融合。不断加强全区应急救援队伍建设和管理，建立应急队伍联动机制，</w:t>
      </w:r>
      <w:r>
        <w:rPr>
          <w:szCs w:val="40"/>
        </w:rPr>
        <w:t>共有通信电力抢修、水利抢险、工程救援、地质灾害救援、森林防火等专兼职应急救援队伍14支，总人数约1160人</w:t>
      </w:r>
      <w:r>
        <w:t>。</w:t>
      </w:r>
    </w:p>
    <w:p>
      <w:pPr>
        <w:pStyle w:val="3"/>
      </w:pPr>
      <w:bookmarkStart w:id="38" w:name="_Toc80221570"/>
      <w:r>
        <w:t>第二节 问题挑战</w:t>
      </w:r>
      <w:bookmarkEnd w:id="38"/>
    </w:p>
    <w:p>
      <w:pPr>
        <w:ind w:firstLine="640"/>
      </w:pPr>
      <w:r>
        <w:t>“十四五”时期，是合作区践行“区域协调、合作示范、自主创新”重要使命，“开好头、起好步”迈向高质量发展的关键时期，经济社会高速发展，生产要素快速聚集，矛盾风险不断增多，安全形势严峻复杂，应急管理工作面临着严峻挑战。</w:t>
      </w:r>
    </w:p>
    <w:p>
      <w:pPr>
        <w:ind w:firstLine="640"/>
      </w:pPr>
      <w:r>
        <w:rPr>
          <w:rFonts w:eastAsia="楷体_GB2312"/>
        </w:rPr>
        <w:t>一是安全风险防控压力巨大。</w:t>
      </w:r>
      <w:r>
        <w:t>合作区台风过境频繁，强降雨多发，边坡分布广泛，自然灾害风险较高，多灾并发的特征日益突出。合作区正处于大开发大建设阶段，规模化建设涉及环节多、时间长、空间广，坍塌、高坠、物体打击、触电、机械伤害、车辆伤害等事故风险聚集，发生群死群伤灾害事故的风险依然较高。</w:t>
      </w:r>
    </w:p>
    <w:p>
      <w:pPr>
        <w:ind w:firstLine="640"/>
      </w:pPr>
      <w:r>
        <w:rPr>
          <w:rFonts w:eastAsia="楷体_GB2312"/>
        </w:rPr>
        <w:t>二是体制机制建设亟待完善。</w:t>
      </w:r>
      <w:r>
        <w:t>当前合作区正处于各种业务事务的交接期，包括应急管理在内的部分社会管理体制职能还在调整当中。应急管理条块权责不一致，合作区各单位的执法主体资格尚未确立，合作区“飞地”经济和大部门管理体制背景下“防”与“救”责任链条还有待衔接。区域协同合作机制有待健全，与周边区域惠东、海丰、汕尾等地应急联动机制、资源要素共享机制有待完善。</w:t>
      </w:r>
    </w:p>
    <w:p>
      <w:pPr>
        <w:ind w:firstLine="640"/>
      </w:pPr>
      <w:r>
        <w:rPr>
          <w:rFonts w:eastAsia="楷体_GB2312"/>
        </w:rPr>
        <w:t>三是安全监管力量亟需加强。</w:t>
      </w:r>
      <w:r>
        <w:t>合作区共12个委、办、局，150名行政执法专项编制承担相当于其他城市50多个部门的职能，加上合作区跨越式发展速度（至2025年末，合作区规划总人口约60-70万，</w:t>
      </w:r>
      <w:r>
        <w:rPr>
          <w:rFonts w:hint="eastAsia"/>
        </w:rPr>
        <w:t>是</w:t>
      </w:r>
      <w:r>
        <w:t>现状的7倍；建设用地规模将达到70-80平方公里，是现状的3倍），安全监管力量不足与庞大监管体量之间的矛盾十分突出，技术装备缺失、经费保障机制不健全等问题较为普遍，建设工程施工、重点车辆管理、危险化学品、消防安全等行业领域安全监管职能无法全面有效履行。</w:t>
      </w:r>
    </w:p>
    <w:p>
      <w:pPr>
        <w:ind w:firstLine="640"/>
      </w:pPr>
      <w:r>
        <w:rPr>
          <w:rFonts w:eastAsia="楷体_GB2312"/>
        </w:rPr>
        <w:t>四是支撑保障能力有待提升。</w:t>
      </w:r>
      <w:r>
        <w:t>深汕合作区历史上原属汕尾偏远地区，灾害监测预警基础设施薄弱，气象监测站点密度目前为4.8</w:t>
      </w:r>
      <w:r>
        <w:fldChar w:fldCharType="begin"/>
      </w:r>
      <w:r>
        <w:instrText xml:space="preserve"> HYPERLINK "http://www.baidu.com/link?url=RzjeweDZTRHNWY_09Movz8Di6ymL8uaLWLqjpxZtYPDrqiRQ8vKrz3P-ZZXNY9Lk5eEeXEPU_-0NS8x7ZRFyTrXGDAcAXvpWLi-Gh7J0uXhxYnFZb7GX3VLyhqh8UCwe" \t "_blank" </w:instrText>
      </w:r>
      <w:r>
        <w:fldChar w:fldCharType="separate"/>
      </w:r>
      <w:r>
        <w:t>×</w:t>
      </w:r>
      <w:r>
        <w:fldChar w:fldCharType="end"/>
      </w:r>
      <w:r>
        <w:t>4.8公里，远低于深圳3.1</w:t>
      </w:r>
      <w:r>
        <w:fldChar w:fldCharType="begin"/>
      </w:r>
      <w:r>
        <w:instrText xml:space="preserve"> HYPERLINK "http://www.baidu.com/link?url=RzjeweDZTRHNWY_09Movz8Di6ymL8uaLWLqjpxZtYPDrqiRQ8vKrz3P-ZZXNY9Lk5eEeXEPU_-0NS8x7ZRFyTrXGDAcAXvpWLi-Gh7J0uXhxYnFZb7GX3VLyhqh8UCwe" \t "_blank" </w:instrText>
      </w:r>
      <w:r>
        <w:fldChar w:fldCharType="separate"/>
      </w:r>
      <w:r>
        <w:t>×</w:t>
      </w:r>
      <w:r>
        <w:fldChar w:fldCharType="end"/>
      </w:r>
      <w:r>
        <w:t>3.1公里的监测密度。应急救援力量建设有待完善，消防站点及市政消防设施有待补齐，建设施工、海上搜救等专业救援力量薄弱，先进适用救援装备配备不足。科技信息化支撑</w:t>
      </w:r>
      <w:r>
        <w:rPr>
          <w:rFonts w:hint="eastAsia"/>
        </w:rPr>
        <w:t>能力不足</w:t>
      </w:r>
      <w:r>
        <w:t>，智慧应急信息化系统手段应用水平不高，应急管理专家库尚未建立。应急物资保障能力有待提升，全区统一的物资储备体系有待健全。</w:t>
      </w:r>
    </w:p>
    <w:p>
      <w:pPr>
        <w:ind w:firstLine="640"/>
      </w:pPr>
      <w:r>
        <w:rPr>
          <w:rFonts w:eastAsia="楷体_GB2312"/>
        </w:rPr>
        <w:t>五是企业主体责任仍需落实。</w:t>
      </w:r>
      <w:r>
        <w:t>生产经营单位隐患排查和防灾避险措施落实不到位的情况依然普遍存在，特别是新冠疫情防控常态化和合作区快速发展阶段，新旧产业更迭加速，企业生产经营压力增大，主动加强安全管理和投入的动力不足，安全基础保障能力还比较薄弱。</w:t>
      </w:r>
    </w:p>
    <w:p>
      <w:pPr>
        <w:ind w:firstLine="640"/>
      </w:pPr>
      <w:r>
        <w:rPr>
          <w:rFonts w:eastAsia="楷体_GB2312"/>
        </w:rPr>
        <w:t>六是社会公众安全意识仍然薄弱。</w:t>
      </w:r>
      <w:r>
        <w:t>外来劳务工数量多、流动性大、文化程度低、安全意识薄弱，职业安全教育不足、岗位安全技能不高，安全教育陷入“培训一批、离开一批、再来一批”的怪圈。公众安全宣传覆盖面有待完善，公共安全宣传教育和安全培训载体仍然不多。社会资源参与安全生产、应急管理和防灾减灾救灾工作意识不强，行业协会、中介服务机构、应急志愿者等社会组织发育程度不高，指导、服务能力整体不强。</w:t>
      </w:r>
    </w:p>
    <w:p>
      <w:pPr>
        <w:pStyle w:val="3"/>
      </w:pPr>
      <w:bookmarkStart w:id="39" w:name="_Toc80221571"/>
      <w:r>
        <w:t>第三节 发展机遇</w:t>
      </w:r>
      <w:bookmarkEnd w:id="39"/>
    </w:p>
    <w:p>
      <w:pPr>
        <w:ind w:firstLine="640"/>
      </w:pPr>
      <w:r>
        <w:t>“十四五”时期是合作区应急管理机构组建、体制改革后第一个五年，应急管理事业发展将进入具有新的历史特点的战略机遇期。</w:t>
      </w:r>
    </w:p>
    <w:p>
      <w:pPr>
        <w:ind w:firstLine="640"/>
        <w:rPr>
          <w:snapToGrid w:val="0"/>
        </w:rPr>
      </w:pPr>
      <w:r>
        <w:rPr>
          <w:rFonts w:eastAsia="楷体_GB2312"/>
          <w:snapToGrid w:val="0"/>
        </w:rPr>
        <w:t>一是各级党委政府高度重视应急管理工作。</w:t>
      </w:r>
      <w:r>
        <w:rPr>
          <w:snapToGrid w:val="0"/>
        </w:rPr>
        <w:t>习近平总书记关于应急管理的系列重要论述，为安全生产、防灾减灾、应急救援工作提供了科学遵循。各级党委政府加强领导、强化监管，狠抓责任落实，为应急管理工作提供了有力的组织保障。</w:t>
      </w:r>
    </w:p>
    <w:p>
      <w:pPr>
        <w:ind w:firstLine="640"/>
        <w:rPr>
          <w:snapToGrid w:val="0"/>
        </w:rPr>
      </w:pPr>
      <w:r>
        <w:rPr>
          <w:rFonts w:eastAsia="楷体_GB2312"/>
          <w:snapToGrid w:val="0"/>
        </w:rPr>
        <w:t>二是人民群众高度关注应急管理工作。</w:t>
      </w:r>
      <w:r>
        <w:rPr>
          <w:snapToGrid w:val="0"/>
        </w:rPr>
        <w:t>人民群众对美好生活的向往，推动对安全感的需求不断提升，经济社会安全发展的理念深入人心，建设人人有责、人人尽责、人人享有的社会治理共同体意愿不断强烈，为新时代应急管理共建共治共享提供良好的社会氛围。</w:t>
      </w:r>
    </w:p>
    <w:p>
      <w:pPr>
        <w:ind w:firstLine="640"/>
        <w:rPr>
          <w:snapToGrid w:val="0"/>
        </w:rPr>
      </w:pPr>
      <w:r>
        <w:rPr>
          <w:rFonts w:eastAsia="楷体_GB2312"/>
          <w:snapToGrid w:val="0"/>
        </w:rPr>
        <w:t>三是多重政策红利叠加提供良好发展环境。</w:t>
      </w:r>
      <w:r>
        <w:rPr>
          <w:snapToGrid w:val="0"/>
        </w:rPr>
        <w:t>在粤港澳大湾区、社会主义先行示范区“双区驱动”效应牵引下，合作区资金人才技术等资源要素加速聚集。合作区“飞地”经济体制机制创新优势和改革试点的政策优势为应急管理工作提供了良好的发展环境。</w:t>
      </w:r>
    </w:p>
    <w:p>
      <w:pPr>
        <w:ind w:firstLine="640"/>
        <w:rPr>
          <w:snapToGrid w:val="0"/>
        </w:rPr>
      </w:pPr>
      <w:r>
        <w:rPr>
          <w:rFonts w:eastAsia="楷体_GB2312"/>
          <w:snapToGrid w:val="0"/>
        </w:rPr>
        <w:t>四是高标准建设引领合作区安全发展。</w:t>
      </w:r>
      <w:r>
        <w:rPr>
          <w:snapToGrid w:val="0"/>
        </w:rPr>
        <w:t>合作区先进制造业集聚区逐步成型。产业要素加速集聚，时尚品牌产业园、深汕湾机器人小镇等产业载体陆续投入运营，</w:t>
      </w:r>
      <w:r>
        <w:rPr>
          <w:rFonts w:hint="eastAsia"/>
          <w:snapToGrid w:val="0"/>
        </w:rPr>
        <w:t>重大项目、</w:t>
      </w:r>
      <w:r>
        <w:rPr>
          <w:snapToGrid w:val="0"/>
        </w:rPr>
        <w:t>高新技术产业项目、规模集聚项目等“三个优先”项目加速建成投产。产业重构、城区更新全面提速，高起点、高标准、高水平建设要求全面提升合作区本质安全水平。</w:t>
      </w:r>
    </w:p>
    <w:p>
      <w:pPr>
        <w:ind w:firstLine="640"/>
        <w:rPr>
          <w:snapToGrid w:val="0"/>
        </w:rPr>
      </w:pPr>
      <w:r>
        <w:rPr>
          <w:rFonts w:eastAsia="楷体_GB2312"/>
          <w:snapToGrid w:val="0"/>
        </w:rPr>
        <w:t>五是合作区应急管理改革创新提供良好基础。</w:t>
      </w:r>
      <w:r>
        <w:rPr>
          <w:snapToGrid w:val="0"/>
        </w:rPr>
        <w:t>合作区应急管理局挂牌成立以来，积极适应新体制新要求，以创新的思路、改革的办法和有力的举措奋力破解难题，逐步厘清应急管理横向及纵向各职能部门之间的关系，逐步构建风险防范、应急救援、监管执法、综合保障等职能分工清晰、互为衔接的“大应急”管理格局，为规划实施打下扎实基础。</w:t>
      </w:r>
    </w:p>
    <w:p>
      <w:pPr>
        <w:spacing w:line="560" w:lineRule="exact"/>
        <w:ind w:firstLine="640"/>
        <w:rPr>
          <w:color w:val="000000"/>
        </w:rPr>
        <w:sectPr>
          <w:footerReference r:id="rId11" w:type="default"/>
          <w:pgSz w:w="11907" w:h="16840"/>
          <w:pgMar w:top="1440" w:right="1800" w:bottom="1440" w:left="1800" w:header="1134" w:footer="1134" w:gutter="0"/>
          <w:pgNumType w:start="1"/>
          <w:cols w:space="720" w:num="1"/>
          <w:docGrid w:linePitch="435" w:charSpace="0"/>
        </w:sectPr>
      </w:pPr>
    </w:p>
    <w:p>
      <w:pPr>
        <w:pStyle w:val="2"/>
      </w:pPr>
      <w:bookmarkStart w:id="40" w:name="_Toc265398792"/>
      <w:bookmarkStart w:id="41" w:name="_Toc265562485"/>
      <w:bookmarkStart w:id="42" w:name="_Toc275349682"/>
      <w:bookmarkStart w:id="43" w:name="_Toc419963413"/>
      <w:bookmarkStart w:id="44" w:name="_Toc279407488"/>
      <w:bookmarkStart w:id="45" w:name="_Toc269270782"/>
      <w:bookmarkStart w:id="46" w:name="_Toc80221572"/>
      <w:r>
        <w:t>第二章</w:t>
      </w:r>
      <w:bookmarkEnd w:id="17"/>
      <w:bookmarkEnd w:id="40"/>
      <w:bookmarkEnd w:id="41"/>
      <w:bookmarkEnd w:id="42"/>
      <w:bookmarkEnd w:id="43"/>
      <w:bookmarkEnd w:id="44"/>
      <w:bookmarkEnd w:id="45"/>
      <w:bookmarkStart w:id="47" w:name="_Toc419963418"/>
      <w:r>
        <w:t xml:space="preserve"> </w:t>
      </w:r>
      <w:bookmarkEnd w:id="47"/>
      <w:r>
        <w:t>总体要求</w:t>
      </w:r>
      <w:bookmarkEnd w:id="46"/>
    </w:p>
    <w:p>
      <w:pPr>
        <w:pStyle w:val="3"/>
      </w:pPr>
      <w:bookmarkStart w:id="48" w:name="_Toc275349686"/>
      <w:bookmarkStart w:id="49" w:name="_Toc265562489"/>
      <w:bookmarkStart w:id="50" w:name="_Toc419963419"/>
      <w:bookmarkStart w:id="51" w:name="_Toc269270786"/>
      <w:bookmarkStart w:id="52" w:name="_Toc265398796"/>
      <w:bookmarkStart w:id="53" w:name="_Toc80221573"/>
      <w:bookmarkStart w:id="54" w:name="_Toc279407492"/>
      <w:r>
        <w:t>第一节 指导思想</w:t>
      </w:r>
      <w:bookmarkEnd w:id="48"/>
      <w:bookmarkEnd w:id="49"/>
      <w:bookmarkEnd w:id="50"/>
      <w:bookmarkEnd w:id="51"/>
      <w:bookmarkEnd w:id="52"/>
      <w:bookmarkEnd w:id="53"/>
      <w:bookmarkEnd w:id="54"/>
    </w:p>
    <w:p>
      <w:pPr>
        <w:ind w:firstLine="640"/>
        <w:rPr>
          <w:snapToGrid w:val="0"/>
        </w:rPr>
      </w:pPr>
      <w:r>
        <w:rPr>
          <w:snapToGrid w:val="0"/>
        </w:rPr>
        <w:t>以习近平新时代中国特色社会主义思想为指导，全面贯彻落实党的十九大和十九届二中、三中、四中、五中全会精神，深入贯彻习近平总书记关于应急管理重要论述及对广东、深圳重要讲话和重要批示指示精神，全面落实总书记在深圳经济特区建立40周年庆祝大会上的重要讲话精神，准确把握进入新发展阶段、贯彻新发展理念、构建新发展格局对应急管理新的时代要求，统筹发展和安全，坚持以人民为中心的发展思想，强化底线思维，强化风险意识，强化源头治理，以“双区”战略为总牵引，以构建权威高效应急管理体制为主线，以创新</w:t>
      </w:r>
      <w:r>
        <w:rPr>
          <w:rFonts w:hint="eastAsia"/>
          <w:snapToGrid w:val="0"/>
        </w:rPr>
        <w:t>“</w:t>
      </w:r>
      <w:r>
        <w:rPr>
          <w:snapToGrid w:val="0"/>
        </w:rPr>
        <w:t>飞地</w:t>
      </w:r>
      <w:r>
        <w:rPr>
          <w:rFonts w:hint="eastAsia"/>
          <w:snapToGrid w:val="0"/>
        </w:rPr>
        <w:t>”</w:t>
      </w:r>
      <w:r>
        <w:rPr>
          <w:snapToGrid w:val="0"/>
        </w:rPr>
        <w:t>应急管理机制为重点，以推进应急管理体系和能力现代化建设为抓手，以提高本质安全水平为目的，着力固根基、补短板、强弱项、织底网、促协同，全面融入</w:t>
      </w:r>
      <w:r>
        <w:rPr>
          <w:rFonts w:hint="eastAsia"/>
          <w:snapToGrid w:val="0"/>
        </w:rPr>
        <w:t>全</w:t>
      </w:r>
      <w:r>
        <w:rPr>
          <w:snapToGrid w:val="0"/>
        </w:rPr>
        <w:t>市应急管理一体化发展，为建设粤港澳大湾区向东辐射的重要节点、区域协调发展示范区、深圳自主创新拓展区、现代化国际性滨海智慧新城提供坚实安全保障，为</w:t>
      </w:r>
      <w:r>
        <w:rPr>
          <w:rFonts w:hint="eastAsia"/>
          <w:snapToGrid w:val="0"/>
        </w:rPr>
        <w:t>全</w:t>
      </w:r>
      <w:r>
        <w:rPr>
          <w:snapToGrid w:val="0"/>
        </w:rPr>
        <w:t>市加快建设“先行示范区、强国城市范例”贡献深汕力量。</w:t>
      </w:r>
    </w:p>
    <w:p>
      <w:pPr>
        <w:pStyle w:val="3"/>
      </w:pPr>
      <w:bookmarkStart w:id="55" w:name="_Toc269270787"/>
      <w:bookmarkStart w:id="56" w:name="_Toc279407493"/>
      <w:bookmarkStart w:id="57" w:name="_Toc419963420"/>
      <w:bookmarkStart w:id="58" w:name="_Toc275349687"/>
      <w:bookmarkStart w:id="59" w:name="_Toc265562490"/>
      <w:bookmarkStart w:id="60" w:name="_Toc80221574"/>
      <w:bookmarkStart w:id="61" w:name="_Toc265398797"/>
      <w:r>
        <w:t>第二节 基本原则</w:t>
      </w:r>
      <w:bookmarkEnd w:id="55"/>
      <w:bookmarkEnd w:id="56"/>
      <w:bookmarkEnd w:id="57"/>
      <w:bookmarkEnd w:id="58"/>
      <w:bookmarkEnd w:id="59"/>
      <w:bookmarkEnd w:id="60"/>
      <w:bookmarkEnd w:id="61"/>
    </w:p>
    <w:p>
      <w:pPr>
        <w:ind w:firstLine="640"/>
        <w:rPr>
          <w:snapToGrid w:val="0"/>
        </w:rPr>
      </w:pPr>
      <w:r>
        <w:rPr>
          <w:rFonts w:eastAsia="楷体_GB2312"/>
          <w:snapToGrid w:val="0"/>
        </w:rPr>
        <w:t>——坚持人民至上、生命至上。</w:t>
      </w:r>
      <w:r>
        <w:rPr>
          <w:snapToGrid w:val="0"/>
        </w:rPr>
        <w:t>始终把人民生命安全放在首位，深刻认识理解维护公共安全事关最广大人民根本利益的极端重要性。正确处理好安全与发展之间的关系，切实担负起“促一方发展、保一方平安”的政治责任。</w:t>
      </w:r>
    </w:p>
    <w:p>
      <w:pPr>
        <w:ind w:firstLine="640"/>
        <w:rPr>
          <w:snapToGrid w:val="0"/>
        </w:rPr>
      </w:pPr>
      <w:r>
        <w:rPr>
          <w:rFonts w:eastAsia="楷体_GB2312"/>
          <w:snapToGrid w:val="0"/>
        </w:rPr>
        <w:t>——坚持预防为主、关口前移。</w:t>
      </w:r>
      <w:r>
        <w:rPr>
          <w:snapToGrid w:val="0"/>
        </w:rPr>
        <w:t>坚持以防为主、防抗救相结合，从源头防范化解风险，把问题解决在萌芽之前，成灾之前，推进由应急处置为重点向全过程风险管理为核心的转变。</w:t>
      </w:r>
    </w:p>
    <w:p>
      <w:pPr>
        <w:ind w:firstLine="640"/>
        <w:rPr>
          <w:snapToGrid w:val="0"/>
        </w:rPr>
      </w:pPr>
      <w:r>
        <w:rPr>
          <w:rFonts w:eastAsia="楷体_GB2312"/>
          <w:snapToGrid w:val="0"/>
        </w:rPr>
        <w:t>——坚持补齐短板、深度融合。</w:t>
      </w:r>
      <w:r>
        <w:rPr>
          <w:snapToGrid w:val="0"/>
        </w:rPr>
        <w:t>着力破解制约应急管理基础性、源头性问题，补齐合作区应急能力短板弱项。创新优化基层大应急管理体制、网格化管理机制，将安全生产、防灾减灾和应急救援职能有机整合、全面融合。</w:t>
      </w:r>
    </w:p>
    <w:p>
      <w:pPr>
        <w:ind w:firstLine="640"/>
        <w:rPr>
          <w:snapToGrid w:val="0"/>
        </w:rPr>
      </w:pPr>
      <w:r>
        <w:rPr>
          <w:rFonts w:eastAsia="楷体_GB2312"/>
          <w:snapToGrid w:val="0"/>
        </w:rPr>
        <w:t>——坚持科技引领、精准治理。</w:t>
      </w:r>
      <w:r>
        <w:rPr>
          <w:snapToGrid w:val="0"/>
        </w:rPr>
        <w:t>利用科技信息化，提升应急管理的科学化、专业化、智能化、精细化水平。整合优化应急资源，创新监测预警、智慧监管、数据治理等技术手段方法，实现风险隐患精准治理。</w:t>
      </w:r>
    </w:p>
    <w:p>
      <w:pPr>
        <w:ind w:firstLine="640"/>
        <w:rPr>
          <w:snapToGrid w:val="0"/>
        </w:rPr>
      </w:pPr>
      <w:r>
        <w:rPr>
          <w:rFonts w:eastAsia="楷体_GB2312"/>
          <w:snapToGrid w:val="0"/>
        </w:rPr>
        <w:t>——坚持社会共治、群防群控。</w:t>
      </w:r>
      <w:r>
        <w:rPr>
          <w:snapToGrid w:val="0"/>
        </w:rPr>
        <w:t>发挥群防群治及市场机制作用，提高应急管理全链条社会参与程度。提高镇村居民自救互救能力，筑牢防灾减灾救灾的人民防线，实现全社会共同参与、共同治理、共同享有。</w:t>
      </w:r>
    </w:p>
    <w:p>
      <w:pPr>
        <w:pStyle w:val="3"/>
      </w:pPr>
      <w:bookmarkStart w:id="62" w:name="_Toc269270788"/>
      <w:bookmarkStart w:id="63" w:name="_Toc80221575"/>
      <w:bookmarkStart w:id="64" w:name="_Toc279407494"/>
      <w:bookmarkStart w:id="65" w:name="_Toc275349688"/>
      <w:bookmarkStart w:id="66" w:name="_Toc419963421"/>
      <w:bookmarkStart w:id="67" w:name="_Toc265398798"/>
      <w:bookmarkStart w:id="68" w:name="_Toc265562491"/>
      <w:r>
        <w:t>第三节 发展目标</w:t>
      </w:r>
      <w:bookmarkEnd w:id="62"/>
      <w:bookmarkEnd w:id="63"/>
      <w:bookmarkEnd w:id="64"/>
      <w:bookmarkEnd w:id="65"/>
      <w:bookmarkEnd w:id="66"/>
      <w:bookmarkEnd w:id="67"/>
      <w:bookmarkEnd w:id="68"/>
    </w:p>
    <w:p>
      <w:pPr>
        <w:ind w:firstLine="640"/>
        <w:rPr>
          <w:snapToGrid w:val="0"/>
        </w:rPr>
      </w:pPr>
      <w:r>
        <w:rPr>
          <w:rFonts w:eastAsia="黑体"/>
          <w:snapToGrid w:val="0"/>
        </w:rPr>
        <w:t>以服务经济社会安全发展、保障人民生命财产安全为总目标</w:t>
      </w:r>
      <w:r>
        <w:rPr>
          <w:rFonts w:hint="eastAsia" w:eastAsia="黑体"/>
          <w:snapToGrid w:val="0"/>
        </w:rPr>
        <w:t>，一年打基础、三年上台阶、五年大提升。</w:t>
      </w:r>
      <w:r>
        <w:rPr>
          <w:rFonts w:eastAsia="黑体"/>
          <w:snapToGrid w:val="0"/>
        </w:rPr>
        <w:t>到2025年，全面实现与</w:t>
      </w:r>
      <w:r>
        <w:rPr>
          <w:rFonts w:hint="eastAsia" w:eastAsia="黑体"/>
          <w:snapToGrid w:val="0"/>
        </w:rPr>
        <w:t>全市</w:t>
      </w:r>
      <w:r>
        <w:rPr>
          <w:rFonts w:eastAsia="黑体"/>
          <w:snapToGrid w:val="0"/>
        </w:rPr>
        <w:t>应急管理工作深度对接</w:t>
      </w:r>
      <w:r>
        <w:rPr>
          <w:snapToGrid w:val="0"/>
        </w:rPr>
        <w:t>，统一指挥、专常兼备、反应灵敏、上下联动的“飞地”特色应急管理体制基本建成，统一领导、权责一致、权威高效的应急管理体系和能力现代化建设稳步推进，应急管理系统性、整体性、协同性显著增强，防灾减灾抗灾救灾能力全面提高。安全生产和综合防灾减灾形势趋稳向好，灾害事故应急能力显著增强，发展安全保障更加有力。</w:t>
      </w:r>
    </w:p>
    <w:p>
      <w:pPr>
        <w:ind w:firstLine="640"/>
        <w:rPr>
          <w:snapToGrid w:val="0"/>
        </w:rPr>
      </w:pPr>
      <w:r>
        <w:rPr>
          <w:snapToGrid w:val="0"/>
        </w:rPr>
        <w:t>——</w:t>
      </w:r>
      <w:r>
        <w:rPr>
          <w:rFonts w:eastAsia="楷体_GB2312"/>
          <w:snapToGrid w:val="0"/>
        </w:rPr>
        <w:t>安全生产治理水平显著提升。</w:t>
      </w:r>
      <w:r>
        <w:rPr>
          <w:snapToGrid w:val="0"/>
        </w:rPr>
        <w:t>安全生产责任制全面落实，安全生产形势稳定可控，生产安全事故死亡人数控制在年度考核目标范围内，坚决遏制较大及以上生产安全事故。</w:t>
      </w:r>
    </w:p>
    <w:p>
      <w:pPr>
        <w:ind w:firstLine="640"/>
        <w:rPr>
          <w:snapToGrid w:val="0"/>
        </w:rPr>
      </w:pPr>
      <w:r>
        <w:rPr>
          <w:snapToGrid w:val="0"/>
        </w:rPr>
        <w:t>——</w:t>
      </w:r>
      <w:r>
        <w:rPr>
          <w:rFonts w:eastAsia="楷体_GB2312"/>
          <w:snapToGrid w:val="0"/>
        </w:rPr>
        <w:t>自然灾害防治体系不断完善。</w:t>
      </w:r>
      <w:r>
        <w:rPr>
          <w:snapToGrid w:val="0"/>
        </w:rPr>
        <w:t>自然灾害防治工作体系协调运作，灾害监测预警网络基本建成，城乡灾害防御能力大幅提升，因灾死亡人数和经济损失保持平稳下降趋势。</w:t>
      </w:r>
    </w:p>
    <w:p>
      <w:pPr>
        <w:ind w:firstLine="640"/>
        <w:rPr>
          <w:snapToGrid w:val="0"/>
        </w:rPr>
      </w:pPr>
      <w:r>
        <w:rPr>
          <w:snapToGrid w:val="0"/>
        </w:rPr>
        <w:t>——</w:t>
      </w:r>
      <w:r>
        <w:rPr>
          <w:rFonts w:eastAsia="楷体_GB2312"/>
          <w:snapToGrid w:val="0"/>
        </w:rPr>
        <w:t>应急救援能力显著增强。</w:t>
      </w:r>
      <w:r>
        <w:rPr>
          <w:snapToGrid w:val="0"/>
        </w:rPr>
        <w:t>统一权威高效的大应急指挥体系基本建成，专常兼备的救援力量体系逐步完善，应急响应能力、综合保障能力、区域协同能力显著提升。</w:t>
      </w:r>
    </w:p>
    <w:p>
      <w:pPr>
        <w:ind w:firstLine="640"/>
        <w:rPr>
          <w:snapToGrid w:val="0"/>
        </w:rPr>
      </w:pPr>
      <w:r>
        <w:rPr>
          <w:rFonts w:eastAsia="楷体_GB2312"/>
          <w:snapToGrid w:val="0"/>
        </w:rPr>
        <w:t>——全社会防范和应对灾害事故能力显著提升。</w:t>
      </w:r>
      <w:r>
        <w:rPr>
          <w:snapToGrid w:val="0"/>
        </w:rPr>
        <w:t>人民群众风险观念和安全感持续加强，初步建成社会共建共治共享的安全韧性新城区。</w:t>
      </w:r>
    </w:p>
    <w:p>
      <w:pPr>
        <w:ind w:firstLine="640"/>
        <w:rPr>
          <w:rFonts w:eastAsia="黑体"/>
          <w:snapToGrid w:val="0"/>
        </w:rPr>
      </w:pPr>
      <w:r>
        <w:rPr>
          <w:snapToGrid w:val="0"/>
        </w:rPr>
        <w:t>到2035年，安全生产、综合防灾减灾形势实现稳定可控，深汕特色的应急管理体系和能力现代化建设基本实现，</w:t>
      </w:r>
      <w:r>
        <w:rPr>
          <w:rFonts w:eastAsia="黑体"/>
          <w:snapToGrid w:val="0"/>
        </w:rPr>
        <w:t>实现与</w:t>
      </w:r>
      <w:r>
        <w:rPr>
          <w:rFonts w:hint="eastAsia" w:eastAsia="黑体"/>
          <w:snapToGrid w:val="0"/>
        </w:rPr>
        <w:t>全市</w:t>
      </w:r>
      <w:r>
        <w:rPr>
          <w:rFonts w:eastAsia="黑体"/>
          <w:snapToGrid w:val="0"/>
        </w:rPr>
        <w:t>应急管理深度融合。</w:t>
      </w:r>
    </w:p>
    <w:p>
      <w:pPr>
        <w:ind w:firstLine="640"/>
      </w:pPr>
      <w:r>
        <w:t>规划分类指标见专栏1。</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706"/>
        <w:gridCol w:w="3951"/>
        <w:gridCol w:w="2030"/>
        <w:gridCol w:w="1127"/>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4"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b/>
                <w:snapToGrid w:val="0"/>
                <w:kern w:val="0"/>
                <w:sz w:val="24"/>
              </w:rPr>
            </w:pPr>
            <w:r>
              <w:rPr>
                <w:b/>
                <w:snapToGrid w:val="0"/>
                <w:kern w:val="0"/>
                <w:sz w:val="24"/>
              </w:rPr>
              <w:t>专栏1 “十四五”规划分类指标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Pr>
        <w:tc>
          <w:tcPr>
            <w:tcW w:w="412" w:type="pct"/>
            <w:vAlign w:val="center"/>
          </w:tcPr>
          <w:p>
            <w:pPr>
              <w:spacing w:line="240" w:lineRule="auto"/>
              <w:ind w:firstLine="0" w:firstLineChars="0"/>
              <w:jc w:val="center"/>
              <w:rPr>
                <w:b/>
                <w:snapToGrid w:val="0"/>
                <w:kern w:val="0"/>
                <w:sz w:val="24"/>
              </w:rPr>
            </w:pPr>
            <w:r>
              <w:rPr>
                <w:b/>
                <w:snapToGrid w:val="0"/>
                <w:kern w:val="0"/>
                <w:sz w:val="24"/>
              </w:rPr>
              <w:t>序号</w:t>
            </w:r>
          </w:p>
        </w:tc>
        <w:tc>
          <w:tcPr>
            <w:tcW w:w="414" w:type="pct"/>
            <w:vAlign w:val="center"/>
          </w:tcPr>
          <w:p>
            <w:pPr>
              <w:spacing w:line="240" w:lineRule="auto"/>
              <w:ind w:firstLine="0" w:firstLineChars="0"/>
              <w:jc w:val="center"/>
              <w:rPr>
                <w:b/>
                <w:snapToGrid w:val="0"/>
                <w:kern w:val="0"/>
                <w:sz w:val="24"/>
              </w:rPr>
            </w:pPr>
            <w:r>
              <w:rPr>
                <w:b/>
                <w:snapToGrid w:val="0"/>
                <w:kern w:val="0"/>
                <w:sz w:val="24"/>
              </w:rPr>
              <w:t>分类</w:t>
            </w:r>
          </w:p>
        </w:tc>
        <w:tc>
          <w:tcPr>
            <w:tcW w:w="2318" w:type="pct"/>
            <w:vAlign w:val="center"/>
          </w:tcPr>
          <w:p>
            <w:pPr>
              <w:spacing w:line="240" w:lineRule="auto"/>
              <w:ind w:firstLine="0" w:firstLineChars="0"/>
              <w:jc w:val="center"/>
              <w:rPr>
                <w:b/>
                <w:snapToGrid w:val="0"/>
                <w:kern w:val="0"/>
                <w:sz w:val="24"/>
              </w:rPr>
            </w:pPr>
            <w:r>
              <w:rPr>
                <w:b/>
                <w:snapToGrid w:val="0"/>
                <w:kern w:val="0"/>
                <w:sz w:val="24"/>
              </w:rPr>
              <w:t>指标</w:t>
            </w:r>
          </w:p>
        </w:tc>
        <w:tc>
          <w:tcPr>
            <w:tcW w:w="1191" w:type="pct"/>
            <w:vAlign w:val="center"/>
          </w:tcPr>
          <w:p>
            <w:pPr>
              <w:spacing w:line="240" w:lineRule="auto"/>
              <w:ind w:firstLine="0" w:firstLineChars="0"/>
              <w:jc w:val="center"/>
              <w:rPr>
                <w:b/>
                <w:snapToGrid w:val="0"/>
                <w:kern w:val="0"/>
                <w:sz w:val="24"/>
              </w:rPr>
            </w:pPr>
            <w:r>
              <w:rPr>
                <w:b/>
                <w:snapToGrid w:val="0"/>
                <w:kern w:val="0"/>
                <w:sz w:val="24"/>
              </w:rPr>
              <w:t>2025年目标值</w:t>
            </w:r>
          </w:p>
        </w:tc>
        <w:tc>
          <w:tcPr>
            <w:tcW w:w="661" w:type="pct"/>
            <w:vAlign w:val="center"/>
          </w:tcPr>
          <w:p>
            <w:pPr>
              <w:spacing w:line="240" w:lineRule="auto"/>
              <w:ind w:firstLine="0" w:firstLineChars="0"/>
              <w:jc w:val="center"/>
              <w:rPr>
                <w:b/>
                <w:snapToGrid w:val="0"/>
                <w:kern w:val="0"/>
                <w:sz w:val="24"/>
              </w:rPr>
            </w:pPr>
            <w:r>
              <w:rPr>
                <w:b/>
                <w:snapToGrid w:val="0"/>
                <w:kern w:val="0"/>
                <w:sz w:val="24"/>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Pr>
        <w:tc>
          <w:tcPr>
            <w:tcW w:w="412" w:type="pct"/>
            <w:vAlign w:val="center"/>
          </w:tcPr>
          <w:p>
            <w:pPr>
              <w:pStyle w:val="77"/>
              <w:numPr>
                <w:ilvl w:val="0"/>
                <w:numId w:val="1"/>
              </w:numPr>
              <w:spacing w:line="240" w:lineRule="auto"/>
              <w:ind w:firstLineChars="0"/>
              <w:jc w:val="center"/>
              <w:rPr>
                <w:snapToGrid w:val="0"/>
                <w:kern w:val="0"/>
                <w:sz w:val="24"/>
              </w:rPr>
            </w:pPr>
          </w:p>
        </w:tc>
        <w:tc>
          <w:tcPr>
            <w:tcW w:w="414" w:type="pct"/>
            <w:vMerge w:val="restart"/>
            <w:vAlign w:val="center"/>
          </w:tcPr>
          <w:p>
            <w:pPr>
              <w:spacing w:line="240" w:lineRule="auto"/>
              <w:ind w:firstLine="0" w:firstLineChars="0"/>
              <w:jc w:val="center"/>
              <w:rPr>
                <w:kern w:val="0"/>
                <w:sz w:val="24"/>
              </w:rPr>
            </w:pPr>
            <w:r>
              <w:rPr>
                <w:kern w:val="0"/>
                <w:sz w:val="24"/>
              </w:rPr>
              <w:t>事故</w:t>
            </w:r>
          </w:p>
          <w:p>
            <w:pPr>
              <w:spacing w:line="240" w:lineRule="auto"/>
              <w:ind w:firstLine="0" w:firstLineChars="0"/>
              <w:jc w:val="center"/>
              <w:rPr>
                <w:kern w:val="0"/>
                <w:sz w:val="24"/>
              </w:rPr>
            </w:pPr>
            <w:r>
              <w:rPr>
                <w:kern w:val="0"/>
                <w:sz w:val="24"/>
              </w:rPr>
              <w:t>灾难</w:t>
            </w:r>
          </w:p>
        </w:tc>
        <w:tc>
          <w:tcPr>
            <w:tcW w:w="2318" w:type="pct"/>
            <w:vAlign w:val="center"/>
          </w:tcPr>
          <w:p>
            <w:pPr>
              <w:spacing w:line="240" w:lineRule="auto"/>
              <w:ind w:firstLine="0" w:firstLineChars="0"/>
              <w:rPr>
                <w:kern w:val="0"/>
                <w:sz w:val="24"/>
              </w:rPr>
            </w:pPr>
            <w:r>
              <w:rPr>
                <w:sz w:val="24"/>
              </w:rPr>
              <w:t>生产安全事故死亡人数</w:t>
            </w:r>
          </w:p>
        </w:tc>
        <w:tc>
          <w:tcPr>
            <w:tcW w:w="1191" w:type="pct"/>
            <w:vAlign w:val="center"/>
          </w:tcPr>
          <w:p>
            <w:pPr>
              <w:spacing w:line="240" w:lineRule="auto"/>
              <w:ind w:firstLine="0" w:firstLineChars="0"/>
              <w:jc w:val="center"/>
              <w:rPr>
                <w:snapToGrid w:val="0"/>
                <w:kern w:val="0"/>
                <w:sz w:val="24"/>
              </w:rPr>
            </w:pPr>
            <w:r>
              <w:rPr>
                <w:snapToGrid w:val="0"/>
                <w:kern w:val="0"/>
                <w:sz w:val="24"/>
              </w:rPr>
              <w:t>≤年度考核要求</w:t>
            </w:r>
          </w:p>
        </w:tc>
        <w:tc>
          <w:tcPr>
            <w:tcW w:w="661" w:type="pct"/>
            <w:vAlign w:val="center"/>
          </w:tcPr>
          <w:p>
            <w:pPr>
              <w:spacing w:line="240" w:lineRule="auto"/>
              <w:ind w:firstLine="0" w:firstLineChars="0"/>
              <w:jc w:val="center"/>
              <w:rPr>
                <w:snapToGrid w:val="0"/>
                <w:kern w:val="0"/>
                <w:sz w:val="24"/>
              </w:rPr>
            </w:pPr>
            <w:r>
              <w:rPr>
                <w:snapToGrid w:val="0"/>
                <w:kern w:val="0"/>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Pr>
        <w:tc>
          <w:tcPr>
            <w:tcW w:w="412" w:type="pct"/>
            <w:vAlign w:val="center"/>
          </w:tcPr>
          <w:p>
            <w:pPr>
              <w:pStyle w:val="77"/>
              <w:numPr>
                <w:ilvl w:val="0"/>
                <w:numId w:val="1"/>
              </w:numPr>
              <w:spacing w:line="240" w:lineRule="auto"/>
              <w:ind w:firstLineChars="0"/>
              <w:jc w:val="center"/>
              <w:rPr>
                <w:snapToGrid w:val="0"/>
                <w:kern w:val="0"/>
                <w:sz w:val="24"/>
              </w:rPr>
            </w:pPr>
          </w:p>
        </w:tc>
        <w:tc>
          <w:tcPr>
            <w:tcW w:w="414" w:type="pct"/>
            <w:vMerge w:val="continue"/>
          </w:tcPr>
          <w:p>
            <w:pPr>
              <w:spacing w:line="240" w:lineRule="auto"/>
              <w:ind w:firstLine="0" w:firstLineChars="0"/>
              <w:rPr>
                <w:kern w:val="0"/>
                <w:sz w:val="24"/>
              </w:rPr>
            </w:pPr>
          </w:p>
        </w:tc>
        <w:tc>
          <w:tcPr>
            <w:tcW w:w="2318" w:type="pct"/>
            <w:vAlign w:val="center"/>
          </w:tcPr>
          <w:p>
            <w:pPr>
              <w:spacing w:line="240" w:lineRule="auto"/>
              <w:ind w:firstLine="0" w:firstLineChars="0"/>
              <w:rPr>
                <w:kern w:val="0"/>
                <w:sz w:val="24"/>
              </w:rPr>
            </w:pPr>
            <w:r>
              <w:rPr>
                <w:sz w:val="24"/>
              </w:rPr>
              <w:t>重特大生产安全事故起数</w:t>
            </w:r>
          </w:p>
        </w:tc>
        <w:tc>
          <w:tcPr>
            <w:tcW w:w="1191" w:type="pct"/>
            <w:vAlign w:val="center"/>
          </w:tcPr>
          <w:p>
            <w:pPr>
              <w:spacing w:line="240" w:lineRule="auto"/>
              <w:ind w:firstLine="0" w:firstLineChars="0"/>
              <w:jc w:val="center"/>
              <w:rPr>
                <w:snapToGrid w:val="0"/>
                <w:kern w:val="0"/>
                <w:sz w:val="24"/>
              </w:rPr>
            </w:pPr>
            <w:r>
              <w:rPr>
                <w:kern w:val="0"/>
                <w:sz w:val="24"/>
              </w:rPr>
              <w:t>0</w:t>
            </w:r>
          </w:p>
        </w:tc>
        <w:tc>
          <w:tcPr>
            <w:tcW w:w="661" w:type="pct"/>
            <w:vAlign w:val="center"/>
          </w:tcPr>
          <w:p>
            <w:pPr>
              <w:spacing w:line="240" w:lineRule="auto"/>
              <w:ind w:firstLine="0" w:firstLineChars="0"/>
              <w:jc w:val="center"/>
              <w:rPr>
                <w:snapToGrid w:val="0"/>
                <w:kern w:val="0"/>
                <w:sz w:val="24"/>
              </w:rPr>
            </w:pPr>
            <w:r>
              <w:rPr>
                <w:snapToGrid w:val="0"/>
                <w:kern w:val="0"/>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4" w:type="pct"/>
        </w:trPr>
        <w:tc>
          <w:tcPr>
            <w:tcW w:w="412" w:type="pct"/>
            <w:vAlign w:val="center"/>
          </w:tcPr>
          <w:p>
            <w:pPr>
              <w:pStyle w:val="77"/>
              <w:numPr>
                <w:ilvl w:val="0"/>
                <w:numId w:val="1"/>
              </w:numPr>
              <w:spacing w:line="240" w:lineRule="auto"/>
              <w:ind w:firstLineChars="0"/>
              <w:jc w:val="center"/>
              <w:rPr>
                <w:snapToGrid w:val="0"/>
                <w:kern w:val="0"/>
                <w:sz w:val="24"/>
              </w:rPr>
            </w:pPr>
          </w:p>
        </w:tc>
        <w:tc>
          <w:tcPr>
            <w:tcW w:w="414" w:type="pct"/>
            <w:vMerge w:val="continue"/>
          </w:tcPr>
          <w:p>
            <w:pPr>
              <w:spacing w:line="240" w:lineRule="auto"/>
              <w:ind w:firstLine="0" w:firstLineChars="0"/>
              <w:rPr>
                <w:kern w:val="0"/>
                <w:sz w:val="24"/>
              </w:rPr>
            </w:pPr>
          </w:p>
        </w:tc>
        <w:tc>
          <w:tcPr>
            <w:tcW w:w="2318" w:type="pct"/>
            <w:vAlign w:val="center"/>
          </w:tcPr>
          <w:p>
            <w:pPr>
              <w:spacing w:line="240" w:lineRule="auto"/>
              <w:ind w:firstLine="0" w:firstLineChars="0"/>
              <w:rPr>
                <w:kern w:val="0"/>
                <w:sz w:val="24"/>
              </w:rPr>
            </w:pPr>
            <w:r>
              <w:rPr>
                <w:sz w:val="24"/>
              </w:rPr>
              <w:t>亿元地区生产总值生产安全事故死亡率</w:t>
            </w:r>
          </w:p>
        </w:tc>
        <w:tc>
          <w:tcPr>
            <w:tcW w:w="1191" w:type="pct"/>
            <w:vAlign w:val="center"/>
          </w:tcPr>
          <w:p>
            <w:pPr>
              <w:spacing w:line="240" w:lineRule="auto"/>
              <w:ind w:firstLine="0" w:firstLineChars="0"/>
              <w:jc w:val="center"/>
              <w:rPr>
                <w:snapToGrid w:val="0"/>
                <w:kern w:val="0"/>
                <w:sz w:val="24"/>
              </w:rPr>
            </w:pPr>
            <w:r>
              <w:rPr>
                <w:snapToGrid w:val="0"/>
                <w:kern w:val="0"/>
                <w:sz w:val="24"/>
              </w:rPr>
              <w:t>下降33%</w:t>
            </w:r>
          </w:p>
        </w:tc>
        <w:tc>
          <w:tcPr>
            <w:tcW w:w="661" w:type="pct"/>
            <w:vAlign w:val="center"/>
          </w:tcPr>
          <w:p>
            <w:pPr>
              <w:spacing w:line="240" w:lineRule="auto"/>
              <w:ind w:firstLine="0" w:firstLineChars="0"/>
              <w:jc w:val="center"/>
              <w:rPr>
                <w:snapToGrid w:val="0"/>
                <w:kern w:val="0"/>
                <w:sz w:val="24"/>
              </w:rPr>
            </w:pPr>
            <w:r>
              <w:rPr>
                <w:snapToGrid w:val="0"/>
                <w:kern w:val="0"/>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Pr>
        <w:tc>
          <w:tcPr>
            <w:tcW w:w="412" w:type="pct"/>
            <w:vAlign w:val="center"/>
          </w:tcPr>
          <w:p>
            <w:pPr>
              <w:pStyle w:val="77"/>
              <w:numPr>
                <w:ilvl w:val="0"/>
                <w:numId w:val="1"/>
              </w:numPr>
              <w:spacing w:line="240" w:lineRule="auto"/>
              <w:ind w:firstLineChars="0"/>
              <w:jc w:val="center"/>
              <w:rPr>
                <w:snapToGrid w:val="0"/>
                <w:kern w:val="0"/>
                <w:sz w:val="24"/>
              </w:rPr>
            </w:pPr>
          </w:p>
        </w:tc>
        <w:tc>
          <w:tcPr>
            <w:tcW w:w="414" w:type="pct"/>
            <w:vMerge w:val="continue"/>
          </w:tcPr>
          <w:p>
            <w:pPr>
              <w:spacing w:line="240" w:lineRule="auto"/>
              <w:ind w:firstLine="0" w:firstLineChars="0"/>
              <w:rPr>
                <w:kern w:val="0"/>
                <w:sz w:val="24"/>
              </w:rPr>
            </w:pPr>
          </w:p>
        </w:tc>
        <w:tc>
          <w:tcPr>
            <w:tcW w:w="2318" w:type="pct"/>
            <w:vAlign w:val="center"/>
          </w:tcPr>
          <w:p>
            <w:pPr>
              <w:spacing w:line="240" w:lineRule="auto"/>
              <w:ind w:firstLine="0" w:firstLineChars="0"/>
              <w:rPr>
                <w:sz w:val="24"/>
              </w:rPr>
            </w:pPr>
            <w:r>
              <w:rPr>
                <w:sz w:val="24"/>
              </w:rPr>
              <w:t>火灾高危单位和高层公共建筑消防远程监控系统联网率</w:t>
            </w:r>
          </w:p>
        </w:tc>
        <w:tc>
          <w:tcPr>
            <w:tcW w:w="1191" w:type="pct"/>
            <w:vAlign w:val="center"/>
          </w:tcPr>
          <w:p>
            <w:pPr>
              <w:spacing w:line="240" w:lineRule="auto"/>
              <w:ind w:firstLine="0" w:firstLineChars="0"/>
              <w:jc w:val="center"/>
              <w:rPr>
                <w:kern w:val="0"/>
                <w:sz w:val="24"/>
              </w:rPr>
            </w:pPr>
            <w:r>
              <w:rPr>
                <w:kern w:val="0"/>
                <w:sz w:val="24"/>
              </w:rPr>
              <w:t>100%</w:t>
            </w:r>
          </w:p>
        </w:tc>
        <w:tc>
          <w:tcPr>
            <w:tcW w:w="661" w:type="pct"/>
            <w:vAlign w:val="center"/>
          </w:tcPr>
          <w:p>
            <w:pPr>
              <w:spacing w:line="240" w:lineRule="auto"/>
              <w:ind w:firstLine="0" w:firstLineChars="0"/>
              <w:jc w:val="center"/>
              <w:rPr>
                <w:kern w:val="0"/>
                <w:sz w:val="24"/>
              </w:rPr>
            </w:pPr>
            <w:r>
              <w:rPr>
                <w:snapToGrid w:val="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Pr>
        <w:tc>
          <w:tcPr>
            <w:tcW w:w="412" w:type="pct"/>
            <w:vAlign w:val="center"/>
          </w:tcPr>
          <w:p>
            <w:pPr>
              <w:pStyle w:val="77"/>
              <w:numPr>
                <w:ilvl w:val="0"/>
                <w:numId w:val="1"/>
              </w:numPr>
              <w:spacing w:line="240" w:lineRule="auto"/>
              <w:ind w:firstLineChars="0"/>
              <w:jc w:val="center"/>
              <w:rPr>
                <w:snapToGrid w:val="0"/>
                <w:kern w:val="0"/>
                <w:sz w:val="24"/>
              </w:rPr>
            </w:pPr>
          </w:p>
        </w:tc>
        <w:tc>
          <w:tcPr>
            <w:tcW w:w="414" w:type="pct"/>
            <w:vMerge w:val="restart"/>
            <w:vAlign w:val="center"/>
          </w:tcPr>
          <w:p>
            <w:pPr>
              <w:spacing w:line="240" w:lineRule="auto"/>
              <w:ind w:firstLine="0" w:firstLineChars="0"/>
              <w:jc w:val="center"/>
              <w:rPr>
                <w:kern w:val="0"/>
                <w:sz w:val="24"/>
              </w:rPr>
            </w:pPr>
            <w:r>
              <w:rPr>
                <w:kern w:val="0"/>
                <w:sz w:val="24"/>
              </w:rPr>
              <w:t>自然</w:t>
            </w:r>
          </w:p>
          <w:p>
            <w:pPr>
              <w:spacing w:line="240" w:lineRule="auto"/>
              <w:ind w:firstLine="0" w:firstLineChars="0"/>
              <w:jc w:val="center"/>
              <w:rPr>
                <w:kern w:val="0"/>
                <w:sz w:val="24"/>
              </w:rPr>
            </w:pPr>
            <w:r>
              <w:rPr>
                <w:kern w:val="0"/>
                <w:sz w:val="24"/>
              </w:rPr>
              <w:t>灾害</w:t>
            </w:r>
          </w:p>
        </w:tc>
        <w:tc>
          <w:tcPr>
            <w:tcW w:w="2318" w:type="pct"/>
            <w:vAlign w:val="center"/>
          </w:tcPr>
          <w:p>
            <w:pPr>
              <w:spacing w:line="240" w:lineRule="auto"/>
              <w:ind w:firstLine="0" w:firstLineChars="0"/>
              <w:rPr>
                <w:sz w:val="24"/>
              </w:rPr>
            </w:pPr>
            <w:r>
              <w:rPr>
                <w:kern w:val="0"/>
                <w:sz w:val="24"/>
              </w:rPr>
              <w:t>年均因自然灾害直接经济损失占地区生产总值比重</w:t>
            </w:r>
          </w:p>
        </w:tc>
        <w:tc>
          <w:tcPr>
            <w:tcW w:w="1191" w:type="pct"/>
            <w:vAlign w:val="center"/>
          </w:tcPr>
          <w:p>
            <w:pPr>
              <w:spacing w:line="240" w:lineRule="auto"/>
              <w:ind w:firstLine="0" w:firstLineChars="0"/>
              <w:jc w:val="center"/>
              <w:rPr>
                <w:snapToGrid w:val="0"/>
                <w:kern w:val="0"/>
                <w:sz w:val="24"/>
              </w:rPr>
            </w:pPr>
            <w:r>
              <w:rPr>
                <w:snapToGrid w:val="0"/>
                <w:kern w:val="0"/>
                <w:sz w:val="24"/>
              </w:rPr>
              <w:t>≤2‰</w:t>
            </w:r>
          </w:p>
        </w:tc>
        <w:tc>
          <w:tcPr>
            <w:tcW w:w="661" w:type="pct"/>
            <w:vAlign w:val="center"/>
          </w:tcPr>
          <w:p>
            <w:pPr>
              <w:spacing w:line="240" w:lineRule="auto"/>
              <w:ind w:firstLine="0" w:firstLineChars="0"/>
              <w:jc w:val="center"/>
              <w:rPr>
                <w:snapToGrid w:val="0"/>
                <w:kern w:val="0"/>
                <w:sz w:val="24"/>
              </w:rPr>
            </w:pPr>
            <w:r>
              <w:rPr>
                <w:snapToGrid w:val="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Pr>
        <w:tc>
          <w:tcPr>
            <w:tcW w:w="412" w:type="pct"/>
            <w:vAlign w:val="center"/>
          </w:tcPr>
          <w:p>
            <w:pPr>
              <w:pStyle w:val="77"/>
              <w:numPr>
                <w:ilvl w:val="0"/>
                <w:numId w:val="1"/>
              </w:numPr>
              <w:spacing w:line="240" w:lineRule="auto"/>
              <w:ind w:firstLineChars="0"/>
              <w:jc w:val="center"/>
              <w:rPr>
                <w:snapToGrid w:val="0"/>
                <w:kern w:val="0"/>
                <w:sz w:val="24"/>
              </w:rPr>
            </w:pPr>
          </w:p>
        </w:tc>
        <w:tc>
          <w:tcPr>
            <w:tcW w:w="414" w:type="pct"/>
            <w:vMerge w:val="continue"/>
          </w:tcPr>
          <w:p>
            <w:pPr>
              <w:spacing w:line="240" w:lineRule="auto"/>
              <w:ind w:firstLine="0" w:firstLineChars="0"/>
              <w:rPr>
                <w:kern w:val="0"/>
                <w:sz w:val="24"/>
              </w:rPr>
            </w:pPr>
          </w:p>
        </w:tc>
        <w:tc>
          <w:tcPr>
            <w:tcW w:w="2318" w:type="pct"/>
            <w:vAlign w:val="center"/>
          </w:tcPr>
          <w:p>
            <w:pPr>
              <w:spacing w:line="240" w:lineRule="auto"/>
              <w:ind w:firstLine="0" w:firstLineChars="0"/>
              <w:rPr>
                <w:sz w:val="24"/>
              </w:rPr>
            </w:pPr>
            <w:r>
              <w:rPr>
                <w:sz w:val="24"/>
              </w:rPr>
              <w:t>年均每百万人口因灾死亡率</w:t>
            </w:r>
          </w:p>
        </w:tc>
        <w:tc>
          <w:tcPr>
            <w:tcW w:w="1191" w:type="pct"/>
            <w:vAlign w:val="center"/>
          </w:tcPr>
          <w:p>
            <w:pPr>
              <w:spacing w:line="240" w:lineRule="auto"/>
              <w:ind w:firstLine="0" w:firstLineChars="0"/>
              <w:jc w:val="center"/>
              <w:rPr>
                <w:snapToGrid w:val="0"/>
                <w:kern w:val="0"/>
                <w:sz w:val="24"/>
              </w:rPr>
            </w:pPr>
            <w:r>
              <w:rPr>
                <w:snapToGrid w:val="0"/>
                <w:kern w:val="0"/>
                <w:sz w:val="24"/>
              </w:rPr>
              <w:t>≤0.5</w:t>
            </w:r>
          </w:p>
        </w:tc>
        <w:tc>
          <w:tcPr>
            <w:tcW w:w="661" w:type="pct"/>
            <w:vAlign w:val="center"/>
          </w:tcPr>
          <w:p>
            <w:pPr>
              <w:spacing w:line="240" w:lineRule="auto"/>
              <w:ind w:firstLine="0" w:firstLineChars="0"/>
              <w:jc w:val="center"/>
              <w:rPr>
                <w:snapToGrid w:val="0"/>
                <w:kern w:val="0"/>
                <w:sz w:val="24"/>
              </w:rPr>
            </w:pPr>
            <w:r>
              <w:rPr>
                <w:snapToGrid w:val="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Pr>
        <w:tc>
          <w:tcPr>
            <w:tcW w:w="412" w:type="pct"/>
            <w:vAlign w:val="center"/>
          </w:tcPr>
          <w:p>
            <w:pPr>
              <w:pStyle w:val="77"/>
              <w:numPr>
                <w:ilvl w:val="0"/>
                <w:numId w:val="1"/>
              </w:numPr>
              <w:spacing w:line="240" w:lineRule="auto"/>
              <w:ind w:firstLineChars="0"/>
              <w:jc w:val="center"/>
              <w:rPr>
                <w:snapToGrid w:val="0"/>
                <w:kern w:val="0"/>
                <w:sz w:val="24"/>
              </w:rPr>
            </w:pPr>
          </w:p>
        </w:tc>
        <w:tc>
          <w:tcPr>
            <w:tcW w:w="414" w:type="pct"/>
            <w:vMerge w:val="continue"/>
          </w:tcPr>
          <w:p>
            <w:pPr>
              <w:spacing w:line="240" w:lineRule="auto"/>
              <w:ind w:firstLine="0" w:firstLineChars="0"/>
              <w:rPr>
                <w:kern w:val="0"/>
                <w:sz w:val="24"/>
              </w:rPr>
            </w:pPr>
          </w:p>
        </w:tc>
        <w:tc>
          <w:tcPr>
            <w:tcW w:w="2318" w:type="pct"/>
            <w:vAlign w:val="center"/>
          </w:tcPr>
          <w:p>
            <w:pPr>
              <w:spacing w:line="240" w:lineRule="auto"/>
              <w:ind w:firstLine="0" w:firstLineChars="0"/>
              <w:rPr>
                <w:sz w:val="24"/>
              </w:rPr>
            </w:pPr>
            <w:r>
              <w:rPr>
                <w:sz w:val="24"/>
              </w:rPr>
              <w:t>年均每十万人受灾人次</w:t>
            </w:r>
          </w:p>
        </w:tc>
        <w:tc>
          <w:tcPr>
            <w:tcW w:w="1191" w:type="pct"/>
            <w:vAlign w:val="center"/>
          </w:tcPr>
          <w:p>
            <w:pPr>
              <w:spacing w:line="240" w:lineRule="auto"/>
              <w:ind w:firstLine="0" w:firstLineChars="0"/>
              <w:jc w:val="center"/>
              <w:rPr>
                <w:snapToGrid w:val="0"/>
                <w:kern w:val="0"/>
                <w:sz w:val="24"/>
              </w:rPr>
            </w:pPr>
            <w:r>
              <w:rPr>
                <w:snapToGrid w:val="0"/>
                <w:kern w:val="0"/>
                <w:sz w:val="24"/>
              </w:rPr>
              <w:t>≤15000</w:t>
            </w:r>
          </w:p>
        </w:tc>
        <w:tc>
          <w:tcPr>
            <w:tcW w:w="661" w:type="pct"/>
            <w:vAlign w:val="center"/>
          </w:tcPr>
          <w:p>
            <w:pPr>
              <w:spacing w:line="240" w:lineRule="auto"/>
              <w:ind w:firstLine="0" w:firstLineChars="0"/>
              <w:jc w:val="center"/>
              <w:rPr>
                <w:snapToGrid w:val="0"/>
                <w:kern w:val="0"/>
                <w:sz w:val="24"/>
              </w:rPr>
            </w:pPr>
            <w:r>
              <w:rPr>
                <w:snapToGrid w:val="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Pr>
        <w:tc>
          <w:tcPr>
            <w:tcW w:w="412" w:type="pct"/>
            <w:vAlign w:val="center"/>
          </w:tcPr>
          <w:p>
            <w:pPr>
              <w:pStyle w:val="77"/>
              <w:numPr>
                <w:ilvl w:val="0"/>
                <w:numId w:val="1"/>
              </w:numPr>
              <w:spacing w:line="240" w:lineRule="auto"/>
              <w:ind w:firstLineChars="0"/>
              <w:jc w:val="center"/>
              <w:rPr>
                <w:snapToGrid w:val="0"/>
                <w:kern w:val="0"/>
                <w:sz w:val="24"/>
              </w:rPr>
            </w:pPr>
          </w:p>
        </w:tc>
        <w:tc>
          <w:tcPr>
            <w:tcW w:w="414" w:type="pct"/>
            <w:vMerge w:val="continue"/>
          </w:tcPr>
          <w:p>
            <w:pPr>
              <w:spacing w:line="240" w:lineRule="auto"/>
              <w:ind w:firstLine="0" w:firstLineChars="0"/>
              <w:rPr>
                <w:kern w:val="0"/>
                <w:sz w:val="24"/>
              </w:rPr>
            </w:pPr>
          </w:p>
        </w:tc>
        <w:tc>
          <w:tcPr>
            <w:tcW w:w="2318" w:type="pct"/>
            <w:vAlign w:val="center"/>
          </w:tcPr>
          <w:p>
            <w:pPr>
              <w:spacing w:line="240" w:lineRule="auto"/>
              <w:ind w:firstLine="0" w:firstLineChars="0"/>
              <w:rPr>
                <w:sz w:val="24"/>
              </w:rPr>
            </w:pPr>
            <w:r>
              <w:rPr>
                <w:sz w:val="24"/>
              </w:rPr>
              <w:t>森林火灾受害率</w:t>
            </w:r>
          </w:p>
        </w:tc>
        <w:tc>
          <w:tcPr>
            <w:tcW w:w="1191" w:type="pct"/>
            <w:vAlign w:val="center"/>
          </w:tcPr>
          <w:p>
            <w:pPr>
              <w:spacing w:line="240" w:lineRule="auto"/>
              <w:ind w:firstLine="0" w:firstLineChars="0"/>
              <w:jc w:val="center"/>
              <w:rPr>
                <w:snapToGrid w:val="0"/>
                <w:kern w:val="0"/>
                <w:sz w:val="24"/>
              </w:rPr>
            </w:pPr>
            <w:r>
              <w:rPr>
                <w:snapToGrid w:val="0"/>
                <w:kern w:val="0"/>
                <w:sz w:val="24"/>
              </w:rPr>
              <w:t>≤0.9‰</w:t>
            </w:r>
          </w:p>
        </w:tc>
        <w:tc>
          <w:tcPr>
            <w:tcW w:w="661" w:type="pct"/>
            <w:vAlign w:val="center"/>
          </w:tcPr>
          <w:p>
            <w:pPr>
              <w:spacing w:line="240" w:lineRule="auto"/>
              <w:ind w:firstLine="0" w:firstLineChars="0"/>
              <w:jc w:val="center"/>
              <w:rPr>
                <w:snapToGrid w:val="0"/>
                <w:kern w:val="0"/>
                <w:sz w:val="24"/>
              </w:rPr>
            </w:pPr>
            <w:r>
              <w:rPr>
                <w:snapToGrid w:val="0"/>
                <w:kern w:val="0"/>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Pr>
        <w:tc>
          <w:tcPr>
            <w:tcW w:w="412" w:type="pct"/>
            <w:vAlign w:val="center"/>
          </w:tcPr>
          <w:p>
            <w:pPr>
              <w:pStyle w:val="77"/>
              <w:numPr>
                <w:ilvl w:val="0"/>
                <w:numId w:val="1"/>
              </w:numPr>
              <w:spacing w:line="240" w:lineRule="auto"/>
              <w:ind w:firstLineChars="0"/>
              <w:jc w:val="center"/>
              <w:rPr>
                <w:snapToGrid w:val="0"/>
                <w:kern w:val="0"/>
                <w:sz w:val="24"/>
              </w:rPr>
            </w:pPr>
          </w:p>
        </w:tc>
        <w:tc>
          <w:tcPr>
            <w:tcW w:w="414" w:type="pct"/>
            <w:vMerge w:val="continue"/>
          </w:tcPr>
          <w:p>
            <w:pPr>
              <w:spacing w:line="240" w:lineRule="auto"/>
              <w:ind w:firstLine="0" w:firstLineChars="0"/>
              <w:rPr>
                <w:kern w:val="0"/>
                <w:sz w:val="24"/>
              </w:rPr>
            </w:pPr>
          </w:p>
        </w:tc>
        <w:tc>
          <w:tcPr>
            <w:tcW w:w="2318" w:type="pct"/>
            <w:vAlign w:val="center"/>
          </w:tcPr>
          <w:p>
            <w:pPr>
              <w:spacing w:line="240" w:lineRule="auto"/>
              <w:ind w:firstLine="0" w:firstLineChars="0"/>
              <w:rPr>
                <w:sz w:val="24"/>
              </w:rPr>
            </w:pPr>
            <w:r>
              <w:rPr>
                <w:sz w:val="24"/>
              </w:rPr>
              <w:t>自动气象站数量（个）</w:t>
            </w:r>
          </w:p>
        </w:tc>
        <w:tc>
          <w:tcPr>
            <w:tcW w:w="1191" w:type="pct"/>
            <w:vAlign w:val="center"/>
          </w:tcPr>
          <w:p>
            <w:pPr>
              <w:spacing w:line="240" w:lineRule="auto"/>
              <w:ind w:firstLine="0" w:firstLineChars="0"/>
              <w:jc w:val="center"/>
              <w:rPr>
                <w:snapToGrid w:val="0"/>
                <w:kern w:val="0"/>
                <w:sz w:val="24"/>
              </w:rPr>
            </w:pPr>
            <w:r>
              <w:rPr>
                <w:snapToGrid w:val="0"/>
                <w:kern w:val="0"/>
                <w:sz w:val="24"/>
              </w:rPr>
              <w:t>31</w:t>
            </w:r>
          </w:p>
        </w:tc>
        <w:tc>
          <w:tcPr>
            <w:tcW w:w="661" w:type="pct"/>
            <w:vAlign w:val="center"/>
          </w:tcPr>
          <w:p>
            <w:pPr>
              <w:spacing w:line="240" w:lineRule="auto"/>
              <w:ind w:firstLine="0" w:firstLineChars="0"/>
              <w:jc w:val="center"/>
              <w:rPr>
                <w:snapToGrid w:val="0"/>
                <w:kern w:val="0"/>
                <w:sz w:val="24"/>
              </w:rPr>
            </w:pPr>
            <w:r>
              <w:rPr>
                <w:snapToGrid w:val="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Pr>
        <w:tc>
          <w:tcPr>
            <w:tcW w:w="412" w:type="pct"/>
            <w:vAlign w:val="center"/>
          </w:tcPr>
          <w:p>
            <w:pPr>
              <w:pStyle w:val="77"/>
              <w:numPr>
                <w:ilvl w:val="0"/>
                <w:numId w:val="1"/>
              </w:numPr>
              <w:spacing w:line="240" w:lineRule="auto"/>
              <w:ind w:firstLineChars="0"/>
              <w:jc w:val="center"/>
              <w:rPr>
                <w:snapToGrid w:val="0"/>
                <w:kern w:val="0"/>
                <w:sz w:val="24"/>
              </w:rPr>
            </w:pPr>
          </w:p>
        </w:tc>
        <w:tc>
          <w:tcPr>
            <w:tcW w:w="414" w:type="pct"/>
            <w:vMerge w:val="continue"/>
          </w:tcPr>
          <w:p>
            <w:pPr>
              <w:spacing w:line="240" w:lineRule="auto"/>
              <w:ind w:firstLine="0" w:firstLineChars="0"/>
              <w:rPr>
                <w:kern w:val="0"/>
                <w:sz w:val="24"/>
              </w:rPr>
            </w:pPr>
          </w:p>
        </w:tc>
        <w:tc>
          <w:tcPr>
            <w:tcW w:w="2318" w:type="pct"/>
            <w:vAlign w:val="center"/>
          </w:tcPr>
          <w:p>
            <w:pPr>
              <w:spacing w:line="240" w:lineRule="auto"/>
              <w:ind w:firstLine="0" w:firstLineChars="0"/>
              <w:rPr>
                <w:snapToGrid w:val="0"/>
                <w:kern w:val="0"/>
                <w:sz w:val="24"/>
              </w:rPr>
            </w:pPr>
            <w:r>
              <w:rPr>
                <w:snapToGrid w:val="0"/>
                <w:kern w:val="0"/>
                <w:sz w:val="24"/>
              </w:rPr>
              <w:t>暴雨预警准确度</w:t>
            </w:r>
          </w:p>
        </w:tc>
        <w:tc>
          <w:tcPr>
            <w:tcW w:w="1191" w:type="pct"/>
            <w:vAlign w:val="center"/>
          </w:tcPr>
          <w:p>
            <w:pPr>
              <w:spacing w:line="240" w:lineRule="auto"/>
              <w:ind w:firstLine="0" w:firstLineChars="0"/>
              <w:jc w:val="center"/>
              <w:rPr>
                <w:snapToGrid w:val="0"/>
                <w:kern w:val="0"/>
                <w:sz w:val="24"/>
              </w:rPr>
            </w:pPr>
            <w:r>
              <w:rPr>
                <w:snapToGrid w:val="0"/>
                <w:kern w:val="0"/>
                <w:sz w:val="24"/>
              </w:rPr>
              <w:t>≥80%</w:t>
            </w:r>
          </w:p>
        </w:tc>
        <w:tc>
          <w:tcPr>
            <w:tcW w:w="661" w:type="pct"/>
            <w:vAlign w:val="center"/>
          </w:tcPr>
          <w:p>
            <w:pPr>
              <w:spacing w:line="240" w:lineRule="auto"/>
              <w:ind w:firstLine="0" w:firstLineChars="0"/>
              <w:jc w:val="center"/>
              <w:rPr>
                <w:snapToGrid w:val="0"/>
                <w:kern w:val="0"/>
                <w:sz w:val="24"/>
              </w:rPr>
            </w:pPr>
            <w:r>
              <w:rPr>
                <w:snapToGrid w:val="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Pr>
        <w:tc>
          <w:tcPr>
            <w:tcW w:w="412" w:type="pct"/>
            <w:vAlign w:val="center"/>
          </w:tcPr>
          <w:p>
            <w:pPr>
              <w:pStyle w:val="77"/>
              <w:numPr>
                <w:ilvl w:val="0"/>
                <w:numId w:val="1"/>
              </w:numPr>
              <w:spacing w:line="240" w:lineRule="auto"/>
              <w:ind w:firstLineChars="0"/>
              <w:jc w:val="center"/>
              <w:rPr>
                <w:snapToGrid w:val="0"/>
                <w:kern w:val="0"/>
                <w:sz w:val="24"/>
              </w:rPr>
            </w:pPr>
          </w:p>
        </w:tc>
        <w:tc>
          <w:tcPr>
            <w:tcW w:w="414" w:type="pct"/>
            <w:vMerge w:val="continue"/>
          </w:tcPr>
          <w:p>
            <w:pPr>
              <w:spacing w:line="240" w:lineRule="auto"/>
              <w:ind w:firstLine="0" w:firstLineChars="0"/>
              <w:rPr>
                <w:kern w:val="0"/>
                <w:sz w:val="24"/>
              </w:rPr>
            </w:pPr>
          </w:p>
        </w:tc>
        <w:tc>
          <w:tcPr>
            <w:tcW w:w="2318" w:type="pct"/>
            <w:vAlign w:val="center"/>
          </w:tcPr>
          <w:p>
            <w:pPr>
              <w:spacing w:line="240" w:lineRule="auto"/>
              <w:ind w:firstLine="0" w:firstLineChars="0"/>
              <w:rPr>
                <w:sz w:val="24"/>
              </w:rPr>
            </w:pPr>
            <w:r>
              <w:rPr>
                <w:sz w:val="24"/>
              </w:rPr>
              <w:t>重点河流防洪标准</w:t>
            </w:r>
          </w:p>
        </w:tc>
        <w:tc>
          <w:tcPr>
            <w:tcW w:w="1191" w:type="pct"/>
            <w:vAlign w:val="center"/>
          </w:tcPr>
          <w:p>
            <w:pPr>
              <w:spacing w:line="240" w:lineRule="auto"/>
              <w:ind w:firstLine="0" w:firstLineChars="0"/>
              <w:jc w:val="left"/>
              <w:rPr>
                <w:snapToGrid w:val="0"/>
                <w:kern w:val="0"/>
                <w:sz w:val="24"/>
              </w:rPr>
            </w:pPr>
            <w:r>
              <w:rPr>
                <w:sz w:val="24"/>
              </w:rPr>
              <w:t>赤石河干流重要建成区防洪标准达到200年一遇，其他河流整治后防洪标准达到100年一遇，内涝防治重现期力争达到20-50年一遇。</w:t>
            </w:r>
          </w:p>
        </w:tc>
        <w:tc>
          <w:tcPr>
            <w:tcW w:w="661" w:type="pct"/>
            <w:vAlign w:val="center"/>
          </w:tcPr>
          <w:p>
            <w:pPr>
              <w:spacing w:line="240" w:lineRule="auto"/>
              <w:ind w:firstLine="0" w:firstLineChars="0"/>
              <w:jc w:val="center"/>
              <w:rPr>
                <w:snapToGrid w:val="0"/>
                <w:kern w:val="0"/>
                <w:sz w:val="24"/>
              </w:rPr>
            </w:pPr>
            <w:r>
              <w:rPr>
                <w:snapToGrid w:val="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4" w:type="pct"/>
        </w:trPr>
        <w:tc>
          <w:tcPr>
            <w:tcW w:w="412" w:type="pct"/>
            <w:vAlign w:val="center"/>
          </w:tcPr>
          <w:p>
            <w:pPr>
              <w:pStyle w:val="77"/>
              <w:numPr>
                <w:ilvl w:val="0"/>
                <w:numId w:val="1"/>
              </w:numPr>
              <w:spacing w:line="240" w:lineRule="auto"/>
              <w:ind w:firstLineChars="0"/>
              <w:jc w:val="center"/>
              <w:rPr>
                <w:snapToGrid w:val="0"/>
                <w:kern w:val="0"/>
                <w:sz w:val="24"/>
              </w:rPr>
            </w:pPr>
          </w:p>
        </w:tc>
        <w:tc>
          <w:tcPr>
            <w:tcW w:w="414" w:type="pct"/>
            <w:vMerge w:val="continue"/>
          </w:tcPr>
          <w:p>
            <w:pPr>
              <w:spacing w:line="240" w:lineRule="auto"/>
              <w:ind w:firstLine="0" w:firstLineChars="0"/>
              <w:rPr>
                <w:kern w:val="0"/>
                <w:sz w:val="24"/>
              </w:rPr>
            </w:pPr>
          </w:p>
        </w:tc>
        <w:tc>
          <w:tcPr>
            <w:tcW w:w="2318" w:type="pct"/>
            <w:vAlign w:val="center"/>
          </w:tcPr>
          <w:p>
            <w:pPr>
              <w:spacing w:line="240" w:lineRule="auto"/>
              <w:ind w:firstLine="0" w:firstLineChars="0"/>
              <w:rPr>
                <w:sz w:val="24"/>
              </w:rPr>
            </w:pPr>
            <w:r>
              <w:rPr>
                <w:sz w:val="24"/>
              </w:rPr>
              <w:t>沿海地区防潮标准</w:t>
            </w:r>
          </w:p>
        </w:tc>
        <w:tc>
          <w:tcPr>
            <w:tcW w:w="1191" w:type="pct"/>
            <w:vAlign w:val="center"/>
          </w:tcPr>
          <w:p>
            <w:pPr>
              <w:spacing w:line="240" w:lineRule="auto"/>
              <w:ind w:firstLine="0" w:firstLineChars="0"/>
              <w:jc w:val="center"/>
              <w:rPr>
                <w:snapToGrid w:val="0"/>
                <w:kern w:val="0"/>
                <w:sz w:val="24"/>
              </w:rPr>
            </w:pPr>
            <w:r>
              <w:rPr>
                <w:snapToGrid w:val="0"/>
                <w:kern w:val="0"/>
                <w:sz w:val="24"/>
              </w:rPr>
              <w:t>200年一遇</w:t>
            </w:r>
          </w:p>
        </w:tc>
        <w:tc>
          <w:tcPr>
            <w:tcW w:w="661" w:type="pct"/>
            <w:vAlign w:val="center"/>
          </w:tcPr>
          <w:p>
            <w:pPr>
              <w:spacing w:line="240" w:lineRule="auto"/>
              <w:ind w:firstLine="0" w:firstLineChars="0"/>
              <w:jc w:val="center"/>
              <w:rPr>
                <w:snapToGrid w:val="0"/>
                <w:kern w:val="0"/>
                <w:sz w:val="24"/>
              </w:rPr>
            </w:pPr>
            <w:r>
              <w:rPr>
                <w:snapToGrid w:val="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Pr>
        <w:tc>
          <w:tcPr>
            <w:tcW w:w="412" w:type="pct"/>
            <w:vAlign w:val="center"/>
          </w:tcPr>
          <w:p>
            <w:pPr>
              <w:pStyle w:val="77"/>
              <w:numPr>
                <w:ilvl w:val="0"/>
                <w:numId w:val="1"/>
              </w:numPr>
              <w:spacing w:line="240" w:lineRule="auto"/>
              <w:ind w:firstLineChars="0"/>
              <w:jc w:val="center"/>
              <w:rPr>
                <w:snapToGrid w:val="0"/>
                <w:kern w:val="0"/>
                <w:sz w:val="24"/>
              </w:rPr>
            </w:pPr>
          </w:p>
        </w:tc>
        <w:tc>
          <w:tcPr>
            <w:tcW w:w="414" w:type="pct"/>
            <w:vMerge w:val="continue"/>
          </w:tcPr>
          <w:p>
            <w:pPr>
              <w:spacing w:line="240" w:lineRule="auto"/>
              <w:ind w:firstLine="0" w:firstLineChars="0"/>
              <w:rPr>
                <w:kern w:val="0"/>
                <w:sz w:val="24"/>
              </w:rPr>
            </w:pPr>
          </w:p>
        </w:tc>
        <w:tc>
          <w:tcPr>
            <w:tcW w:w="2318" w:type="pct"/>
            <w:vAlign w:val="center"/>
          </w:tcPr>
          <w:p>
            <w:pPr>
              <w:spacing w:line="240" w:lineRule="auto"/>
              <w:ind w:firstLine="0" w:firstLineChars="0"/>
              <w:rPr>
                <w:sz w:val="24"/>
              </w:rPr>
            </w:pPr>
            <w:r>
              <w:rPr>
                <w:sz w:val="24"/>
              </w:rPr>
              <w:t>城区和重要区域内涝防治重现期</w:t>
            </w:r>
          </w:p>
        </w:tc>
        <w:tc>
          <w:tcPr>
            <w:tcW w:w="1191" w:type="pct"/>
            <w:vAlign w:val="center"/>
          </w:tcPr>
          <w:p>
            <w:pPr>
              <w:spacing w:line="240" w:lineRule="auto"/>
              <w:ind w:firstLine="0" w:firstLineChars="0"/>
              <w:jc w:val="center"/>
              <w:rPr>
                <w:snapToGrid w:val="0"/>
                <w:kern w:val="0"/>
                <w:sz w:val="24"/>
              </w:rPr>
            </w:pPr>
            <w:r>
              <w:rPr>
                <w:snapToGrid w:val="0"/>
                <w:kern w:val="0"/>
                <w:sz w:val="24"/>
              </w:rPr>
              <w:t>力争达到50年</w:t>
            </w:r>
          </w:p>
        </w:tc>
        <w:tc>
          <w:tcPr>
            <w:tcW w:w="661" w:type="pct"/>
            <w:vAlign w:val="center"/>
          </w:tcPr>
          <w:p>
            <w:pPr>
              <w:spacing w:line="240" w:lineRule="auto"/>
              <w:ind w:firstLine="0" w:firstLineChars="0"/>
              <w:jc w:val="center"/>
              <w:rPr>
                <w:snapToGrid w:val="0"/>
                <w:kern w:val="0"/>
                <w:sz w:val="24"/>
              </w:rPr>
            </w:pPr>
            <w:r>
              <w:rPr>
                <w:snapToGrid w:val="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Pr>
        <w:tc>
          <w:tcPr>
            <w:tcW w:w="412" w:type="pct"/>
            <w:vAlign w:val="center"/>
          </w:tcPr>
          <w:p>
            <w:pPr>
              <w:pStyle w:val="77"/>
              <w:numPr>
                <w:ilvl w:val="0"/>
                <w:numId w:val="1"/>
              </w:numPr>
              <w:spacing w:line="240" w:lineRule="auto"/>
              <w:ind w:firstLineChars="0"/>
              <w:jc w:val="center"/>
              <w:rPr>
                <w:snapToGrid w:val="0"/>
                <w:kern w:val="0"/>
                <w:sz w:val="24"/>
              </w:rPr>
            </w:pPr>
          </w:p>
        </w:tc>
        <w:tc>
          <w:tcPr>
            <w:tcW w:w="414" w:type="pct"/>
            <w:vMerge w:val="continue"/>
          </w:tcPr>
          <w:p>
            <w:pPr>
              <w:spacing w:line="240" w:lineRule="auto"/>
              <w:ind w:firstLine="0" w:firstLineChars="0"/>
              <w:rPr>
                <w:kern w:val="0"/>
                <w:sz w:val="24"/>
              </w:rPr>
            </w:pPr>
          </w:p>
        </w:tc>
        <w:tc>
          <w:tcPr>
            <w:tcW w:w="2318" w:type="pct"/>
            <w:vAlign w:val="center"/>
          </w:tcPr>
          <w:p>
            <w:pPr>
              <w:spacing w:line="240" w:lineRule="auto"/>
              <w:ind w:firstLine="0" w:firstLineChars="0"/>
              <w:rPr>
                <w:sz w:val="24"/>
              </w:rPr>
            </w:pPr>
            <w:r>
              <w:rPr>
                <w:sz w:val="24"/>
              </w:rPr>
              <w:t>灾害事故信息发布公众覆盖率</w:t>
            </w:r>
          </w:p>
        </w:tc>
        <w:tc>
          <w:tcPr>
            <w:tcW w:w="1191" w:type="pct"/>
            <w:vAlign w:val="center"/>
          </w:tcPr>
          <w:p>
            <w:pPr>
              <w:spacing w:line="240" w:lineRule="auto"/>
              <w:ind w:firstLine="0" w:firstLineChars="0"/>
              <w:jc w:val="center"/>
              <w:rPr>
                <w:snapToGrid w:val="0"/>
                <w:kern w:val="0"/>
                <w:sz w:val="24"/>
              </w:rPr>
            </w:pPr>
            <w:r>
              <w:rPr>
                <w:snapToGrid w:val="0"/>
                <w:kern w:val="0"/>
                <w:sz w:val="24"/>
              </w:rPr>
              <w:t>100%</w:t>
            </w:r>
          </w:p>
        </w:tc>
        <w:tc>
          <w:tcPr>
            <w:tcW w:w="661" w:type="pct"/>
            <w:vAlign w:val="center"/>
          </w:tcPr>
          <w:p>
            <w:pPr>
              <w:spacing w:line="240" w:lineRule="auto"/>
              <w:ind w:firstLine="0" w:firstLineChars="0"/>
              <w:jc w:val="center"/>
              <w:rPr>
                <w:snapToGrid w:val="0"/>
                <w:kern w:val="0"/>
                <w:sz w:val="24"/>
              </w:rPr>
            </w:pPr>
            <w:r>
              <w:rPr>
                <w:snapToGrid w:val="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Pr>
        <w:tc>
          <w:tcPr>
            <w:tcW w:w="412" w:type="pct"/>
            <w:vAlign w:val="center"/>
          </w:tcPr>
          <w:p>
            <w:pPr>
              <w:pStyle w:val="77"/>
              <w:numPr>
                <w:ilvl w:val="0"/>
                <w:numId w:val="1"/>
              </w:numPr>
              <w:spacing w:line="240" w:lineRule="auto"/>
              <w:ind w:firstLineChars="0"/>
              <w:jc w:val="center"/>
              <w:rPr>
                <w:snapToGrid w:val="0"/>
                <w:kern w:val="0"/>
                <w:sz w:val="24"/>
              </w:rPr>
            </w:pPr>
          </w:p>
        </w:tc>
        <w:tc>
          <w:tcPr>
            <w:tcW w:w="414" w:type="pct"/>
            <w:vMerge w:val="restart"/>
            <w:vAlign w:val="center"/>
          </w:tcPr>
          <w:p>
            <w:pPr>
              <w:spacing w:line="240" w:lineRule="auto"/>
              <w:ind w:firstLine="0" w:firstLineChars="0"/>
              <w:jc w:val="center"/>
              <w:rPr>
                <w:kern w:val="0"/>
                <w:sz w:val="24"/>
              </w:rPr>
            </w:pPr>
            <w:r>
              <w:rPr>
                <w:kern w:val="0"/>
                <w:sz w:val="24"/>
              </w:rPr>
              <w:t>应急</w:t>
            </w:r>
          </w:p>
          <w:p>
            <w:pPr>
              <w:spacing w:line="240" w:lineRule="auto"/>
              <w:ind w:firstLine="0" w:firstLineChars="0"/>
              <w:jc w:val="center"/>
              <w:rPr>
                <w:kern w:val="0"/>
                <w:sz w:val="24"/>
              </w:rPr>
            </w:pPr>
            <w:r>
              <w:rPr>
                <w:kern w:val="0"/>
                <w:sz w:val="24"/>
              </w:rPr>
              <w:t>救援</w:t>
            </w:r>
          </w:p>
        </w:tc>
        <w:tc>
          <w:tcPr>
            <w:tcW w:w="2318" w:type="pct"/>
            <w:vAlign w:val="center"/>
          </w:tcPr>
          <w:p>
            <w:pPr>
              <w:spacing w:line="240" w:lineRule="auto"/>
              <w:ind w:firstLine="0" w:firstLineChars="0"/>
              <w:rPr>
                <w:sz w:val="24"/>
              </w:rPr>
            </w:pPr>
            <w:r>
              <w:rPr>
                <w:sz w:val="24"/>
              </w:rPr>
              <w:t>专职消防人员与城市常住人口万人配比率</w:t>
            </w:r>
          </w:p>
        </w:tc>
        <w:tc>
          <w:tcPr>
            <w:tcW w:w="1191" w:type="pct"/>
            <w:vAlign w:val="center"/>
          </w:tcPr>
          <w:p>
            <w:pPr>
              <w:spacing w:line="240" w:lineRule="auto"/>
              <w:ind w:firstLine="0" w:firstLineChars="0"/>
              <w:jc w:val="center"/>
              <w:rPr>
                <w:kern w:val="0"/>
                <w:sz w:val="24"/>
              </w:rPr>
            </w:pPr>
            <w:r>
              <w:rPr>
                <w:snapToGrid w:val="0"/>
                <w:kern w:val="0"/>
                <w:sz w:val="24"/>
              </w:rPr>
              <w:t>≥6</w:t>
            </w:r>
          </w:p>
        </w:tc>
        <w:tc>
          <w:tcPr>
            <w:tcW w:w="661" w:type="pct"/>
            <w:vAlign w:val="center"/>
          </w:tcPr>
          <w:p>
            <w:pPr>
              <w:spacing w:line="240" w:lineRule="auto"/>
              <w:ind w:firstLine="0" w:firstLineChars="0"/>
              <w:jc w:val="center"/>
              <w:rPr>
                <w:kern w:val="0"/>
                <w:sz w:val="24"/>
              </w:rPr>
            </w:pPr>
            <w:r>
              <w:rPr>
                <w:snapToGrid w:val="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Pr>
        <w:tc>
          <w:tcPr>
            <w:tcW w:w="412" w:type="pct"/>
            <w:vAlign w:val="center"/>
          </w:tcPr>
          <w:p>
            <w:pPr>
              <w:pStyle w:val="77"/>
              <w:numPr>
                <w:ilvl w:val="0"/>
                <w:numId w:val="1"/>
              </w:numPr>
              <w:spacing w:line="240" w:lineRule="auto"/>
              <w:ind w:firstLineChars="0"/>
              <w:jc w:val="center"/>
              <w:rPr>
                <w:snapToGrid w:val="0"/>
                <w:kern w:val="0"/>
                <w:sz w:val="24"/>
              </w:rPr>
            </w:pPr>
          </w:p>
        </w:tc>
        <w:tc>
          <w:tcPr>
            <w:tcW w:w="414" w:type="pct"/>
            <w:vMerge w:val="continue"/>
            <w:vAlign w:val="center"/>
          </w:tcPr>
          <w:p>
            <w:pPr>
              <w:spacing w:line="240" w:lineRule="auto"/>
              <w:ind w:firstLine="0" w:firstLineChars="0"/>
              <w:jc w:val="center"/>
              <w:rPr>
                <w:kern w:val="0"/>
                <w:sz w:val="24"/>
              </w:rPr>
            </w:pPr>
          </w:p>
        </w:tc>
        <w:tc>
          <w:tcPr>
            <w:tcW w:w="2318" w:type="pct"/>
            <w:vAlign w:val="center"/>
          </w:tcPr>
          <w:p>
            <w:pPr>
              <w:spacing w:line="240" w:lineRule="auto"/>
              <w:ind w:firstLine="0" w:firstLineChars="0"/>
              <w:rPr>
                <w:sz w:val="24"/>
              </w:rPr>
            </w:pPr>
            <w:r>
              <w:rPr>
                <w:sz w:val="24"/>
              </w:rPr>
              <w:t>人均避难（护）场所面积</w:t>
            </w:r>
          </w:p>
        </w:tc>
        <w:tc>
          <w:tcPr>
            <w:tcW w:w="1191" w:type="pct"/>
            <w:vAlign w:val="center"/>
          </w:tcPr>
          <w:p>
            <w:pPr>
              <w:spacing w:line="240" w:lineRule="auto"/>
              <w:ind w:firstLine="0" w:firstLineChars="0"/>
              <w:jc w:val="center"/>
              <w:rPr>
                <w:snapToGrid w:val="0"/>
                <w:kern w:val="0"/>
                <w:sz w:val="24"/>
              </w:rPr>
            </w:pPr>
            <w:r>
              <w:rPr>
                <w:sz w:val="24"/>
              </w:rPr>
              <w:t>1.5m</w:t>
            </w:r>
            <w:r>
              <w:rPr>
                <w:sz w:val="24"/>
                <w:vertAlign w:val="superscript"/>
              </w:rPr>
              <w:t>2</w:t>
            </w:r>
          </w:p>
        </w:tc>
        <w:tc>
          <w:tcPr>
            <w:tcW w:w="661" w:type="pct"/>
            <w:vAlign w:val="center"/>
          </w:tcPr>
          <w:p>
            <w:pPr>
              <w:spacing w:line="240" w:lineRule="auto"/>
              <w:ind w:firstLine="0" w:firstLineChars="0"/>
              <w:jc w:val="center"/>
              <w:rPr>
                <w:snapToGrid w:val="0"/>
                <w:kern w:val="0"/>
                <w:sz w:val="24"/>
              </w:rPr>
            </w:pPr>
            <w:r>
              <w:rPr>
                <w:snapToGrid w:val="0"/>
                <w:kern w:val="0"/>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Pr>
        <w:tc>
          <w:tcPr>
            <w:tcW w:w="412" w:type="pct"/>
            <w:vAlign w:val="center"/>
          </w:tcPr>
          <w:p>
            <w:pPr>
              <w:pStyle w:val="77"/>
              <w:numPr>
                <w:ilvl w:val="0"/>
                <w:numId w:val="1"/>
              </w:numPr>
              <w:spacing w:line="240" w:lineRule="auto"/>
              <w:ind w:firstLineChars="0"/>
              <w:jc w:val="center"/>
              <w:rPr>
                <w:snapToGrid w:val="0"/>
                <w:kern w:val="0"/>
                <w:sz w:val="24"/>
              </w:rPr>
            </w:pPr>
          </w:p>
        </w:tc>
        <w:tc>
          <w:tcPr>
            <w:tcW w:w="414" w:type="pct"/>
            <w:vMerge w:val="continue"/>
            <w:vAlign w:val="center"/>
          </w:tcPr>
          <w:p>
            <w:pPr>
              <w:spacing w:line="240" w:lineRule="auto"/>
              <w:ind w:firstLine="0" w:firstLineChars="0"/>
              <w:jc w:val="center"/>
              <w:rPr>
                <w:kern w:val="0"/>
                <w:sz w:val="24"/>
              </w:rPr>
            </w:pPr>
          </w:p>
        </w:tc>
        <w:tc>
          <w:tcPr>
            <w:tcW w:w="2318" w:type="pct"/>
            <w:vAlign w:val="center"/>
          </w:tcPr>
          <w:p>
            <w:pPr>
              <w:spacing w:line="240" w:lineRule="auto"/>
              <w:ind w:firstLine="0" w:firstLineChars="0"/>
              <w:rPr>
                <w:sz w:val="24"/>
              </w:rPr>
            </w:pPr>
            <w:r>
              <w:rPr>
                <w:sz w:val="24"/>
              </w:rPr>
              <w:t>应急避难场所标准化建设率</w:t>
            </w:r>
          </w:p>
        </w:tc>
        <w:tc>
          <w:tcPr>
            <w:tcW w:w="1191" w:type="pct"/>
            <w:vAlign w:val="center"/>
          </w:tcPr>
          <w:p>
            <w:pPr>
              <w:spacing w:line="240" w:lineRule="auto"/>
              <w:ind w:firstLine="0" w:firstLineChars="0"/>
              <w:jc w:val="center"/>
              <w:rPr>
                <w:sz w:val="24"/>
              </w:rPr>
            </w:pPr>
            <w:r>
              <w:rPr>
                <w:sz w:val="24"/>
              </w:rPr>
              <w:t>100%</w:t>
            </w:r>
          </w:p>
        </w:tc>
        <w:tc>
          <w:tcPr>
            <w:tcW w:w="661" w:type="pct"/>
            <w:vAlign w:val="center"/>
          </w:tcPr>
          <w:p>
            <w:pPr>
              <w:spacing w:line="240" w:lineRule="auto"/>
              <w:ind w:firstLine="0" w:firstLineChars="0"/>
              <w:jc w:val="center"/>
              <w:rPr>
                <w:sz w:val="24"/>
              </w:rPr>
            </w:pPr>
            <w:r>
              <w:rPr>
                <w:snapToGrid w:val="0"/>
                <w:kern w:val="0"/>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50" w:hRule="atLeast"/>
        </w:trPr>
        <w:tc>
          <w:tcPr>
            <w:tcW w:w="412" w:type="pct"/>
            <w:vAlign w:val="center"/>
          </w:tcPr>
          <w:p>
            <w:pPr>
              <w:pStyle w:val="77"/>
              <w:numPr>
                <w:ilvl w:val="0"/>
                <w:numId w:val="1"/>
              </w:numPr>
              <w:spacing w:line="240" w:lineRule="auto"/>
              <w:ind w:firstLineChars="0"/>
              <w:jc w:val="center"/>
              <w:rPr>
                <w:snapToGrid w:val="0"/>
                <w:kern w:val="0"/>
                <w:sz w:val="24"/>
              </w:rPr>
            </w:pPr>
          </w:p>
        </w:tc>
        <w:tc>
          <w:tcPr>
            <w:tcW w:w="414" w:type="pct"/>
            <w:vMerge w:val="continue"/>
          </w:tcPr>
          <w:p>
            <w:pPr>
              <w:spacing w:line="240" w:lineRule="auto"/>
              <w:ind w:firstLine="0" w:firstLineChars="0"/>
              <w:rPr>
                <w:kern w:val="0"/>
                <w:sz w:val="24"/>
              </w:rPr>
            </w:pPr>
          </w:p>
        </w:tc>
        <w:tc>
          <w:tcPr>
            <w:tcW w:w="2318" w:type="pct"/>
            <w:vAlign w:val="center"/>
          </w:tcPr>
          <w:p>
            <w:pPr>
              <w:spacing w:line="240" w:lineRule="auto"/>
              <w:ind w:firstLine="0" w:firstLineChars="0"/>
              <w:rPr>
                <w:sz w:val="24"/>
              </w:rPr>
            </w:pPr>
            <w:r>
              <w:rPr>
                <w:sz w:val="24"/>
              </w:rPr>
              <w:t>受灾群众基本生活得到初步救助的时间</w:t>
            </w:r>
          </w:p>
        </w:tc>
        <w:tc>
          <w:tcPr>
            <w:tcW w:w="1191" w:type="pct"/>
            <w:vAlign w:val="center"/>
          </w:tcPr>
          <w:p>
            <w:pPr>
              <w:spacing w:line="240" w:lineRule="auto"/>
              <w:ind w:firstLine="0" w:firstLineChars="0"/>
              <w:jc w:val="center"/>
              <w:rPr>
                <w:snapToGrid w:val="0"/>
                <w:kern w:val="0"/>
                <w:sz w:val="24"/>
              </w:rPr>
            </w:pPr>
            <w:r>
              <w:rPr>
                <w:snapToGrid w:val="0"/>
                <w:kern w:val="0"/>
                <w:sz w:val="24"/>
              </w:rPr>
              <w:t>≤6小时</w:t>
            </w:r>
          </w:p>
        </w:tc>
        <w:tc>
          <w:tcPr>
            <w:tcW w:w="661" w:type="pct"/>
            <w:vAlign w:val="center"/>
          </w:tcPr>
          <w:p>
            <w:pPr>
              <w:spacing w:line="240" w:lineRule="auto"/>
              <w:ind w:firstLine="0" w:firstLineChars="0"/>
              <w:jc w:val="center"/>
              <w:rPr>
                <w:snapToGrid w:val="0"/>
                <w:kern w:val="0"/>
                <w:sz w:val="24"/>
              </w:rPr>
            </w:pPr>
            <w:r>
              <w:rPr>
                <w:snapToGrid w:val="0"/>
                <w:kern w:val="0"/>
                <w:sz w:val="24"/>
              </w:rPr>
              <w:t>约束性</w:t>
            </w:r>
          </w:p>
        </w:tc>
      </w:tr>
    </w:tbl>
    <w:p>
      <w:pPr>
        <w:ind w:firstLine="640"/>
        <w:rPr>
          <w:rFonts w:eastAsia="黑体"/>
          <w:kern w:val="44"/>
          <w:sz w:val="36"/>
          <w:szCs w:val="44"/>
        </w:rPr>
      </w:pPr>
      <w:bookmarkStart w:id="69" w:name="_Toc419963422"/>
      <w:r>
        <w:br w:type="page"/>
      </w:r>
    </w:p>
    <w:p>
      <w:pPr>
        <w:pStyle w:val="2"/>
      </w:pPr>
      <w:bookmarkStart w:id="70" w:name="_Toc80221576"/>
      <w:r>
        <w:t>第三章 主要任务</w:t>
      </w:r>
      <w:bookmarkEnd w:id="69"/>
      <w:bookmarkEnd w:id="70"/>
    </w:p>
    <w:p>
      <w:pPr>
        <w:pStyle w:val="3"/>
      </w:pPr>
      <w:bookmarkStart w:id="71" w:name="_Toc59651180"/>
      <w:bookmarkStart w:id="72" w:name="_Toc80221577"/>
      <w:r>
        <w:t>第一节 健全组织管理体系</w:t>
      </w:r>
      <w:bookmarkEnd w:id="71"/>
      <w:r>
        <w:t>，提升统筹协调能力</w:t>
      </w:r>
      <w:bookmarkEnd w:id="72"/>
    </w:p>
    <w:p>
      <w:pPr>
        <w:pStyle w:val="4"/>
        <w:ind w:firstLine="640"/>
      </w:pPr>
      <w:bookmarkStart w:id="73" w:name="_Toc59651181"/>
      <w:bookmarkStart w:id="74" w:name="_Toc80221578"/>
      <w:r>
        <w:t>一、强化“大应急”组织领导</w:t>
      </w:r>
      <w:bookmarkEnd w:id="73"/>
      <w:bookmarkEnd w:id="74"/>
    </w:p>
    <w:p>
      <w:pPr>
        <w:ind w:firstLine="643"/>
        <w:rPr>
          <w:b/>
          <w:shd w:val="clear" w:color="auto" w:fill="FFFFFF"/>
        </w:rPr>
      </w:pPr>
      <w:r>
        <w:rPr>
          <w:b/>
          <w:shd w:val="clear" w:color="auto" w:fill="FFFFFF"/>
        </w:rPr>
        <w:t>1.应急委员会统一领导</w:t>
      </w:r>
    </w:p>
    <w:p>
      <w:pPr>
        <w:ind w:firstLine="640"/>
        <w:rPr>
          <w:shd w:val="clear" w:color="auto" w:fill="FFFFFF"/>
        </w:rPr>
      </w:pPr>
      <w:r>
        <w:rPr>
          <w:shd w:val="clear" w:color="auto" w:fill="FFFFFF"/>
        </w:rPr>
        <w:t>全面加强党工委对应急管理工作的集中统一领导，强化合作区应急委员会统筹协调职能，建立应急委员会“双主任”</w:t>
      </w:r>
      <w:r>
        <w:rPr>
          <w:rStyle w:val="48"/>
          <w:shd w:val="clear" w:color="auto" w:fill="FFFFFF"/>
        </w:rPr>
        <w:footnoteReference w:id="2"/>
      </w:r>
      <w:r>
        <w:rPr>
          <w:shd w:val="clear" w:color="auto" w:fill="FFFFFF"/>
        </w:rPr>
        <w:t>制，负责统一领导自然灾害、事故灾难、公共卫生事件、社会安全事件等突发事件应对工作。</w:t>
      </w:r>
    </w:p>
    <w:p>
      <w:pPr>
        <w:ind w:firstLine="643"/>
        <w:rPr>
          <w:b/>
          <w:shd w:val="clear" w:color="auto" w:fill="FFFFFF"/>
        </w:rPr>
      </w:pPr>
      <w:r>
        <w:rPr>
          <w:b/>
          <w:shd w:val="clear" w:color="auto" w:fill="FFFFFF"/>
        </w:rPr>
        <w:t>2.安全管理和自然灾害防治委员会综合防范</w:t>
      </w:r>
    </w:p>
    <w:p>
      <w:pPr>
        <w:ind w:firstLine="640"/>
        <w:rPr>
          <w:shd w:val="clear" w:color="auto" w:fill="FFFFFF"/>
        </w:rPr>
      </w:pPr>
      <w:r>
        <w:rPr>
          <w:shd w:val="clear" w:color="auto" w:fill="FFFFFF"/>
        </w:rPr>
        <w:t>健全完善合作区安全管理委员会运行机制，实现规范化、高效化运转，更好发挥其安全风险综合防范职能作用。</w:t>
      </w:r>
    </w:p>
    <w:p>
      <w:pPr>
        <w:ind w:firstLine="640"/>
        <w:rPr>
          <w:shd w:val="clear" w:color="auto" w:fill="FFFFFF"/>
        </w:rPr>
      </w:pPr>
      <w:r>
        <w:rPr>
          <w:shd w:val="clear" w:color="auto" w:fill="FFFFFF"/>
        </w:rPr>
        <w:t>整合合作区减灾委相关职能，推动建立自然灾害防治委员会及其办公室，制定运行规则和配套工作制度，负责自然灾害风险综合防治能力建设。</w:t>
      </w:r>
    </w:p>
    <w:p>
      <w:pPr>
        <w:ind w:firstLine="643"/>
        <w:rPr>
          <w:b/>
          <w:shd w:val="clear" w:color="auto" w:fill="FFFFFF"/>
        </w:rPr>
      </w:pPr>
      <w:r>
        <w:rPr>
          <w:b/>
          <w:shd w:val="clear" w:color="auto" w:fill="FFFFFF"/>
        </w:rPr>
        <w:t>3.应急指挥中心和现场指挥部统一救援</w:t>
      </w:r>
    </w:p>
    <w:p>
      <w:pPr>
        <w:ind w:firstLine="640"/>
        <w:rPr>
          <w:shd w:val="clear" w:color="auto" w:fill="FFFFFF"/>
        </w:rPr>
      </w:pPr>
      <w:r>
        <w:rPr>
          <w:shd w:val="clear" w:color="auto" w:fill="FFFFFF"/>
        </w:rPr>
        <w:t>整合三防、森林防灭火等专项指挥部，完善抗震救灾、地质救灾、海上搜救等救援职能，设立应急状态下由党工委统一领导的合作区应急指挥中心，形成“1+4+N”的扁平化组织指挥体系，配强应急指挥中心人员架构，统筹信息报送、应急指挥、现场处置和应急通信功能，负责指挥调度全区应急救援队伍、组织合作区突发事件应急处置工作。</w:t>
      </w:r>
    </w:p>
    <w:p>
      <w:pPr>
        <w:ind w:firstLine="640"/>
        <w:rPr>
          <w:shd w:val="clear" w:color="auto" w:fill="FFFFFF"/>
        </w:rPr>
      </w:pPr>
      <w:r>
        <w:rPr>
          <w:shd w:val="clear" w:color="auto" w:fill="FFFFFF"/>
        </w:rPr>
        <w:t>设立以深汕消防救援大队为主体的灾害事故应急现场指挥部，明确应急指挥中心与现场指挥部救援处置职责权限，提升灾害事故突发事件应急指挥处置能力。</w:t>
      </w:r>
    </w:p>
    <w:p>
      <w:pPr>
        <w:ind w:firstLine="640"/>
        <w:rPr>
          <w:shd w:val="clear" w:color="auto" w:fill="FFFFFF"/>
        </w:rPr>
      </w:pPr>
      <w:r>
        <w:rPr>
          <w:shd w:val="clear" w:color="auto" w:fill="FFFFFF"/>
        </w:rPr>
        <w:t>建立应急管理专业化指挥员队伍，强化安全生产、森林火灾、消防、三防等现场处置专业指挥能力建设，实现科学精准指挥。</w:t>
      </w:r>
    </w:p>
    <w:p>
      <w:pPr>
        <w:ind w:firstLine="643"/>
        <w:rPr>
          <w:b/>
          <w:shd w:val="clear" w:color="auto" w:fill="FFFFFF"/>
        </w:rPr>
      </w:pPr>
      <w:r>
        <w:rPr>
          <w:b/>
          <w:shd w:val="clear" w:color="auto" w:fill="FFFFFF"/>
        </w:rPr>
        <w:t>4.应急管理部门统筹协调</w:t>
      </w:r>
    </w:p>
    <w:p>
      <w:pPr>
        <w:ind w:firstLine="640"/>
        <w:rPr>
          <w:shd w:val="clear" w:color="auto" w:fill="FFFFFF"/>
        </w:rPr>
      </w:pPr>
      <w:r>
        <w:rPr>
          <w:shd w:val="clear" w:color="auto" w:fill="FFFFFF"/>
        </w:rPr>
        <w:t>充分发挥合作区应急管理局安全生产综合监管、自然灾害综合防范、突发事件综合救援作用，健全应急管理统分结合、平战结合工作机制，实现风险防范和救援处置的统一组织、统一指挥、统一协调。</w:t>
      </w:r>
    </w:p>
    <w:p>
      <w:pPr>
        <w:pStyle w:val="4"/>
        <w:ind w:firstLine="640"/>
      </w:pPr>
      <w:bookmarkStart w:id="75" w:name="_Toc59651184"/>
      <w:bookmarkStart w:id="76" w:name="_Toc80221579"/>
      <w:r>
        <w:t>二、完善应急管理责任</w:t>
      </w:r>
      <w:bookmarkEnd w:id="75"/>
      <w:r>
        <w:t>体系</w:t>
      </w:r>
      <w:bookmarkEnd w:id="76"/>
    </w:p>
    <w:p>
      <w:pPr>
        <w:ind w:firstLine="643"/>
        <w:rPr>
          <w:b/>
          <w:shd w:val="clear" w:color="auto" w:fill="FFFFFF"/>
        </w:rPr>
      </w:pPr>
      <w:r>
        <w:rPr>
          <w:b/>
          <w:shd w:val="clear" w:color="auto" w:fill="FFFFFF"/>
        </w:rPr>
        <w:t>1.压实领导干部责任</w:t>
      </w:r>
    </w:p>
    <w:p>
      <w:pPr>
        <w:ind w:firstLine="640"/>
        <w:rPr>
          <w:shd w:val="clear" w:color="auto" w:fill="FFFFFF"/>
        </w:rPr>
      </w:pPr>
      <w:r>
        <w:rPr>
          <w:shd w:val="clear" w:color="auto" w:fill="FFFFFF"/>
        </w:rPr>
        <w:t>坚持“党政同责、一岗双责、失职追责”，建立健全党政领导干部安全生产责任制，制定领导干部安全生产“职责清单”和年度“工作清单”。全面落实自然灾害行政首长负责制，推动落实地方党委责任，实行灾害防治党政同责。</w:t>
      </w:r>
    </w:p>
    <w:p>
      <w:pPr>
        <w:ind w:firstLine="643"/>
        <w:rPr>
          <w:b/>
          <w:shd w:val="clear" w:color="auto" w:fill="FFFFFF"/>
        </w:rPr>
      </w:pPr>
      <w:r>
        <w:rPr>
          <w:b/>
          <w:shd w:val="clear" w:color="auto" w:fill="FFFFFF"/>
        </w:rPr>
        <w:t>2.压实部门监管责任</w:t>
      </w:r>
    </w:p>
    <w:p>
      <w:pPr>
        <w:ind w:firstLine="640"/>
        <w:rPr>
          <w:shd w:val="clear" w:color="auto" w:fill="FFFFFF"/>
        </w:rPr>
      </w:pPr>
      <w:r>
        <w:rPr>
          <w:shd w:val="clear" w:color="auto" w:fill="FFFFFF"/>
        </w:rPr>
        <w:t>坚持安全生产“三</w:t>
      </w:r>
      <w:r>
        <w:rPr>
          <w:rFonts w:hint="eastAsia"/>
          <w:shd w:val="clear" w:color="auto" w:fill="FFFFFF"/>
        </w:rPr>
        <w:t>管三</w:t>
      </w:r>
      <w:r>
        <w:rPr>
          <w:shd w:val="clear" w:color="auto" w:fill="FFFFFF"/>
        </w:rPr>
        <w:t>必须”和“谁主管谁负责”的原则，全面明确、细化各部门安全监管职责，将安全管理职责落实到内设机构、岗位。制定部门安全生产权责清单，实行“尽职照单免责、失职照单追责”。</w:t>
      </w:r>
    </w:p>
    <w:p>
      <w:pPr>
        <w:ind w:firstLine="640"/>
        <w:rPr>
          <w:shd w:val="clear" w:color="auto" w:fill="FFFFFF"/>
        </w:rPr>
      </w:pPr>
      <w:r>
        <w:rPr>
          <w:shd w:val="clear" w:color="auto" w:fill="FFFFFF"/>
        </w:rPr>
        <w:t>推进各部门根据职责分工衔接好应急管理“防”和“救”的责任，将应急管理职责落实到部门内设机构、岗位，确保责任链条无缝对接，形成整体合力。</w:t>
      </w:r>
    </w:p>
    <w:p>
      <w:pPr>
        <w:ind w:firstLine="640"/>
        <w:rPr>
          <w:shd w:val="clear" w:color="auto" w:fill="FFFFFF"/>
        </w:rPr>
      </w:pPr>
      <w:r>
        <w:rPr>
          <w:shd w:val="clear" w:color="auto" w:fill="FFFFFF"/>
        </w:rPr>
        <w:t>应急管理部门开展应急预案演练、灾后评估等工作，并牵头做好突发事件应急、救援、救灾工作。各行业主管部门负责本行业领域相关灾种隐患排查、风险防范化解、灾情监测预警等日常防治工作。</w:t>
      </w:r>
    </w:p>
    <w:p>
      <w:pPr>
        <w:ind w:firstLine="640"/>
        <w:rPr>
          <w:shd w:val="clear" w:color="auto" w:fill="FFFFFF"/>
        </w:rPr>
      </w:pPr>
      <w:r>
        <w:rPr>
          <w:shd w:val="clear" w:color="auto" w:fill="FFFFFF"/>
        </w:rPr>
        <w:t>理顺合作区、深汕消防救援大队、各镇消防职责边界，健全消防安全责任体系。</w:t>
      </w:r>
    </w:p>
    <w:p>
      <w:pPr>
        <w:ind w:firstLine="640"/>
        <w:rPr>
          <w:shd w:val="clear" w:color="auto" w:fill="FFFFFF"/>
        </w:rPr>
      </w:pPr>
      <w:r>
        <w:rPr>
          <w:shd w:val="clear" w:color="auto" w:fill="FFFFFF"/>
        </w:rPr>
        <w:t>建立安全监管职责动态调整机制，及时梳理新产业、新业态、新领域监管责任，消除监管盲区和漏洞。</w:t>
      </w:r>
    </w:p>
    <w:p>
      <w:pPr>
        <w:ind w:firstLine="643"/>
        <w:rPr>
          <w:b/>
          <w:shd w:val="clear" w:color="auto" w:fill="FFFFFF"/>
        </w:rPr>
      </w:pPr>
      <w:r>
        <w:rPr>
          <w:b/>
          <w:shd w:val="clear" w:color="auto" w:fill="FFFFFF"/>
        </w:rPr>
        <w:t>3.压实属地管理责任</w:t>
      </w:r>
    </w:p>
    <w:p>
      <w:pPr>
        <w:ind w:firstLine="640"/>
        <w:rPr>
          <w:shd w:val="clear" w:color="auto" w:fill="FFFFFF"/>
        </w:rPr>
      </w:pPr>
      <w:r>
        <w:rPr>
          <w:shd w:val="clear" w:color="auto" w:fill="FFFFFF"/>
        </w:rPr>
        <w:t>明确各镇应急管理属地职责，完善合作区和镇两级应急管理事权、财权划分，细化明确各镇在应对各类突发事件中的工作职责。</w:t>
      </w:r>
    </w:p>
    <w:p>
      <w:pPr>
        <w:ind w:firstLine="640"/>
        <w:rPr>
          <w:shd w:val="clear" w:color="auto" w:fill="FFFFFF"/>
        </w:rPr>
      </w:pPr>
      <w:r>
        <w:rPr>
          <w:shd w:val="clear" w:color="auto" w:fill="FFFFFF"/>
        </w:rPr>
        <w:t>建立分级负责、属地管理工作机制，做到“守土有责、守土担责、守土尽责”。</w:t>
      </w:r>
    </w:p>
    <w:p>
      <w:pPr>
        <w:ind w:firstLine="643"/>
        <w:rPr>
          <w:b/>
          <w:shd w:val="clear" w:color="auto" w:fill="FFFFFF"/>
        </w:rPr>
      </w:pPr>
      <w:r>
        <w:rPr>
          <w:b/>
          <w:shd w:val="clear" w:color="auto" w:fill="FFFFFF"/>
        </w:rPr>
        <w:t>4.推动安全责任向社会延伸</w:t>
      </w:r>
    </w:p>
    <w:p>
      <w:pPr>
        <w:ind w:firstLine="640"/>
        <w:rPr>
          <w:shd w:val="clear" w:color="auto" w:fill="FFFFFF"/>
        </w:rPr>
      </w:pPr>
      <w:r>
        <w:rPr>
          <w:shd w:val="clear" w:color="auto" w:fill="FFFFFF"/>
        </w:rPr>
        <w:t>把安全责任向单位、向家庭、向个人延伸，建立“第一响应人”制度。</w:t>
      </w:r>
    </w:p>
    <w:p>
      <w:pPr>
        <w:ind w:firstLine="640"/>
        <w:rPr>
          <w:shd w:val="clear" w:color="auto" w:fill="FFFFFF"/>
        </w:rPr>
      </w:pPr>
      <w:r>
        <w:rPr>
          <w:shd w:val="clear" w:color="auto" w:fill="FFFFFF"/>
        </w:rPr>
        <w:t>推动“广东应急一键通”平台覆盖全体应急管理责任人和重点行业领域企业负责人，完善责任抽查、信息推送及应急指挥功能运用，打通应急管理责任落实最后一环。</w:t>
      </w:r>
    </w:p>
    <w:p>
      <w:pPr>
        <w:ind w:firstLine="643"/>
        <w:rPr>
          <w:b/>
          <w:shd w:val="clear" w:color="auto" w:fill="FFFFFF"/>
        </w:rPr>
      </w:pPr>
      <w:r>
        <w:rPr>
          <w:b/>
          <w:shd w:val="clear" w:color="auto" w:fill="FFFFFF"/>
        </w:rPr>
        <w:t>5.严格落实责任追究机制</w:t>
      </w:r>
    </w:p>
    <w:p>
      <w:pPr>
        <w:ind w:firstLine="640"/>
        <w:rPr>
          <w:shd w:val="clear" w:color="auto" w:fill="FFFFFF"/>
        </w:rPr>
      </w:pPr>
      <w:r>
        <w:rPr>
          <w:shd w:val="clear" w:color="auto" w:fill="FFFFFF"/>
        </w:rPr>
        <w:t>严格组织应急管理工作责任制考核，加大安全生产和消防责任制考核力度，加大应急管理工作在经济社会发展和干部政绩考核评价指标体系中的权重，发挥考核的正面导向“指挥棒”作用。</w:t>
      </w:r>
    </w:p>
    <w:p>
      <w:pPr>
        <w:ind w:firstLine="640"/>
        <w:rPr>
          <w:shd w:val="clear" w:color="auto" w:fill="FFFFFF"/>
        </w:rPr>
      </w:pPr>
      <w:r>
        <w:rPr>
          <w:shd w:val="clear" w:color="auto" w:fill="FFFFFF"/>
        </w:rPr>
        <w:t>健全责任落实监督机制。优化监督检查、督办通报、警示约谈等责任督导工作机制，严格落实“一票否决”制度，层层夯实应急管理责任。</w:t>
      </w:r>
    </w:p>
    <w:p>
      <w:pPr>
        <w:ind w:firstLine="640"/>
        <w:rPr>
          <w:shd w:val="clear" w:color="auto" w:fill="FFFFFF"/>
        </w:rPr>
      </w:pPr>
      <w:r>
        <w:rPr>
          <w:shd w:val="clear" w:color="auto" w:fill="FFFFFF"/>
        </w:rPr>
        <w:t>严格灾害事故责任追究，推动事前事中责任追究，健全灾害事故调查评估机制，在突出风险管控、事故隐患整治、事故调查处理中实施“一案双查”</w:t>
      </w:r>
      <w:r>
        <w:rPr>
          <w:rStyle w:val="48"/>
          <w:shd w:val="clear" w:color="auto" w:fill="FFFFFF"/>
        </w:rPr>
        <w:footnoteReference w:id="3"/>
      </w:r>
      <w:r>
        <w:rPr>
          <w:shd w:val="clear" w:color="auto" w:fill="FFFFFF"/>
        </w:rPr>
        <w:t>。</w:t>
      </w:r>
    </w:p>
    <w:p>
      <w:pPr>
        <w:pStyle w:val="4"/>
        <w:ind w:firstLine="640"/>
      </w:pPr>
      <w:bookmarkStart w:id="77" w:name="_Toc59651182"/>
      <w:bookmarkStart w:id="78" w:name="_Toc80221580"/>
      <w:r>
        <w:t>三、强化应急管理机构建设</w:t>
      </w:r>
      <w:bookmarkEnd w:id="77"/>
      <w:bookmarkEnd w:id="78"/>
    </w:p>
    <w:p>
      <w:pPr>
        <w:ind w:firstLine="643"/>
        <w:rPr>
          <w:b/>
          <w:shd w:val="clear" w:color="auto" w:fill="FFFFFF"/>
        </w:rPr>
      </w:pPr>
      <w:r>
        <w:rPr>
          <w:b/>
          <w:shd w:val="clear" w:color="auto" w:fill="FFFFFF"/>
        </w:rPr>
        <w:t>1.完善合作区应急管理部门建设</w:t>
      </w:r>
    </w:p>
    <w:p>
      <w:pPr>
        <w:ind w:firstLine="640"/>
        <w:rPr>
          <w:rFonts w:eastAsia="黑体"/>
          <w:shd w:val="clear" w:color="auto" w:fill="FFFFFF"/>
        </w:rPr>
      </w:pPr>
      <w:r>
        <w:rPr>
          <w:shd w:val="clear" w:color="auto" w:fill="FFFFFF"/>
        </w:rPr>
        <w:t>建立与合作区经济社会发展相匹配的应急管理机构和人员力量，充实合作区应急管理部门力量，</w:t>
      </w:r>
      <w:r>
        <w:rPr>
          <w:rFonts w:eastAsia="黑体"/>
          <w:shd w:val="clear" w:color="auto" w:fill="FFFFFF"/>
        </w:rPr>
        <w:t>按常住人口万分之三的比例配置应急管理部门编制职数。</w:t>
      </w:r>
    </w:p>
    <w:p>
      <w:pPr>
        <w:ind w:firstLine="640"/>
        <w:rPr>
          <w:shd w:val="clear" w:color="auto" w:fill="FFFFFF"/>
        </w:rPr>
      </w:pPr>
      <w:r>
        <w:rPr>
          <w:shd w:val="clear" w:color="auto" w:fill="FFFFFF"/>
        </w:rPr>
        <w:t>依据国家、省、市应急管理机构标准化建设标准，实施应急管理机构条件建设工程，配置与监管任务相适应的办公、交通、执法、防护等基础条件和设备设施，解决当前监管执法规范性、权威性不够，车辆、人员、经费不足的问题。</w:t>
      </w:r>
    </w:p>
    <w:p>
      <w:pPr>
        <w:ind w:firstLine="640"/>
        <w:rPr>
          <w:shd w:val="clear" w:color="auto" w:fill="FFFFFF"/>
        </w:rPr>
      </w:pPr>
      <w:r>
        <w:rPr>
          <w:shd w:val="clear" w:color="auto" w:fill="FFFFFF"/>
        </w:rPr>
        <w:t>加强行业管理部门安全和应急监管力量，区各有关单位落实由领导班子中排名第一位的副职分管安全生产工作。建筑施工、交通运输等高危行业监管部门和水利、国土、林业、海洋等灾害防治管理部门等设置安全和应急监管科室（机构），配置专职安全监管人员；其他部门应配置专兼职安全监管人员。</w:t>
      </w:r>
    </w:p>
    <w:p>
      <w:pPr>
        <w:ind w:firstLine="640"/>
        <w:rPr>
          <w:shd w:val="clear" w:color="auto" w:fill="FFFFFF"/>
        </w:rPr>
      </w:pPr>
      <w:r>
        <w:rPr>
          <w:shd w:val="clear" w:color="auto" w:fill="FFFFFF"/>
        </w:rPr>
        <w:t>推动各类产业园区、海滨度假区、休闲旅游风景区等功能区完善安全监管体制机制。2022年底前，以现有的功能区管理机构为依托，通过单独设置内设机构，或在内设机构加挂牌子等形式明确功能区安全监管机构，配置专兼职安全监管人员，实现监管责任全域覆盖。</w:t>
      </w:r>
    </w:p>
    <w:tbl>
      <w:tblPr>
        <w:tblStyle w:val="28"/>
        <w:tblW w:w="4994" w:type="pct"/>
        <w:tblInd w:w="0" w:type="dxa"/>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Layout w:type="autofit"/>
        <w:tblCellMar>
          <w:top w:w="0" w:type="dxa"/>
          <w:left w:w="108" w:type="dxa"/>
          <w:bottom w:w="0" w:type="dxa"/>
          <w:right w:w="108" w:type="dxa"/>
        </w:tblCellMar>
      </w:tblPr>
      <w:tblGrid>
        <w:gridCol w:w="8513"/>
      </w:tblGrid>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PrEx>
        <w:trPr>
          <w:trHeight w:val="60" w:hRule="atLeast"/>
        </w:trPr>
        <w:tc>
          <w:tcPr>
            <w:tcW w:w="5000" w:type="pct"/>
            <w:vAlign w:val="center"/>
          </w:tcPr>
          <w:p>
            <w:pPr>
              <w:pStyle w:val="23"/>
              <w:spacing w:line="240" w:lineRule="auto"/>
              <w:ind w:left="0" w:leftChars="0" w:firstLine="0" w:firstLineChars="0"/>
              <w:jc w:val="center"/>
              <w:rPr>
                <w:sz w:val="24"/>
                <w:szCs w:val="24"/>
                <w:highlight w:val="yellow"/>
              </w:rPr>
            </w:pPr>
            <w:r>
              <w:rPr>
                <w:b/>
                <w:sz w:val="24"/>
                <w:szCs w:val="24"/>
              </w:rPr>
              <w:t>专栏2 应急管理机构条件标准化建设工程</w:t>
            </w:r>
          </w:p>
        </w:tc>
      </w:tr>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CellMar>
            <w:top w:w="0" w:type="dxa"/>
            <w:left w:w="108" w:type="dxa"/>
            <w:bottom w:w="0" w:type="dxa"/>
            <w:right w:w="108" w:type="dxa"/>
          </w:tblCellMar>
        </w:tblPrEx>
        <w:tc>
          <w:tcPr>
            <w:tcW w:w="5000" w:type="pct"/>
            <w:vAlign w:val="center"/>
          </w:tcPr>
          <w:p>
            <w:pPr>
              <w:pStyle w:val="23"/>
              <w:spacing w:line="240" w:lineRule="auto"/>
              <w:ind w:left="0" w:leftChars="0" w:firstLine="0" w:firstLineChars="0"/>
              <w:rPr>
                <w:b/>
                <w:sz w:val="24"/>
                <w:szCs w:val="24"/>
              </w:rPr>
            </w:pPr>
            <w:r>
              <w:rPr>
                <w:b/>
                <w:sz w:val="24"/>
                <w:szCs w:val="24"/>
              </w:rPr>
              <w:t>区应急管理部门监管执法装备设施配置工程</w:t>
            </w:r>
          </w:p>
          <w:p>
            <w:pPr>
              <w:pStyle w:val="23"/>
              <w:spacing w:line="240" w:lineRule="auto"/>
              <w:ind w:left="0" w:leftChars="0" w:firstLine="0" w:firstLineChars="0"/>
              <w:rPr>
                <w:sz w:val="24"/>
                <w:szCs w:val="24"/>
              </w:rPr>
            </w:pPr>
            <w:r>
              <w:rPr>
                <w:sz w:val="24"/>
                <w:szCs w:val="24"/>
              </w:rPr>
              <w:t>建设内容：监管执法人员每人2套执法服装；购置执法记录仪、便携式检测仪、移动执法终端、执法视音频记录仪、数据采集工作站等执法基本装备；配置执法专用车辆9辆（区级5辆、各镇各1辆）。</w:t>
            </w:r>
          </w:p>
          <w:p>
            <w:pPr>
              <w:pStyle w:val="23"/>
              <w:spacing w:line="240" w:lineRule="auto"/>
              <w:ind w:left="0" w:leftChars="0" w:firstLine="0" w:firstLineChars="0"/>
              <w:rPr>
                <w:b/>
                <w:sz w:val="24"/>
                <w:szCs w:val="24"/>
              </w:rPr>
            </w:pPr>
            <w:r>
              <w:rPr>
                <w:b/>
                <w:sz w:val="24"/>
                <w:szCs w:val="24"/>
              </w:rPr>
              <w:t>镇应急管理机构建设工程</w:t>
            </w:r>
          </w:p>
          <w:p>
            <w:pPr>
              <w:pStyle w:val="23"/>
              <w:spacing w:line="240" w:lineRule="auto"/>
              <w:ind w:left="0" w:leftChars="0" w:firstLine="0" w:firstLineChars="0"/>
              <w:rPr>
                <w:sz w:val="24"/>
                <w:szCs w:val="24"/>
              </w:rPr>
            </w:pPr>
            <w:r>
              <w:rPr>
                <w:sz w:val="24"/>
                <w:szCs w:val="24"/>
              </w:rPr>
              <w:t>建设内容：建成4个镇应急管理机构，面积不少于90平米，人员配置5-7人，至少2人具有执法资格，建设谈话室1个，不少于15平米。</w:t>
            </w:r>
          </w:p>
        </w:tc>
      </w:tr>
    </w:tbl>
    <w:p>
      <w:pPr>
        <w:ind w:firstLine="643"/>
        <w:rPr>
          <w:b/>
          <w:shd w:val="clear" w:color="auto" w:fill="FFFFFF"/>
        </w:rPr>
      </w:pPr>
      <w:r>
        <w:rPr>
          <w:b/>
          <w:shd w:val="clear" w:color="auto" w:fill="FFFFFF"/>
        </w:rPr>
        <w:t>2.打造专业化应急管理队伍</w:t>
      </w:r>
    </w:p>
    <w:p>
      <w:pPr>
        <w:ind w:firstLine="640"/>
        <w:rPr>
          <w:shd w:val="clear" w:color="auto" w:fill="FFFFFF"/>
        </w:rPr>
      </w:pPr>
      <w:r>
        <w:rPr>
          <w:shd w:val="clear" w:color="auto" w:fill="FFFFFF"/>
        </w:rPr>
        <w:t>做好应急管理部门专业人才自主培养和对外招录工作，着重引进具有安全生产、应急管理、灾害防治等学科背景和实际监管工作经验的专业人员，2023年实现专业监管人员比例不低于50%，2025年实现专业监管人员比例不低于75%。</w:t>
      </w:r>
    </w:p>
    <w:p>
      <w:pPr>
        <w:ind w:firstLine="640"/>
        <w:rPr>
          <w:shd w:val="clear" w:color="auto" w:fill="FFFFFF"/>
        </w:rPr>
      </w:pPr>
      <w:r>
        <w:rPr>
          <w:shd w:val="clear" w:color="auto" w:fill="FFFFFF"/>
        </w:rPr>
        <w:t>依托深圳市优势安全培训资源，定期组织开展干部队伍专业培训，每年完成轮训1次。创新培训方式，推广“学习强安”平台，推行线上线下相结合的培训新模式。</w:t>
      </w:r>
    </w:p>
    <w:p>
      <w:pPr>
        <w:ind w:firstLine="640"/>
        <w:rPr>
          <w:shd w:val="clear" w:color="auto" w:fill="FFFFFF"/>
        </w:rPr>
      </w:pPr>
      <w:r>
        <w:rPr>
          <w:shd w:val="clear" w:color="auto" w:fill="FFFFFF"/>
        </w:rPr>
        <w:t>建立健全激励和奖惩机制措施，强化干部队伍担当作为。树立正确选人用人导向，在执行急难险重任务中发现选拔干部人才，培养高素质应急管理队伍。</w:t>
      </w:r>
    </w:p>
    <w:p>
      <w:pPr>
        <w:ind w:firstLine="643"/>
        <w:rPr>
          <w:b/>
          <w:shd w:val="clear" w:color="auto" w:fill="FFFFFF"/>
        </w:rPr>
      </w:pPr>
      <w:r>
        <w:rPr>
          <w:b/>
          <w:shd w:val="clear" w:color="auto" w:fill="FFFFFF"/>
        </w:rPr>
        <w:t>3.推进镇村应急管理组织建设</w:t>
      </w:r>
    </w:p>
    <w:p>
      <w:pPr>
        <w:ind w:firstLine="640"/>
        <w:rPr>
          <w:shd w:val="clear" w:color="auto" w:fill="FFFFFF"/>
        </w:rPr>
      </w:pPr>
      <w:r>
        <w:rPr>
          <w:shd w:val="clear" w:color="auto" w:fill="FFFFFF"/>
        </w:rPr>
        <w:t>推进镇</w:t>
      </w:r>
      <w:r>
        <w:rPr>
          <w:rFonts w:hint="eastAsia"/>
          <w:shd w:val="clear" w:color="auto" w:fill="FFFFFF"/>
        </w:rPr>
        <w:t>级</w:t>
      </w:r>
      <w:r>
        <w:rPr>
          <w:shd w:val="clear" w:color="auto" w:fill="FFFFFF"/>
        </w:rPr>
        <w:t>应急管理机构改革，推动各镇安监站升级改造为专职独立应急管理机构，实施由合作区应急管理部门和镇政府双重管理体制。</w:t>
      </w:r>
    </w:p>
    <w:p>
      <w:pPr>
        <w:ind w:firstLine="640"/>
        <w:rPr>
          <w:shd w:val="clear" w:color="auto" w:fill="FFFFFF"/>
        </w:rPr>
      </w:pPr>
      <w:r>
        <w:rPr>
          <w:shd w:val="clear" w:color="auto" w:fill="FFFFFF"/>
        </w:rPr>
        <w:t>配置与辖区产业特点相适应的专职专业化应急管理工作人员，承担安全生产、消防、防灾减灾、先期救援等应急管理职责。</w:t>
      </w:r>
      <w:r>
        <w:rPr>
          <w:rFonts w:eastAsia="黑体"/>
          <w:shd w:val="clear" w:color="auto" w:fill="FFFFFF"/>
        </w:rPr>
        <w:t>依法依规赋予各镇必要的监管执法权限</w:t>
      </w:r>
      <w:r>
        <w:rPr>
          <w:shd w:val="clear" w:color="auto" w:fill="FFFFFF"/>
        </w:rPr>
        <w:t>，实现权责对等，强化基层属地管理。</w:t>
      </w:r>
    </w:p>
    <w:p>
      <w:pPr>
        <w:ind w:firstLine="640"/>
        <w:rPr>
          <w:shd w:val="clear" w:color="auto" w:fill="FFFFFF"/>
        </w:rPr>
      </w:pPr>
      <w:r>
        <w:rPr>
          <w:shd w:val="clear" w:color="auto" w:fill="FFFFFF"/>
        </w:rPr>
        <w:t>健全行政村（社区）应急管理服务站点建设，配置专职村干部驻点办公。坚持“一员多用”，整合行政村（社区）安全生产、气象信息员、灾害信息员、地质灾害群测群防员、森林护林员、三防责任人等队伍资源，</w:t>
      </w:r>
      <w:r>
        <w:rPr>
          <w:rFonts w:eastAsia="黑体"/>
          <w:shd w:val="clear" w:color="auto" w:fill="FFFFFF"/>
        </w:rPr>
        <w:t>成立应急管理综合风险网格化管理员队伍</w:t>
      </w:r>
      <w:r>
        <w:rPr>
          <w:shd w:val="clear" w:color="auto" w:fill="FFFFFF"/>
        </w:rPr>
        <w:t>，实现基层安全风险防控网格化全覆盖。加强对网格员的安全监管业务的培训指导，提升专业监管水平。</w:t>
      </w:r>
    </w:p>
    <w:p>
      <w:pPr>
        <w:ind w:firstLine="640"/>
        <w:rPr>
          <w:shd w:val="clear" w:color="auto" w:fill="FFFFFF"/>
        </w:rPr>
      </w:pPr>
      <w:r>
        <w:rPr>
          <w:shd w:val="clear" w:color="auto" w:fill="FFFFFF"/>
        </w:rPr>
        <w:t>充分发挥“1+4+6”社区党群服务中心</w:t>
      </w:r>
      <w:r>
        <w:rPr>
          <w:rStyle w:val="48"/>
          <w:shd w:val="clear" w:color="auto" w:fill="FFFFFF"/>
        </w:rPr>
        <w:footnoteReference w:id="4"/>
      </w:r>
      <w:r>
        <w:rPr>
          <w:shd w:val="clear" w:color="auto" w:fill="FFFFFF"/>
        </w:rPr>
        <w:t>对应急管理工作的带动作用，推动网格化监管工作的规范化、长效化。</w:t>
      </w:r>
    </w:p>
    <w:p>
      <w:pPr>
        <w:pStyle w:val="3"/>
      </w:pPr>
      <w:bookmarkStart w:id="79" w:name="_Toc59651186"/>
      <w:bookmarkStart w:id="80" w:name="_Toc80221581"/>
      <w:r>
        <w:t>第二节 健全政策制度体系</w:t>
      </w:r>
      <w:bookmarkEnd w:id="79"/>
      <w:r>
        <w:t>，提升依法履职能力</w:t>
      </w:r>
      <w:bookmarkEnd w:id="80"/>
    </w:p>
    <w:p>
      <w:pPr>
        <w:pStyle w:val="4"/>
        <w:ind w:firstLine="640"/>
      </w:pPr>
      <w:bookmarkStart w:id="81" w:name="_Toc80221582"/>
      <w:bookmarkStart w:id="82" w:name="_Toc59651188"/>
      <w:r>
        <w:t>一、完善法治政策体系</w:t>
      </w:r>
      <w:bookmarkEnd w:id="81"/>
    </w:p>
    <w:p>
      <w:pPr>
        <w:ind w:firstLine="643"/>
        <w:rPr>
          <w:b/>
          <w:shd w:val="clear" w:color="auto" w:fill="FFFFFF"/>
        </w:rPr>
      </w:pPr>
      <w:r>
        <w:rPr>
          <w:b/>
          <w:shd w:val="clear" w:color="auto" w:fill="FFFFFF"/>
        </w:rPr>
        <w:t>1.贯彻落实应急管理法规制度</w:t>
      </w:r>
    </w:p>
    <w:p>
      <w:pPr>
        <w:ind w:firstLine="640"/>
        <w:rPr>
          <w:shd w:val="clear" w:color="auto" w:fill="FFFFFF"/>
        </w:rPr>
      </w:pPr>
      <w:r>
        <w:rPr>
          <w:shd w:val="clear" w:color="auto" w:fill="FFFFFF"/>
        </w:rPr>
        <w:t>强化法规政策保障，根据上位法规规章制修订进程，结合合作区建设实际，依法在建设工程、道路交通、危险化学品、特种设备等重点行业和三防、森林防灭火、地震地灾、海洋防灾等领域制定配套性政策，逐步建立健全具有合作区特色的应急管理</w:t>
      </w:r>
      <w:r>
        <w:rPr>
          <w:rFonts w:hint="eastAsia"/>
          <w:shd w:val="clear" w:color="auto" w:fill="FFFFFF"/>
        </w:rPr>
        <w:t>制度</w:t>
      </w:r>
      <w:r>
        <w:rPr>
          <w:shd w:val="clear" w:color="auto" w:fill="FFFFFF"/>
        </w:rPr>
        <w:t>体系。</w:t>
      </w:r>
    </w:p>
    <w:p>
      <w:pPr>
        <w:ind w:firstLine="640"/>
        <w:rPr>
          <w:shd w:val="clear" w:color="auto" w:fill="FFFFFF"/>
        </w:rPr>
      </w:pPr>
      <w:r>
        <w:rPr>
          <w:shd w:val="clear" w:color="auto" w:fill="FFFFFF"/>
        </w:rPr>
        <w:t>按照“谁执法谁普法”的原则，深入宣传应急管理领域的法律法规并落实普法责任。</w:t>
      </w:r>
    </w:p>
    <w:p>
      <w:pPr>
        <w:ind w:firstLine="643"/>
        <w:rPr>
          <w:b/>
          <w:shd w:val="clear" w:color="auto" w:fill="FFFFFF"/>
        </w:rPr>
      </w:pPr>
      <w:r>
        <w:rPr>
          <w:b/>
          <w:shd w:val="clear" w:color="auto" w:fill="FFFFFF"/>
        </w:rPr>
        <w:t>2.完善运行规范体系</w:t>
      </w:r>
    </w:p>
    <w:p>
      <w:pPr>
        <w:ind w:firstLine="640"/>
        <w:rPr>
          <w:shd w:val="clear" w:color="auto" w:fill="FFFFFF"/>
        </w:rPr>
      </w:pPr>
      <w:r>
        <w:rPr>
          <w:shd w:val="clear" w:color="auto" w:fill="FFFFFF"/>
        </w:rPr>
        <w:t>精准提升政务服务质量，研究制定合作区应急管理工作规范和运行制度，推动应急管理规范化、标准化、法制化。</w:t>
      </w:r>
    </w:p>
    <w:p>
      <w:pPr>
        <w:ind w:firstLine="640"/>
        <w:rPr>
          <w:shd w:val="clear" w:color="auto" w:fill="FFFFFF"/>
        </w:rPr>
      </w:pPr>
      <w:r>
        <w:rPr>
          <w:shd w:val="clear" w:color="auto" w:fill="FFFFFF"/>
        </w:rPr>
        <w:t>研究制定推进应急管理事业改革发展实施细则、合作区应急管理体系和能力建设指导意见等重要文件政策，深化合作区应急管理体制机制改革。</w:t>
      </w:r>
    </w:p>
    <w:p>
      <w:pPr>
        <w:ind w:firstLine="640"/>
        <w:rPr>
          <w:shd w:val="clear" w:color="auto" w:fill="FFFFFF"/>
        </w:rPr>
      </w:pPr>
      <w:r>
        <w:rPr>
          <w:rFonts w:eastAsia="黑体"/>
          <w:shd w:val="clear" w:color="auto" w:fill="FFFFFF"/>
        </w:rPr>
        <w:t>用足用好综合授权改革政策，利用</w:t>
      </w:r>
      <w:r>
        <w:rPr>
          <w:rFonts w:hint="eastAsia" w:eastAsia="黑体"/>
          <w:shd w:val="clear" w:color="auto" w:fill="FFFFFF"/>
        </w:rPr>
        <w:t>“</w:t>
      </w:r>
      <w:r>
        <w:rPr>
          <w:rFonts w:eastAsia="黑体"/>
          <w:shd w:val="clear" w:color="auto" w:fill="FFFFFF"/>
        </w:rPr>
        <w:t>飞地</w:t>
      </w:r>
      <w:r>
        <w:rPr>
          <w:rFonts w:hint="eastAsia" w:eastAsia="黑体"/>
          <w:shd w:val="clear" w:color="auto" w:fill="FFFFFF"/>
        </w:rPr>
        <w:t>”</w:t>
      </w:r>
      <w:r>
        <w:rPr>
          <w:rFonts w:eastAsia="黑体"/>
          <w:shd w:val="clear" w:color="auto" w:fill="FFFFFF"/>
        </w:rPr>
        <w:t>优势和政策红利</w:t>
      </w:r>
      <w:r>
        <w:rPr>
          <w:shd w:val="clear" w:color="auto" w:fill="FFFFFF"/>
        </w:rPr>
        <w:t>，积极探索应急管理新方法、新手段，推动应急管理事业改革创新发展。</w:t>
      </w:r>
    </w:p>
    <w:p>
      <w:pPr>
        <w:pStyle w:val="4"/>
        <w:ind w:firstLine="640"/>
      </w:pPr>
      <w:bookmarkStart w:id="83" w:name="_Toc59651189"/>
      <w:bookmarkStart w:id="84" w:name="_Toc80221583"/>
      <w:r>
        <w:t>二、提升监管执法</w:t>
      </w:r>
      <w:bookmarkEnd w:id="83"/>
      <w:r>
        <w:t>能力</w:t>
      </w:r>
      <w:bookmarkEnd w:id="84"/>
    </w:p>
    <w:p>
      <w:pPr>
        <w:ind w:firstLine="643"/>
        <w:rPr>
          <w:b/>
          <w:shd w:val="clear" w:color="auto" w:fill="FFFFFF"/>
        </w:rPr>
      </w:pPr>
      <w:r>
        <w:rPr>
          <w:b/>
          <w:shd w:val="clear" w:color="auto" w:fill="FFFFFF"/>
        </w:rPr>
        <w:t>1.完善监管执法体制</w:t>
      </w:r>
    </w:p>
    <w:p>
      <w:pPr>
        <w:ind w:firstLine="640"/>
        <w:rPr>
          <w:shd w:val="clear" w:color="auto" w:fill="FFFFFF"/>
        </w:rPr>
      </w:pPr>
      <w:r>
        <w:rPr>
          <w:shd w:val="clear" w:color="auto" w:fill="FFFFFF"/>
        </w:rPr>
        <w:t>强化监管执法队伍建设，对</w:t>
      </w:r>
      <w:r>
        <w:rPr>
          <w:rFonts w:eastAsia="黑体"/>
          <w:shd w:val="clear" w:color="auto" w:fill="FFFFFF"/>
        </w:rPr>
        <w:t>应急管理部门实行“局队合一”体制</w:t>
      </w:r>
      <w:r>
        <w:rPr>
          <w:shd w:val="clear" w:color="auto" w:fill="FFFFFF"/>
        </w:rPr>
        <w:t>，将人员编制向执法一线岗位下沉倾斜，配备与合作区经济社会发展相适应的监管执法人员。</w:t>
      </w:r>
    </w:p>
    <w:p>
      <w:pPr>
        <w:ind w:firstLine="640"/>
        <w:rPr>
          <w:shd w:val="clear" w:color="auto" w:fill="FFFFFF"/>
        </w:rPr>
      </w:pPr>
      <w:r>
        <w:rPr>
          <w:shd w:val="clear" w:color="auto" w:fill="FFFFFF"/>
        </w:rPr>
        <w:t>推进应急管理监管执法职责整合，理顺有关行业领域安全监管执法权配置，建立跨领域跨部门综合行政执法体系。</w:t>
      </w:r>
    </w:p>
    <w:p>
      <w:pPr>
        <w:ind w:firstLine="640"/>
        <w:rPr>
          <w:shd w:val="clear" w:color="auto" w:fill="FFFFFF"/>
        </w:rPr>
      </w:pPr>
      <w:r>
        <w:rPr>
          <w:shd w:val="clear" w:color="auto" w:fill="FFFFFF"/>
        </w:rPr>
        <w:t>完善监管执法制度和执法工作指引，建立健全执法标准规范，推进监管执法规范化建设。</w:t>
      </w:r>
    </w:p>
    <w:p>
      <w:pPr>
        <w:ind w:firstLine="643"/>
        <w:rPr>
          <w:b/>
          <w:shd w:val="clear" w:color="auto" w:fill="FFFFFF"/>
        </w:rPr>
      </w:pPr>
      <w:r>
        <w:rPr>
          <w:b/>
          <w:shd w:val="clear" w:color="auto" w:fill="FFFFFF"/>
        </w:rPr>
        <w:t>2.创新监管执法机制</w:t>
      </w:r>
    </w:p>
    <w:p>
      <w:pPr>
        <w:ind w:firstLine="640"/>
        <w:rPr>
          <w:shd w:val="clear" w:color="auto" w:fill="FFFFFF"/>
        </w:rPr>
      </w:pPr>
      <w:r>
        <w:rPr>
          <w:shd w:val="clear" w:color="auto" w:fill="FFFFFF"/>
        </w:rPr>
        <w:t>建立以“双随机、一公开”监管</w:t>
      </w:r>
      <w:r>
        <w:rPr>
          <w:rStyle w:val="48"/>
          <w:shd w:val="clear" w:color="auto" w:fill="FFFFFF"/>
        </w:rPr>
        <w:footnoteReference w:id="5"/>
      </w:r>
      <w:r>
        <w:rPr>
          <w:shd w:val="clear" w:color="auto" w:fill="FFFFFF"/>
        </w:rPr>
        <w:t>为基本手段、以风险分级分类监管为补充、以信用监管为基础的新型应急管理监管执法机制，加强事中事后监管。</w:t>
      </w:r>
    </w:p>
    <w:p>
      <w:pPr>
        <w:ind w:firstLine="640"/>
        <w:rPr>
          <w:shd w:val="clear" w:color="auto" w:fill="FFFFFF"/>
        </w:rPr>
      </w:pPr>
      <w:r>
        <w:rPr>
          <w:shd w:val="clear" w:color="auto" w:fill="FFFFFF"/>
        </w:rPr>
        <w:t>创新监管执法方式，深入推进“互联网+监管”，积极探索以远程监管、移动监管、预警防控为特征非现场监管执法方式，提升执法效能。全力推动安全生产监管方式“三个转变”，有效提升监管执法精准性。加大监管执法力度，综合运用联动执法、顶格处罚、失信惩戒、公开曝光等有效手段，依法严惩违法违规行为。</w:t>
      </w:r>
    </w:p>
    <w:p>
      <w:pPr>
        <w:pStyle w:val="4"/>
        <w:ind w:firstLine="640"/>
      </w:pPr>
      <w:bookmarkStart w:id="85" w:name="_Toc80221584"/>
      <w:r>
        <w:t>三、完善应急预案体系</w:t>
      </w:r>
      <w:bookmarkEnd w:id="82"/>
      <w:bookmarkEnd w:id="85"/>
    </w:p>
    <w:p>
      <w:pPr>
        <w:ind w:firstLine="643"/>
        <w:rPr>
          <w:b/>
          <w:shd w:val="clear" w:color="auto" w:fill="FFFFFF"/>
        </w:rPr>
      </w:pPr>
      <w:r>
        <w:rPr>
          <w:b/>
          <w:shd w:val="clear" w:color="auto" w:fill="FFFFFF"/>
        </w:rPr>
        <w:t>1.健全应急预案管理机制</w:t>
      </w:r>
    </w:p>
    <w:p>
      <w:pPr>
        <w:ind w:firstLine="640"/>
        <w:rPr>
          <w:shd w:val="clear" w:color="auto" w:fill="FFFFFF"/>
        </w:rPr>
      </w:pPr>
      <w:r>
        <w:rPr>
          <w:shd w:val="clear" w:color="auto" w:fill="FFFFFF"/>
        </w:rPr>
        <w:t>制定应急管理制度和备案工作指引，积极做好</w:t>
      </w:r>
      <w:r>
        <w:rPr>
          <w:rFonts w:hint="eastAsia"/>
          <w:shd w:val="clear" w:color="auto" w:fill="FFFFFF"/>
        </w:rPr>
        <w:t>总体预案、</w:t>
      </w:r>
      <w:r>
        <w:rPr>
          <w:shd w:val="clear" w:color="auto" w:fill="FFFFFF"/>
        </w:rPr>
        <w:t>专项预案、部门应急预案的汇总备案，重点强化各相关预案的内容衔接。</w:t>
      </w:r>
    </w:p>
    <w:p>
      <w:pPr>
        <w:ind w:firstLine="640"/>
        <w:rPr>
          <w:shd w:val="clear" w:color="auto" w:fill="FFFFFF"/>
        </w:rPr>
      </w:pPr>
      <w:r>
        <w:rPr>
          <w:shd w:val="clear" w:color="auto" w:fill="FFFFFF"/>
        </w:rPr>
        <w:t>加强生产经营单位预案备案工作。推动高危行业、重点企业应急预案全面备案。2023年，</w:t>
      </w:r>
      <w:r>
        <w:rPr>
          <w:rFonts w:eastAsia="黑体"/>
          <w:shd w:val="clear" w:color="auto" w:fill="FFFFFF"/>
        </w:rPr>
        <w:t>实现合作区高危行业、重点企业应急预案备案率100%。</w:t>
      </w:r>
    </w:p>
    <w:p>
      <w:pPr>
        <w:ind w:firstLine="640"/>
        <w:rPr>
          <w:shd w:val="clear" w:color="auto" w:fill="FFFFFF"/>
        </w:rPr>
      </w:pPr>
      <w:r>
        <w:rPr>
          <w:shd w:val="clear" w:color="auto" w:fill="FFFFFF"/>
        </w:rPr>
        <w:t>建立应急预案管理信息平台和数据库，推动应急预案数字化管理。</w:t>
      </w:r>
    </w:p>
    <w:p>
      <w:pPr>
        <w:ind w:firstLine="640"/>
        <w:rPr>
          <w:shd w:val="clear" w:color="auto" w:fill="FFFFFF"/>
        </w:rPr>
      </w:pPr>
      <w:r>
        <w:rPr>
          <w:shd w:val="clear" w:color="auto" w:fill="FFFFFF"/>
        </w:rPr>
        <w:t>采取多种形式开展应急预案的宣传教育，普及生产安全事故避险、自救和互救知识，提高从业人员和社会公众的安全意识与应急处置技能。</w:t>
      </w:r>
    </w:p>
    <w:p>
      <w:pPr>
        <w:ind w:firstLine="640"/>
        <w:rPr>
          <w:shd w:val="clear" w:color="auto" w:fill="FFFFFF"/>
        </w:rPr>
      </w:pPr>
      <w:r>
        <w:rPr>
          <w:shd w:val="clear" w:color="auto" w:fill="FFFFFF"/>
        </w:rPr>
        <w:t>强化预案培训作用。加强应急预案培训工作，通过培训普及应急知识，提高从业人员风险防范意识和自救互救能力。</w:t>
      </w:r>
    </w:p>
    <w:p>
      <w:pPr>
        <w:ind w:firstLine="643"/>
        <w:rPr>
          <w:b/>
          <w:shd w:val="clear" w:color="auto" w:fill="FFFFFF"/>
        </w:rPr>
      </w:pPr>
      <w:r>
        <w:rPr>
          <w:b/>
          <w:shd w:val="clear" w:color="auto" w:fill="FFFFFF"/>
        </w:rPr>
        <w:t>2.推动应急预案制修订工作</w:t>
      </w:r>
    </w:p>
    <w:p>
      <w:pPr>
        <w:ind w:firstLine="640"/>
        <w:rPr>
          <w:rFonts w:eastAsia="黑体"/>
          <w:shd w:val="clear" w:color="auto" w:fill="FFFFFF"/>
        </w:rPr>
      </w:pPr>
      <w:r>
        <w:rPr>
          <w:shd w:val="clear" w:color="auto" w:fill="FFFFFF"/>
        </w:rPr>
        <w:t>持续开展合作区突发事件总体应急预案、专项预案、部门预案、基层预案等制修订工作，建立“横向到边、纵向到底”应急预案体系。探索建立多因素耦合复杂条件下灾害事故情景库，量化支撑各类极端灾害事故应急预案。</w:t>
      </w:r>
      <w:r>
        <w:rPr>
          <w:rFonts w:eastAsia="黑体"/>
          <w:shd w:val="clear" w:color="auto" w:fill="FFFFFF"/>
        </w:rPr>
        <w:t>制定应急预案操作手册，推动涉及公众内容的应急预案公开公示。</w:t>
      </w:r>
    </w:p>
    <w:p>
      <w:pPr>
        <w:ind w:firstLine="640"/>
        <w:rPr>
          <w:shd w:val="clear" w:color="auto" w:fill="FFFFFF"/>
        </w:rPr>
      </w:pPr>
      <w:r>
        <w:rPr>
          <w:rFonts w:eastAsia="黑体"/>
          <w:shd w:val="clear" w:color="auto" w:fill="FFFFFF"/>
        </w:rPr>
        <w:t>探索制定合作区巨灾应对方案</w:t>
      </w:r>
      <w:r>
        <w:rPr>
          <w:shd w:val="clear" w:color="auto" w:fill="FFFFFF"/>
        </w:rPr>
        <w:t>，提升大规模人员避险撤离、城市基本功能迅速恢复能力。</w:t>
      </w:r>
    </w:p>
    <w:p>
      <w:pPr>
        <w:ind w:firstLine="640"/>
        <w:rPr>
          <w:shd w:val="clear" w:color="auto" w:fill="FFFFFF"/>
        </w:rPr>
      </w:pPr>
      <w:r>
        <w:rPr>
          <w:shd w:val="clear" w:color="auto" w:fill="FFFFFF"/>
        </w:rPr>
        <w:t>督促各生产经营单位依法依规、结合实际制定完成本单位应急预案。推进生产经营单位应急预案“简明化、图表化、可视化”，重点规范突发事件响应和应对流程。</w:t>
      </w:r>
    </w:p>
    <w:p>
      <w:pPr>
        <w:ind w:firstLine="640"/>
        <w:rPr>
          <w:shd w:val="clear" w:color="auto" w:fill="FFFFFF"/>
        </w:rPr>
      </w:pPr>
      <w:r>
        <w:rPr>
          <w:shd w:val="clear" w:color="auto" w:fill="FFFFFF"/>
        </w:rPr>
        <w:t>在</w:t>
      </w:r>
      <w:r>
        <w:rPr>
          <w:rFonts w:eastAsia="黑体"/>
          <w:shd w:val="clear" w:color="auto" w:fill="FFFFFF"/>
        </w:rPr>
        <w:t>重点岗位、重要场所、关键设备设施推广使用应急处置卡</w:t>
      </w:r>
      <w:r>
        <w:rPr>
          <w:shd w:val="clear" w:color="auto" w:fill="FFFFFF"/>
        </w:rPr>
        <w:t>，应急处置卡应当规定重点岗位、人员的应急处置程序和措施，以及相关联络人员和联系方式，便于从业人员携带，提升实用性、可操作性。</w:t>
      </w:r>
    </w:p>
    <w:p>
      <w:pPr>
        <w:ind w:firstLine="643"/>
        <w:rPr>
          <w:b/>
          <w:shd w:val="clear" w:color="auto" w:fill="FFFFFF"/>
        </w:rPr>
      </w:pPr>
      <w:r>
        <w:rPr>
          <w:b/>
          <w:shd w:val="clear" w:color="auto" w:fill="FFFFFF"/>
        </w:rPr>
        <w:t>3.加强应急预案演练评估</w:t>
      </w:r>
    </w:p>
    <w:p>
      <w:pPr>
        <w:ind w:firstLine="640"/>
        <w:rPr>
          <w:shd w:val="clear" w:color="auto" w:fill="FFFFFF"/>
        </w:rPr>
      </w:pPr>
      <w:r>
        <w:rPr>
          <w:shd w:val="clear" w:color="auto" w:fill="FFFFFF"/>
        </w:rPr>
        <w:t>强化预案演练工作，每两年组织一次多灾种、规模化的多部门综合应急预案演练。各部门预案、专项预案每年组织一次专业型应急演练。</w:t>
      </w:r>
    </w:p>
    <w:p>
      <w:pPr>
        <w:ind w:firstLine="640"/>
        <w:rPr>
          <w:shd w:val="clear" w:color="auto" w:fill="FFFFFF"/>
        </w:rPr>
      </w:pPr>
      <w:r>
        <w:rPr>
          <w:shd w:val="clear" w:color="auto" w:fill="FFFFFF"/>
        </w:rPr>
        <w:t>区内生产经营单位应当制定本单位的应急预案演练计划，根据本单位的事故风险特点，每年至少组织一次综合应急预案演练或者专项应急预案演练，每半年至少组织一次现场处置方案演练。</w:t>
      </w:r>
    </w:p>
    <w:p>
      <w:pPr>
        <w:ind w:firstLine="640"/>
        <w:rPr>
          <w:shd w:val="clear" w:color="auto" w:fill="FFFFFF"/>
        </w:rPr>
      </w:pPr>
      <w:r>
        <w:rPr>
          <w:shd w:val="clear" w:color="auto" w:fill="FFFFFF"/>
        </w:rPr>
        <w:t>易燃易爆物品、危险化学品等危险物品的生产、经营、储存、运输单位，矿山、金属冶炼、建筑施工单位，以及宾馆、商场、娱乐场所、旅游景区等人员密集场所经营单位，应当至少每半年组织一次生产安全事故应急预案演练。</w:t>
      </w:r>
    </w:p>
    <w:p>
      <w:pPr>
        <w:ind w:firstLine="640"/>
        <w:rPr>
          <w:shd w:val="clear" w:color="auto" w:fill="FFFFFF"/>
        </w:rPr>
      </w:pPr>
      <w:r>
        <w:rPr>
          <w:shd w:val="clear" w:color="auto" w:fill="FFFFFF"/>
        </w:rPr>
        <w:t>推广采用“双盲演练”“桌面演练”“数字演练”等形式多样演练方式，推进应急预案演练常态化，实战化，以练促训、以练强战。</w:t>
      </w:r>
    </w:p>
    <w:p>
      <w:pPr>
        <w:ind w:firstLine="640"/>
        <w:rPr>
          <w:shd w:val="clear" w:color="auto" w:fill="FFFFFF"/>
        </w:rPr>
      </w:pPr>
      <w:r>
        <w:rPr>
          <w:shd w:val="clear" w:color="auto" w:fill="FFFFFF"/>
        </w:rPr>
        <w:t>强化预案演练总结和评估工作，及时转化演练成果。</w:t>
      </w:r>
    </w:p>
    <w:p>
      <w:pPr>
        <w:pStyle w:val="3"/>
      </w:pPr>
      <w:bookmarkStart w:id="86" w:name="_Toc59651190"/>
      <w:bookmarkStart w:id="87" w:name="_Toc80221585"/>
      <w:r>
        <w:t>第三节 健全风险防控体系</w:t>
      </w:r>
      <w:bookmarkEnd w:id="86"/>
      <w:r>
        <w:t>，提升综合防范能力</w:t>
      </w:r>
      <w:bookmarkEnd w:id="87"/>
    </w:p>
    <w:p>
      <w:pPr>
        <w:pStyle w:val="4"/>
        <w:ind w:firstLine="640"/>
      </w:pPr>
      <w:bookmarkStart w:id="88" w:name="_Toc59651191"/>
      <w:bookmarkStart w:id="89" w:name="_Toc80221586"/>
      <w:r>
        <w:t>一、加强安全风险源头治理</w:t>
      </w:r>
      <w:bookmarkEnd w:id="88"/>
      <w:bookmarkEnd w:id="89"/>
    </w:p>
    <w:p>
      <w:pPr>
        <w:ind w:firstLine="643"/>
        <w:rPr>
          <w:b/>
          <w:shd w:val="clear" w:color="auto" w:fill="FFFFFF"/>
        </w:rPr>
      </w:pPr>
      <w:r>
        <w:rPr>
          <w:b/>
          <w:shd w:val="clear" w:color="auto" w:fill="FFFFFF"/>
        </w:rPr>
        <w:t>1.强化规划风险管控</w:t>
      </w:r>
    </w:p>
    <w:p>
      <w:pPr>
        <w:ind w:firstLine="640"/>
        <w:rPr>
          <w:shd w:val="clear" w:color="auto" w:fill="FFFFFF"/>
        </w:rPr>
      </w:pPr>
      <w:r>
        <w:rPr>
          <w:shd w:val="clear" w:color="auto" w:fill="FFFFFF"/>
        </w:rPr>
        <w:t>积极落实《深圳市深汕特别合作区总体规划》（2020-2035年）中城市安全体系规划内容，加强国土空间规划、产业发展规划、区域招商引资、重大工程项目实施等风险评估工作，实施重大安全风险“一票否决”。</w:t>
      </w:r>
    </w:p>
    <w:p>
      <w:pPr>
        <w:ind w:firstLine="640"/>
        <w:rPr>
          <w:shd w:val="clear" w:color="auto" w:fill="FFFFFF"/>
        </w:rPr>
      </w:pPr>
      <w:r>
        <w:rPr>
          <w:shd w:val="clear" w:color="auto" w:fill="FFFFFF"/>
        </w:rPr>
        <w:t>严格新增高风险项目安全审核，审慎引入高风险产能，提高本质安全水平。</w:t>
      </w:r>
    </w:p>
    <w:p>
      <w:pPr>
        <w:ind w:firstLine="640"/>
        <w:rPr>
          <w:shd w:val="clear" w:color="auto" w:fill="FFFFFF"/>
        </w:rPr>
      </w:pPr>
      <w:r>
        <w:rPr>
          <w:shd w:val="clear" w:color="auto" w:fill="FFFFFF"/>
        </w:rPr>
        <w:t>严格执行高危产业安全防护隔离管控规定，实施</w:t>
      </w:r>
      <w:r>
        <w:rPr>
          <w:rFonts w:hint="eastAsia"/>
          <w:shd w:val="clear" w:color="auto" w:fill="FFFFFF"/>
        </w:rPr>
        <w:t>深圳</w:t>
      </w:r>
      <w:r>
        <w:rPr>
          <w:shd w:val="clear" w:color="auto" w:fill="FFFFFF"/>
        </w:rPr>
        <w:t>市危险化学品“禁限控”目录、产业结构调整优化和导向目录。</w:t>
      </w:r>
    </w:p>
    <w:p>
      <w:pPr>
        <w:ind w:firstLine="640"/>
        <w:rPr>
          <w:shd w:val="clear" w:color="auto" w:fill="FFFFFF"/>
        </w:rPr>
      </w:pPr>
      <w:r>
        <w:rPr>
          <w:shd w:val="clear" w:color="auto" w:fill="FFFFFF"/>
        </w:rPr>
        <w:t>严格执行建设项目“三同时”安全管理制度，所有建设项目安全设施与主体工程同时设计、同时施工、同时投入生产和使用。</w:t>
      </w:r>
    </w:p>
    <w:p>
      <w:pPr>
        <w:ind w:firstLine="643"/>
        <w:rPr>
          <w:b/>
          <w:shd w:val="clear" w:color="auto" w:fill="FFFFFF"/>
        </w:rPr>
      </w:pPr>
      <w:r>
        <w:rPr>
          <w:b/>
          <w:shd w:val="clear" w:color="auto" w:fill="FFFFFF"/>
        </w:rPr>
        <w:t>2.建设安全韧性城区</w:t>
      </w:r>
    </w:p>
    <w:p>
      <w:pPr>
        <w:ind w:firstLine="640"/>
        <w:rPr>
          <w:shd w:val="clear" w:color="auto" w:fill="FFFFFF"/>
        </w:rPr>
      </w:pPr>
      <w:r>
        <w:rPr>
          <w:shd w:val="clear" w:color="auto" w:fill="FFFFFF"/>
        </w:rPr>
        <w:t>深入实施安全发展战略，对标国家安全发展示范城市创建标准，推进安全韧性城市建设，适度提高各类城市基础设施设计标准，提升设施应对灾害事故能力。加强城市基础设施运营、维护过程中的安全管理，强化先进技术应用，通过智能化、智慧化、精细化的管理，实现城市基础设施全生命周期综合风险管控。</w:t>
      </w:r>
    </w:p>
    <w:p>
      <w:pPr>
        <w:ind w:firstLine="640"/>
        <w:rPr>
          <w:shd w:val="clear" w:color="auto" w:fill="FFFFFF"/>
        </w:rPr>
      </w:pPr>
      <w:r>
        <w:rPr>
          <w:shd w:val="clear" w:color="auto" w:fill="FFFFFF"/>
        </w:rPr>
        <w:t>提升防洪潮内涝防治标准。按照分区设防、重点保障原则，考虑上游河道泄洪及下游海潮顶托，结合城市功能分区及人口规模，逐步完善城市防洪（潮）工程达标建设，增强防洪（潮）排涝设施防御能力，赤石河干流重要建成区防洪标准达到200年一遇，其他河流整治后防洪标准达到100年一遇，内涝防治重现期力争达到20-50年一遇。</w:t>
      </w:r>
    </w:p>
    <w:p>
      <w:pPr>
        <w:ind w:firstLine="640"/>
        <w:rPr>
          <w:shd w:val="clear" w:color="auto" w:fill="FFFFFF"/>
        </w:rPr>
      </w:pPr>
      <w:r>
        <w:rPr>
          <w:shd w:val="clear" w:color="auto" w:fill="FFFFFF"/>
        </w:rPr>
        <w:t>构建海堤海防林带。沿海种植200米多行宽带海防林，阻挡降低风力。建筑结构风荷载基本风压按50年一遇标准，10分钟平均最大风速计算。适当提高高层建筑、高耸结构设施的基本风压标准。防潮堤设计应校核200年一遇风暴潮遭遇12级台风。生命线设施全部采用埋地方式，必须架空的应根据风荷载采取防护措施。</w:t>
      </w:r>
    </w:p>
    <w:p>
      <w:pPr>
        <w:ind w:firstLine="640"/>
        <w:rPr>
          <w:shd w:val="clear" w:color="auto" w:fill="FFFFFF"/>
        </w:rPr>
      </w:pPr>
      <w:r>
        <w:rPr>
          <w:shd w:val="clear" w:color="auto" w:fill="FFFFFF"/>
        </w:rPr>
        <w:t>明确抗震设防标准。合作区地处政和—海丰断裂带，地震动峰值加速度0.10g。一般建构筑物按7度设防，学校、医院、生命线等关键设施按7度半设防。严格重大工程、超高建筑和可能产生严重次生灾害的工程地震安全性评价工作，明确抗震设防要求。</w:t>
      </w:r>
    </w:p>
    <w:p>
      <w:pPr>
        <w:pStyle w:val="4"/>
        <w:ind w:firstLine="640"/>
      </w:pPr>
      <w:bookmarkStart w:id="90" w:name="_Toc59651192"/>
      <w:bookmarkStart w:id="91" w:name="_Toc80221587"/>
      <w:r>
        <w:t>二、加强安全风险普查评估</w:t>
      </w:r>
      <w:bookmarkEnd w:id="90"/>
      <w:bookmarkEnd w:id="91"/>
    </w:p>
    <w:p>
      <w:pPr>
        <w:ind w:firstLine="643"/>
        <w:rPr>
          <w:b/>
          <w:shd w:val="clear" w:color="auto" w:fill="FFFFFF"/>
        </w:rPr>
      </w:pPr>
      <w:r>
        <w:rPr>
          <w:b/>
          <w:shd w:val="clear" w:color="auto" w:fill="FFFFFF"/>
        </w:rPr>
        <w:t>1.实施自然灾害综合风险普查工程</w:t>
      </w:r>
    </w:p>
    <w:p>
      <w:pPr>
        <w:ind w:firstLine="640"/>
        <w:rPr>
          <w:shd w:val="clear" w:color="auto" w:fill="FFFFFF"/>
        </w:rPr>
      </w:pPr>
      <w:r>
        <w:rPr>
          <w:rFonts w:eastAsia="黑体"/>
          <w:shd w:val="clear" w:color="auto" w:fill="FFFFFF"/>
        </w:rPr>
        <w:t>全面推进合作区第一次自然灾害综合风险普查。</w:t>
      </w:r>
      <w:r>
        <w:rPr>
          <w:shd w:val="clear" w:color="auto" w:fill="FFFFFF"/>
        </w:rPr>
        <w:t>对标对表国家标准，实现自然灾害风险要素调查、风险评估、风险区划和综合防治区划的全链条的普查，强化自然灾害致灾因素与承灾体分析能力、重点灾害隐患调查与评估能力、综合减灾能力建设。</w:t>
      </w:r>
    </w:p>
    <w:p>
      <w:pPr>
        <w:ind w:firstLine="640"/>
        <w:rPr>
          <w:color w:val="000000"/>
          <w:szCs w:val="32"/>
          <w:shd w:val="clear" w:color="auto" w:fill="FFFFFF"/>
        </w:rPr>
      </w:pPr>
      <w:r>
        <w:rPr>
          <w:color w:val="000000"/>
          <w:szCs w:val="32"/>
          <w:shd w:val="clear" w:color="auto" w:fill="FFFFFF"/>
        </w:rPr>
        <w:t>编制完成灾害综合防治区划图，建立合作区自然灾害风险与减灾能力数据库。</w:t>
      </w:r>
    </w:p>
    <w:p>
      <w:pPr>
        <w:ind w:firstLine="640"/>
        <w:rPr>
          <w:rFonts w:eastAsia="黑体"/>
          <w:color w:val="000000"/>
          <w:szCs w:val="32"/>
          <w:shd w:val="clear" w:color="auto" w:fill="FFFFFF"/>
        </w:rPr>
      </w:pPr>
      <w:r>
        <w:rPr>
          <w:rFonts w:eastAsia="黑体"/>
          <w:color w:val="000000"/>
          <w:szCs w:val="32"/>
          <w:shd w:val="clear" w:color="auto" w:fill="FFFFFF"/>
        </w:rPr>
        <w:t>探索面向重大工程、建设开发等开展自然灾害综合风险评价试点工作。</w:t>
      </w:r>
    </w:p>
    <w:tbl>
      <w:tblPr>
        <w:tblStyle w:val="28"/>
        <w:tblW w:w="4994" w:type="pct"/>
        <w:tblInd w:w="0" w:type="dxa"/>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Layout w:type="autofit"/>
        <w:tblCellMar>
          <w:top w:w="0" w:type="dxa"/>
          <w:left w:w="108" w:type="dxa"/>
          <w:bottom w:w="0" w:type="dxa"/>
          <w:right w:w="108" w:type="dxa"/>
        </w:tblCellMar>
      </w:tblPr>
      <w:tblGrid>
        <w:gridCol w:w="8513"/>
      </w:tblGrid>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CellMar>
            <w:top w:w="0" w:type="dxa"/>
            <w:left w:w="108" w:type="dxa"/>
            <w:bottom w:w="0" w:type="dxa"/>
            <w:right w:w="108" w:type="dxa"/>
          </w:tblCellMar>
        </w:tblPrEx>
        <w:trPr>
          <w:trHeight w:val="60" w:hRule="atLeast"/>
        </w:trPr>
        <w:tc>
          <w:tcPr>
            <w:tcW w:w="5000" w:type="pct"/>
            <w:vAlign w:val="center"/>
          </w:tcPr>
          <w:p>
            <w:pPr>
              <w:pStyle w:val="23"/>
              <w:spacing w:line="240" w:lineRule="auto"/>
              <w:ind w:left="0" w:leftChars="0" w:firstLine="0" w:firstLineChars="0"/>
              <w:jc w:val="center"/>
              <w:rPr>
                <w:sz w:val="24"/>
                <w:szCs w:val="24"/>
              </w:rPr>
            </w:pPr>
            <w:r>
              <w:rPr>
                <w:b/>
                <w:sz w:val="24"/>
                <w:szCs w:val="24"/>
              </w:rPr>
              <w:t>专栏3 自然灾害综合风险普查工程</w:t>
            </w:r>
          </w:p>
        </w:tc>
      </w:tr>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CellMar>
            <w:top w:w="0" w:type="dxa"/>
            <w:left w:w="108" w:type="dxa"/>
            <w:bottom w:w="0" w:type="dxa"/>
            <w:right w:w="108" w:type="dxa"/>
          </w:tblCellMar>
        </w:tblPrEx>
        <w:tc>
          <w:tcPr>
            <w:tcW w:w="5000" w:type="pct"/>
            <w:vAlign w:val="center"/>
          </w:tcPr>
          <w:p>
            <w:pPr>
              <w:pStyle w:val="23"/>
              <w:spacing w:line="240" w:lineRule="auto"/>
              <w:ind w:left="0" w:leftChars="0" w:firstLine="0" w:firstLineChars="0"/>
              <w:rPr>
                <w:b/>
                <w:sz w:val="24"/>
                <w:szCs w:val="24"/>
              </w:rPr>
            </w:pPr>
            <w:r>
              <w:rPr>
                <w:b/>
                <w:sz w:val="24"/>
                <w:szCs w:val="24"/>
              </w:rPr>
              <w:t>气象灾害致灾调查与评估</w:t>
            </w:r>
          </w:p>
          <w:p>
            <w:pPr>
              <w:pStyle w:val="23"/>
              <w:spacing w:line="240" w:lineRule="auto"/>
              <w:ind w:left="0" w:leftChars="0" w:firstLine="0" w:firstLineChars="0"/>
              <w:rPr>
                <w:sz w:val="24"/>
                <w:szCs w:val="24"/>
              </w:rPr>
            </w:pPr>
            <w:r>
              <w:rPr>
                <w:sz w:val="24"/>
                <w:szCs w:val="24"/>
              </w:rPr>
              <w:t>普查内容：开展气象灾害的特征调查和致灾孕灾要素分析，建立主要气象灾害危险性基础数据库。编制1:5万主要气象灾害危险性区划图件。</w:t>
            </w:r>
          </w:p>
          <w:p>
            <w:pPr>
              <w:pStyle w:val="23"/>
              <w:spacing w:line="240" w:lineRule="auto"/>
              <w:ind w:left="0" w:leftChars="0" w:firstLine="0" w:firstLineChars="0"/>
              <w:rPr>
                <w:b/>
                <w:sz w:val="24"/>
                <w:szCs w:val="24"/>
              </w:rPr>
            </w:pPr>
            <w:r>
              <w:rPr>
                <w:b/>
                <w:sz w:val="24"/>
                <w:szCs w:val="24"/>
              </w:rPr>
              <w:t>地质灾害致灾调查与评估</w:t>
            </w:r>
          </w:p>
          <w:p>
            <w:pPr>
              <w:pStyle w:val="23"/>
              <w:spacing w:line="240" w:lineRule="auto"/>
              <w:ind w:left="0" w:leftChars="0" w:firstLine="0" w:firstLineChars="0"/>
              <w:rPr>
                <w:sz w:val="24"/>
                <w:szCs w:val="24"/>
              </w:rPr>
            </w:pPr>
            <w:r>
              <w:rPr>
                <w:sz w:val="24"/>
                <w:szCs w:val="24"/>
              </w:rPr>
              <w:t>普查内容：开展地质灾害遥感解译、中高易发区1:5万、1:1万及更大比例尺的地质灾害点空间分布、基本灾害特征信息、稳定性现状、孕灾地质背景条件属性等信息调查，建立多级动态更新的地质灾害数据库。编制1:5万或更大比例尺地质灾害危险性评价图系。</w:t>
            </w:r>
          </w:p>
          <w:p>
            <w:pPr>
              <w:pStyle w:val="23"/>
              <w:spacing w:line="240" w:lineRule="auto"/>
              <w:ind w:left="0" w:leftChars="0" w:firstLine="0" w:firstLineChars="0"/>
              <w:rPr>
                <w:b/>
                <w:sz w:val="24"/>
                <w:szCs w:val="24"/>
              </w:rPr>
            </w:pPr>
            <w:r>
              <w:rPr>
                <w:b/>
                <w:sz w:val="24"/>
                <w:szCs w:val="24"/>
              </w:rPr>
              <w:t>水旱灾害致灾调查与评估</w:t>
            </w:r>
          </w:p>
          <w:p>
            <w:pPr>
              <w:pStyle w:val="23"/>
              <w:spacing w:line="240" w:lineRule="auto"/>
              <w:ind w:left="0" w:leftChars="0" w:firstLine="0" w:firstLineChars="0"/>
              <w:rPr>
                <w:sz w:val="24"/>
                <w:szCs w:val="24"/>
              </w:rPr>
            </w:pPr>
            <w:r>
              <w:rPr>
                <w:sz w:val="24"/>
                <w:szCs w:val="24"/>
              </w:rPr>
              <w:t>普查内容：开展暴雨洪水特征调查、暴雨洪水致灾孕灾要素分析，完成暴雨洪水易发区调查分析，编制中小流域洪水频率图。摸清城市内涝点底数，完成城市内涝灾害风险图，建立城市内涝隐患排查数据库，建立干旱灾害危险性调查数据库。</w:t>
            </w:r>
          </w:p>
          <w:p>
            <w:pPr>
              <w:pStyle w:val="23"/>
              <w:spacing w:line="240" w:lineRule="auto"/>
              <w:ind w:left="0" w:leftChars="0" w:firstLine="0" w:firstLineChars="0"/>
              <w:rPr>
                <w:b/>
                <w:sz w:val="24"/>
                <w:szCs w:val="24"/>
              </w:rPr>
            </w:pPr>
            <w:r>
              <w:rPr>
                <w:b/>
                <w:sz w:val="24"/>
                <w:szCs w:val="24"/>
              </w:rPr>
              <w:t>森林火灾致灾调查与评估</w:t>
            </w:r>
          </w:p>
          <w:p>
            <w:pPr>
              <w:pStyle w:val="23"/>
              <w:spacing w:line="240" w:lineRule="auto"/>
              <w:ind w:left="0" w:leftChars="0" w:firstLine="0" w:firstLineChars="0"/>
              <w:rPr>
                <w:sz w:val="24"/>
                <w:szCs w:val="24"/>
              </w:rPr>
            </w:pPr>
            <w:r>
              <w:rPr>
                <w:sz w:val="24"/>
                <w:szCs w:val="24"/>
              </w:rPr>
              <w:t>普查内容：建立森林火灾危险性调查与评估数据库，编制1:5万的森林火灾危险性分级分布图。</w:t>
            </w:r>
          </w:p>
          <w:p>
            <w:pPr>
              <w:pStyle w:val="23"/>
              <w:spacing w:line="240" w:lineRule="auto"/>
              <w:ind w:left="0" w:leftChars="0" w:firstLine="0" w:firstLineChars="0"/>
              <w:rPr>
                <w:b/>
                <w:sz w:val="24"/>
                <w:szCs w:val="24"/>
              </w:rPr>
            </w:pPr>
            <w:r>
              <w:rPr>
                <w:b/>
                <w:sz w:val="24"/>
                <w:szCs w:val="24"/>
              </w:rPr>
              <w:t>海洋灾害致灾调查与评估</w:t>
            </w:r>
          </w:p>
          <w:p>
            <w:pPr>
              <w:pStyle w:val="23"/>
              <w:spacing w:line="240" w:lineRule="auto"/>
              <w:ind w:left="0" w:leftChars="0" w:firstLine="0" w:firstLineChars="0"/>
              <w:rPr>
                <w:sz w:val="24"/>
                <w:szCs w:val="24"/>
              </w:rPr>
            </w:pPr>
            <w:r>
              <w:rPr>
                <w:sz w:val="24"/>
                <w:szCs w:val="24"/>
              </w:rPr>
              <w:t>普查内容：开展风暴潮、海浪、海啸、海平面上升等海洋灾害致灾孕灾情况调查与评估，形成4个灾种1:5万尺度海洋灾害危险性分布图。</w:t>
            </w:r>
          </w:p>
          <w:p>
            <w:pPr>
              <w:pStyle w:val="23"/>
              <w:spacing w:line="240" w:lineRule="auto"/>
              <w:ind w:left="0" w:leftChars="0" w:firstLine="0" w:firstLineChars="0"/>
              <w:rPr>
                <w:b/>
                <w:sz w:val="24"/>
                <w:szCs w:val="24"/>
              </w:rPr>
            </w:pPr>
            <w:r>
              <w:rPr>
                <w:b/>
                <w:sz w:val="24"/>
                <w:szCs w:val="24"/>
              </w:rPr>
              <w:t>地震灾害致灾调查与评估</w:t>
            </w:r>
          </w:p>
          <w:p>
            <w:pPr>
              <w:pStyle w:val="23"/>
              <w:spacing w:line="240" w:lineRule="auto"/>
              <w:ind w:left="0" w:leftChars="0" w:firstLine="0" w:firstLineChars="0"/>
              <w:rPr>
                <w:sz w:val="24"/>
                <w:szCs w:val="24"/>
              </w:rPr>
            </w:pPr>
            <w:r>
              <w:rPr>
                <w:sz w:val="24"/>
                <w:szCs w:val="24"/>
              </w:rPr>
              <w:t>普查内容：编制1:5万活动断层分布图，评定不同地震动参数的场地影响，编制场地类别分区图，编制完成1:5万地震危险性图。</w:t>
            </w:r>
          </w:p>
          <w:p>
            <w:pPr>
              <w:pStyle w:val="23"/>
              <w:spacing w:line="240" w:lineRule="auto"/>
              <w:ind w:left="0" w:leftChars="0" w:firstLine="0" w:firstLineChars="0"/>
              <w:rPr>
                <w:b/>
                <w:sz w:val="24"/>
                <w:szCs w:val="24"/>
              </w:rPr>
            </w:pPr>
            <w:r>
              <w:rPr>
                <w:b/>
                <w:sz w:val="24"/>
                <w:szCs w:val="24"/>
              </w:rPr>
              <w:t>承灾体调查评估</w:t>
            </w:r>
          </w:p>
          <w:p>
            <w:pPr>
              <w:pStyle w:val="23"/>
              <w:spacing w:line="240" w:lineRule="auto"/>
              <w:ind w:left="0" w:leftChars="0" w:firstLine="0" w:firstLineChars="0"/>
              <w:rPr>
                <w:sz w:val="24"/>
                <w:szCs w:val="24"/>
              </w:rPr>
            </w:pPr>
            <w:r>
              <w:rPr>
                <w:sz w:val="24"/>
                <w:szCs w:val="24"/>
              </w:rPr>
              <w:t>调查评估内容：人口、房屋建筑、市政建筑、城市生命线、资源与环境承灾体调查。</w:t>
            </w:r>
          </w:p>
          <w:p>
            <w:pPr>
              <w:pStyle w:val="23"/>
              <w:spacing w:line="240" w:lineRule="auto"/>
              <w:ind w:left="0" w:leftChars="0" w:firstLine="0" w:firstLineChars="0"/>
              <w:rPr>
                <w:b/>
                <w:sz w:val="24"/>
                <w:szCs w:val="24"/>
              </w:rPr>
            </w:pPr>
            <w:r>
              <w:rPr>
                <w:b/>
                <w:sz w:val="24"/>
                <w:szCs w:val="24"/>
              </w:rPr>
              <w:t>历史灾害调查与评估</w:t>
            </w:r>
          </w:p>
          <w:p>
            <w:pPr>
              <w:pStyle w:val="23"/>
              <w:spacing w:line="240" w:lineRule="auto"/>
              <w:ind w:left="0" w:leftChars="0" w:firstLine="0" w:firstLineChars="0"/>
              <w:rPr>
                <w:b/>
                <w:sz w:val="24"/>
                <w:szCs w:val="24"/>
              </w:rPr>
            </w:pPr>
            <w:r>
              <w:rPr>
                <w:sz w:val="24"/>
                <w:szCs w:val="24"/>
              </w:rPr>
              <w:t>调查评估内容：梳理历年自然灾害灾情、自然灾害事件，建立要素完整、内容详实、数据规范的长时间序列灾害时空数据集。</w:t>
            </w:r>
          </w:p>
          <w:p>
            <w:pPr>
              <w:pStyle w:val="23"/>
              <w:spacing w:line="240" w:lineRule="auto"/>
              <w:ind w:left="0" w:leftChars="0" w:firstLine="0" w:firstLineChars="0"/>
              <w:rPr>
                <w:b/>
                <w:sz w:val="24"/>
                <w:szCs w:val="24"/>
              </w:rPr>
            </w:pPr>
            <w:r>
              <w:rPr>
                <w:b/>
                <w:sz w:val="24"/>
                <w:szCs w:val="24"/>
              </w:rPr>
              <w:t>综合减灾资源调查与评估</w:t>
            </w:r>
          </w:p>
          <w:p>
            <w:pPr>
              <w:pStyle w:val="23"/>
              <w:spacing w:line="240" w:lineRule="auto"/>
              <w:ind w:left="0" w:leftChars="0" w:firstLine="0" w:firstLineChars="0"/>
              <w:rPr>
                <w:b/>
                <w:sz w:val="24"/>
                <w:szCs w:val="24"/>
              </w:rPr>
            </w:pPr>
            <w:r>
              <w:rPr>
                <w:sz w:val="24"/>
                <w:szCs w:val="24"/>
              </w:rPr>
              <w:t>调查评估内容：政府、社会和企业减灾资源调查。</w:t>
            </w:r>
          </w:p>
          <w:p>
            <w:pPr>
              <w:pStyle w:val="23"/>
              <w:spacing w:line="240" w:lineRule="auto"/>
              <w:ind w:left="0" w:leftChars="0" w:firstLine="0" w:firstLineChars="0"/>
              <w:rPr>
                <w:b/>
                <w:sz w:val="24"/>
                <w:szCs w:val="24"/>
              </w:rPr>
            </w:pPr>
            <w:r>
              <w:rPr>
                <w:b/>
                <w:sz w:val="24"/>
                <w:szCs w:val="24"/>
              </w:rPr>
              <w:t>重点隐患调查评估：</w:t>
            </w:r>
          </w:p>
          <w:p>
            <w:pPr>
              <w:pStyle w:val="23"/>
              <w:spacing w:line="240" w:lineRule="auto"/>
              <w:ind w:left="0" w:leftChars="0" w:firstLine="0" w:firstLineChars="0"/>
              <w:rPr>
                <w:sz w:val="24"/>
                <w:szCs w:val="24"/>
              </w:rPr>
            </w:pPr>
            <w:r>
              <w:rPr>
                <w:sz w:val="24"/>
                <w:szCs w:val="24"/>
              </w:rPr>
              <w:t>调查评估内容：开展地质灾害、洪水灾害、森林火灾、地震等自然灾害次生重大生产安全事故重点隐患排查，形成隐患清单；开展重点隐患分区分类分级综合排查，完成重点隐患分区分类分级评估与制图工作。</w:t>
            </w:r>
          </w:p>
        </w:tc>
      </w:tr>
    </w:tbl>
    <w:p>
      <w:pPr>
        <w:ind w:firstLine="643"/>
        <w:rPr>
          <w:b/>
          <w:shd w:val="clear" w:color="auto" w:fill="FFFFFF"/>
        </w:rPr>
      </w:pPr>
      <w:r>
        <w:rPr>
          <w:b/>
          <w:shd w:val="clear" w:color="auto" w:fill="FFFFFF"/>
        </w:rPr>
        <w:t>2.建立安全风险分级管控制度</w:t>
      </w:r>
    </w:p>
    <w:p>
      <w:pPr>
        <w:ind w:firstLine="640"/>
        <w:rPr>
          <w:shd w:val="clear" w:color="auto" w:fill="FFFFFF"/>
        </w:rPr>
      </w:pPr>
      <w:r>
        <w:rPr>
          <w:rFonts w:eastAsia="黑体"/>
          <w:shd w:val="clear" w:color="auto" w:fill="FFFFFF"/>
        </w:rPr>
        <w:t>全面推进合作区第一次总体安全风险评估项目</w:t>
      </w:r>
      <w:r>
        <w:rPr>
          <w:shd w:val="clear" w:color="auto" w:fill="FFFFFF"/>
        </w:rPr>
        <w:t>，深入实施《深圳市安全风险管控暂行办法》，开展合作区风险辨识与评估、风险分级管控、风险沟通并持续改进，每三年开展1次合作区区域风险评估，定期组织行业领域风险管控。</w:t>
      </w:r>
    </w:p>
    <w:p>
      <w:pPr>
        <w:ind w:firstLine="640"/>
        <w:rPr>
          <w:shd w:val="clear" w:color="auto" w:fill="FFFFFF"/>
        </w:rPr>
      </w:pPr>
      <w:r>
        <w:rPr>
          <w:shd w:val="clear" w:color="auto" w:fill="FFFFFF"/>
        </w:rPr>
        <w:t>深入推进各类生产经营单位及人员密集场所、大型建设项目、重点部位、重点设备设施、大型群众性活动等开展安全风险分级管控，高危行业领域生产经营单位每两年组织不少于1次的风险评估，其他生产经营单位每三年组织不少于1次的风险评估。</w:t>
      </w:r>
    </w:p>
    <w:p>
      <w:pPr>
        <w:ind w:firstLine="640"/>
        <w:rPr>
          <w:shd w:val="clear" w:color="auto" w:fill="FFFFFF"/>
        </w:rPr>
      </w:pPr>
      <w:r>
        <w:rPr>
          <w:shd w:val="clear" w:color="auto" w:fill="FFFFFF"/>
        </w:rPr>
        <w:t>依托深圳市安全风险分级管控信息系统，定期更新风险清单信息，绘制“红橙黄蓝”四色等级安全风险空间分布图。</w:t>
      </w:r>
    </w:p>
    <w:p>
      <w:pPr>
        <w:ind w:firstLine="640"/>
        <w:rPr>
          <w:shd w:val="clear" w:color="auto" w:fill="FFFFFF"/>
        </w:rPr>
      </w:pPr>
    </w:p>
    <w:tbl>
      <w:tblPr>
        <w:tblStyle w:val="29"/>
        <w:tblW w:w="8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3" w:hRule="atLeast"/>
        </w:trPr>
        <w:tc>
          <w:tcPr>
            <w:tcW w:w="8075" w:type="dxa"/>
            <w:vAlign w:val="center"/>
          </w:tcPr>
          <w:p>
            <w:pPr>
              <w:pStyle w:val="23"/>
              <w:spacing w:after="0" w:line="240" w:lineRule="auto"/>
              <w:ind w:left="0" w:leftChars="0" w:firstLine="0" w:firstLineChars="0"/>
              <w:jc w:val="center"/>
              <w:rPr>
                <w:rFonts w:ascii="Times New Roman" w:hAnsi="Times New Roman" w:cs="Times New Roman"/>
                <w:kern w:val="0"/>
                <w:sz w:val="24"/>
                <w:szCs w:val="24"/>
              </w:rPr>
            </w:pPr>
            <w:r>
              <w:rPr>
                <w:rFonts w:ascii="Times New Roman" w:hAnsi="Times New Roman" w:cs="Times New Roman"/>
                <w:b/>
                <w:kern w:val="0"/>
                <w:sz w:val="24"/>
                <w:szCs w:val="24"/>
              </w:rPr>
              <w:t>专栏4 安全风险评估项目建设内容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75" w:type="dxa"/>
            <w:vAlign w:val="center"/>
          </w:tcPr>
          <w:p>
            <w:pPr>
              <w:pStyle w:val="23"/>
              <w:spacing w:line="240" w:lineRule="auto"/>
              <w:ind w:left="0" w:leftChars="0" w:firstLine="0" w:firstLineChars="0"/>
              <w:rPr>
                <w:rFonts w:ascii="Times New Roman" w:hAnsi="Times New Roman" w:cs="Times New Roman"/>
                <w:b/>
                <w:kern w:val="0"/>
                <w:sz w:val="24"/>
                <w:szCs w:val="24"/>
              </w:rPr>
            </w:pPr>
            <w:r>
              <w:rPr>
                <w:rFonts w:ascii="Times New Roman" w:hAnsi="Times New Roman" w:cs="Times New Roman"/>
                <w:b/>
                <w:kern w:val="0"/>
                <w:sz w:val="24"/>
                <w:szCs w:val="24"/>
              </w:rPr>
              <w:t>区域安全风险评估：</w:t>
            </w:r>
          </w:p>
          <w:p>
            <w:pPr>
              <w:pStyle w:val="23"/>
              <w:spacing w:line="240" w:lineRule="auto"/>
              <w:ind w:left="0" w:leftChars="0" w:firstLine="0" w:firstLineChars="0"/>
              <w:rPr>
                <w:rFonts w:ascii="Times New Roman" w:hAnsi="Times New Roman" w:cs="Times New Roman"/>
                <w:kern w:val="0"/>
                <w:sz w:val="24"/>
                <w:szCs w:val="24"/>
              </w:rPr>
            </w:pPr>
            <w:r>
              <w:rPr>
                <w:rFonts w:ascii="Times New Roman" w:hAnsi="Times New Roman" w:cs="Times New Roman"/>
                <w:kern w:val="0"/>
                <w:sz w:val="24"/>
                <w:szCs w:val="24"/>
              </w:rPr>
              <w:t>建设内容：合作区整体安全风险评估项目、重点行业领域安全风险评估项目、各镇安全风险评估项目</w:t>
            </w:r>
            <w:r>
              <w:rPr>
                <w:rFonts w:hint="eastAsia" w:ascii="Times New Roman" w:hAnsi="Times New Roman" w:cs="Times New Roman"/>
                <w:kern w:val="0"/>
                <w:sz w:val="24"/>
                <w:szCs w:val="24"/>
              </w:rPr>
              <w:t>。</w:t>
            </w:r>
          </w:p>
          <w:p>
            <w:pPr>
              <w:pStyle w:val="23"/>
              <w:spacing w:line="240" w:lineRule="auto"/>
              <w:ind w:left="0" w:leftChars="0" w:firstLine="0" w:firstLineChars="0"/>
              <w:rPr>
                <w:rFonts w:ascii="Times New Roman" w:hAnsi="Times New Roman" w:cs="Times New Roman"/>
                <w:b/>
                <w:kern w:val="0"/>
                <w:sz w:val="24"/>
                <w:szCs w:val="24"/>
              </w:rPr>
            </w:pPr>
            <w:r>
              <w:rPr>
                <w:rFonts w:ascii="Times New Roman" w:hAnsi="Times New Roman" w:cs="Times New Roman"/>
                <w:b/>
                <w:kern w:val="0"/>
                <w:sz w:val="24"/>
                <w:szCs w:val="24"/>
              </w:rPr>
              <w:t>安全风险分级管控：</w:t>
            </w:r>
          </w:p>
          <w:p>
            <w:pPr>
              <w:pStyle w:val="23"/>
              <w:spacing w:line="240" w:lineRule="auto"/>
              <w:ind w:left="0" w:leftChars="0" w:firstLine="0" w:firstLineChars="0"/>
              <w:rPr>
                <w:rFonts w:ascii="Times New Roman" w:hAnsi="Times New Roman" w:cs="Times New Roman"/>
                <w:kern w:val="0"/>
                <w:sz w:val="24"/>
                <w:szCs w:val="24"/>
              </w:rPr>
            </w:pPr>
            <w:r>
              <w:rPr>
                <w:rFonts w:ascii="Times New Roman" w:hAnsi="Times New Roman" w:cs="Times New Roman"/>
                <w:kern w:val="0"/>
                <w:sz w:val="24"/>
                <w:szCs w:val="24"/>
              </w:rPr>
              <w:t>建设内容：深入推进各类生产经营单位及人员密集场所、大型建设项目、重点部位、重点设备设施、大型群众性活动等开展安全风险分级管控；制定安全风险清单和风险分布电子图。</w:t>
            </w:r>
          </w:p>
        </w:tc>
      </w:tr>
    </w:tbl>
    <w:p>
      <w:pPr>
        <w:pStyle w:val="4"/>
        <w:ind w:firstLine="640"/>
      </w:pPr>
      <w:bookmarkStart w:id="92" w:name="_Toc59651193"/>
      <w:bookmarkStart w:id="93" w:name="_Toc80221588"/>
      <w:r>
        <w:t>三、强化多灾种和灾害链监测预警</w:t>
      </w:r>
      <w:bookmarkEnd w:id="92"/>
      <w:bookmarkEnd w:id="93"/>
    </w:p>
    <w:p>
      <w:pPr>
        <w:ind w:firstLine="643"/>
        <w:rPr>
          <w:b/>
          <w:shd w:val="clear" w:color="auto" w:fill="FFFFFF"/>
        </w:rPr>
      </w:pPr>
      <w:r>
        <w:rPr>
          <w:b/>
          <w:shd w:val="clear" w:color="auto" w:fill="FFFFFF"/>
        </w:rPr>
        <w:t>1.建立安全风险监测预警系统</w:t>
      </w:r>
    </w:p>
    <w:p>
      <w:pPr>
        <w:ind w:firstLine="640"/>
        <w:rPr>
          <w:shd w:val="clear" w:color="auto" w:fill="FFFFFF"/>
        </w:rPr>
      </w:pPr>
      <w:r>
        <w:rPr>
          <w:shd w:val="clear" w:color="auto" w:fill="FFFFFF"/>
        </w:rPr>
        <w:t>加强重点行业领域安全风险监测系统建设，逐步实现对重点企事业单位实时监测、在线监控、可视化监管。推进建立区重大危险源实时监控系统，对全区重大危险源的压力、温度、易燃有毒有害气体浓度等安全技术参数进行在线实时监控。</w:t>
      </w:r>
    </w:p>
    <w:tbl>
      <w:tblPr>
        <w:tblStyle w:val="28"/>
        <w:tblW w:w="4994" w:type="pct"/>
        <w:tblInd w:w="0" w:type="dxa"/>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Layout w:type="autofit"/>
        <w:tblCellMar>
          <w:top w:w="0" w:type="dxa"/>
          <w:left w:w="108" w:type="dxa"/>
          <w:bottom w:w="0" w:type="dxa"/>
          <w:right w:w="108" w:type="dxa"/>
        </w:tblCellMar>
      </w:tblPr>
      <w:tblGrid>
        <w:gridCol w:w="8513"/>
      </w:tblGrid>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CellMar>
            <w:top w:w="0" w:type="dxa"/>
            <w:left w:w="108" w:type="dxa"/>
            <w:bottom w:w="0" w:type="dxa"/>
            <w:right w:w="108" w:type="dxa"/>
          </w:tblCellMar>
        </w:tblPrEx>
        <w:trPr>
          <w:trHeight w:val="60" w:hRule="atLeast"/>
        </w:trPr>
        <w:tc>
          <w:tcPr>
            <w:tcW w:w="5000" w:type="pct"/>
            <w:vAlign w:val="center"/>
          </w:tcPr>
          <w:p>
            <w:pPr>
              <w:pStyle w:val="23"/>
              <w:spacing w:line="240" w:lineRule="auto"/>
              <w:ind w:left="0" w:leftChars="0" w:firstLine="0" w:firstLineChars="0"/>
              <w:jc w:val="center"/>
              <w:rPr>
                <w:sz w:val="24"/>
                <w:szCs w:val="24"/>
              </w:rPr>
            </w:pPr>
            <w:r>
              <w:rPr>
                <w:b/>
                <w:sz w:val="24"/>
                <w:szCs w:val="24"/>
              </w:rPr>
              <w:t>专栏5 智慧安监信息化系统</w:t>
            </w:r>
          </w:p>
        </w:tc>
      </w:tr>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CellMar>
            <w:top w:w="0" w:type="dxa"/>
            <w:left w:w="108" w:type="dxa"/>
            <w:bottom w:w="0" w:type="dxa"/>
            <w:right w:w="108" w:type="dxa"/>
          </w:tblCellMar>
        </w:tblPrEx>
        <w:tc>
          <w:tcPr>
            <w:tcW w:w="5000" w:type="pct"/>
            <w:vAlign w:val="center"/>
          </w:tcPr>
          <w:p>
            <w:pPr>
              <w:spacing w:line="240" w:lineRule="auto"/>
              <w:ind w:firstLine="0" w:firstLineChars="0"/>
              <w:rPr>
                <w:b/>
                <w:sz w:val="24"/>
              </w:rPr>
            </w:pPr>
            <w:r>
              <w:rPr>
                <w:b/>
                <w:sz w:val="24"/>
              </w:rPr>
              <w:t>建设目标：</w:t>
            </w:r>
          </w:p>
          <w:p>
            <w:pPr>
              <w:spacing w:line="240" w:lineRule="auto"/>
              <w:ind w:firstLine="0" w:firstLineChars="0"/>
              <w:rPr>
                <w:sz w:val="24"/>
              </w:rPr>
            </w:pPr>
            <w:r>
              <w:rPr>
                <w:sz w:val="24"/>
              </w:rPr>
              <w:t>采集全周期安全生产数据，形成生产经营单位安全基础资源数据库，构建全覆盖、全流程的智慧安监管理平台。</w:t>
            </w:r>
          </w:p>
          <w:p>
            <w:pPr>
              <w:spacing w:line="240" w:lineRule="auto"/>
              <w:ind w:firstLine="0" w:firstLineChars="0"/>
              <w:rPr>
                <w:b/>
                <w:sz w:val="24"/>
              </w:rPr>
            </w:pPr>
            <w:r>
              <w:rPr>
                <w:b/>
                <w:sz w:val="24"/>
              </w:rPr>
              <w:t>建设内容：</w:t>
            </w:r>
          </w:p>
          <w:p>
            <w:pPr>
              <w:spacing w:line="240" w:lineRule="auto"/>
              <w:ind w:firstLine="0" w:firstLineChars="0"/>
              <w:rPr>
                <w:sz w:val="24"/>
              </w:rPr>
            </w:pPr>
            <w:r>
              <w:rPr>
                <w:sz w:val="24"/>
              </w:rPr>
              <w:t>强化数据应用创新，在重大危险源、危险化学品、企业安全隐患、企业信用体系、应急救援物质、安全事故等领域开展数据分析应用，为制定安全生产政策提供支持。</w:t>
            </w:r>
          </w:p>
        </w:tc>
      </w:tr>
    </w:tbl>
    <w:p>
      <w:pPr>
        <w:ind w:firstLine="643"/>
        <w:rPr>
          <w:b/>
          <w:shd w:val="clear" w:color="auto" w:fill="FFFFFF"/>
        </w:rPr>
      </w:pPr>
      <w:r>
        <w:rPr>
          <w:b/>
          <w:shd w:val="clear" w:color="auto" w:fill="FFFFFF"/>
        </w:rPr>
        <w:t>2.推进自然灾害监测预警信息化</w:t>
      </w:r>
    </w:p>
    <w:p>
      <w:pPr>
        <w:ind w:firstLine="640"/>
        <w:rPr>
          <w:shd w:val="clear" w:color="auto" w:fill="FFFFFF"/>
        </w:rPr>
      </w:pPr>
      <w:r>
        <w:rPr>
          <w:shd w:val="clear" w:color="auto" w:fill="FFFFFF"/>
        </w:rPr>
        <w:t>建立合作区一体化及横向多部门联合的自然灾害监测预警体系，进一步加强水文监测洪水预警、山洪灾害监测预警、地质灾害监测预警、森林火险监测预警、城市排水防涝预警、地震监测预警建设。</w:t>
      </w:r>
    </w:p>
    <w:p>
      <w:pPr>
        <w:ind w:firstLine="640"/>
        <w:rPr>
          <w:shd w:val="clear" w:color="auto" w:fill="FFFFFF"/>
        </w:rPr>
      </w:pPr>
      <w:r>
        <w:rPr>
          <w:shd w:val="clear" w:color="auto" w:fill="FFFFFF"/>
        </w:rPr>
        <w:t>强化气象灾害监测预警能力建设，全面推进深圳国家气候观象台深汕气象观测基地建设。</w:t>
      </w:r>
    </w:p>
    <w:tbl>
      <w:tblPr>
        <w:tblStyle w:val="28"/>
        <w:tblW w:w="4943" w:type="pct"/>
        <w:tblInd w:w="0" w:type="dxa"/>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Layout w:type="autofit"/>
        <w:tblCellMar>
          <w:top w:w="0" w:type="dxa"/>
          <w:left w:w="108" w:type="dxa"/>
          <w:bottom w:w="0" w:type="dxa"/>
          <w:right w:w="108" w:type="dxa"/>
        </w:tblCellMar>
      </w:tblPr>
      <w:tblGrid>
        <w:gridCol w:w="8426"/>
      </w:tblGrid>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CellMar>
            <w:top w:w="0" w:type="dxa"/>
            <w:left w:w="108" w:type="dxa"/>
            <w:bottom w:w="0" w:type="dxa"/>
            <w:right w:w="108" w:type="dxa"/>
          </w:tblCellMar>
        </w:tblPrEx>
        <w:trPr>
          <w:trHeight w:val="60" w:hRule="atLeast"/>
        </w:trPr>
        <w:tc>
          <w:tcPr>
            <w:tcW w:w="5000" w:type="pct"/>
            <w:vAlign w:val="center"/>
          </w:tcPr>
          <w:p>
            <w:pPr>
              <w:pStyle w:val="23"/>
              <w:spacing w:line="240" w:lineRule="auto"/>
              <w:ind w:left="0" w:leftChars="0" w:firstLine="0" w:firstLineChars="0"/>
              <w:jc w:val="center"/>
              <w:rPr>
                <w:sz w:val="24"/>
                <w:szCs w:val="24"/>
              </w:rPr>
            </w:pPr>
            <w:r>
              <w:rPr>
                <w:b/>
                <w:sz w:val="24"/>
                <w:szCs w:val="24"/>
              </w:rPr>
              <w:t>专栏6 深圳国家气候观象台深汕气象观测基地</w:t>
            </w:r>
          </w:p>
        </w:tc>
      </w:tr>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CellMar>
            <w:top w:w="0" w:type="dxa"/>
            <w:left w:w="108" w:type="dxa"/>
            <w:bottom w:w="0" w:type="dxa"/>
            <w:right w:w="108" w:type="dxa"/>
          </w:tblCellMar>
        </w:tblPrEx>
        <w:tc>
          <w:tcPr>
            <w:tcW w:w="5000" w:type="pct"/>
            <w:vAlign w:val="center"/>
          </w:tcPr>
          <w:p>
            <w:pPr>
              <w:spacing w:line="240" w:lineRule="auto"/>
              <w:ind w:firstLine="0" w:firstLineChars="0"/>
              <w:rPr>
                <w:sz w:val="24"/>
              </w:rPr>
            </w:pPr>
            <w:r>
              <w:rPr>
                <w:b/>
                <w:sz w:val="24"/>
              </w:rPr>
              <w:t>建设内容</w:t>
            </w:r>
            <w:r>
              <w:rPr>
                <w:sz w:val="24"/>
              </w:rPr>
              <w:t>：气象观测基地拟选址合作区</w:t>
            </w:r>
            <w:r>
              <w:rPr>
                <w:rFonts w:eastAsia="宋体"/>
                <w:sz w:val="24"/>
              </w:rPr>
              <w:t>鮜</w:t>
            </w:r>
            <w:r>
              <w:rPr>
                <w:sz w:val="24"/>
              </w:rPr>
              <w:t>门镇烟墩山山顶制高点位于百安半岛最高处，海拔为140米。布局建设40个自动气象站（本项目建设21个自动气象站），包括芒屿岛、江牡岛上建立2个海洋气象观测站点，开展天气雷达、海洋观测、城市气候、垂直观测、生态气象、闪电定位等综合气象观测业务，实现街道覆盖率100%，空间分布密度从6.8km×6.8km提升达到4.4km×4.4km，实现垂直方向的风速、风向观测，气象要素监测完整率从10%提升到60%。</w:t>
            </w:r>
          </w:p>
        </w:tc>
      </w:tr>
    </w:tbl>
    <w:p>
      <w:pPr>
        <w:ind w:firstLine="643"/>
        <w:rPr>
          <w:b/>
          <w:shd w:val="clear" w:color="auto" w:fill="FFFFFF"/>
        </w:rPr>
      </w:pPr>
      <w:r>
        <w:rPr>
          <w:b/>
          <w:shd w:val="clear" w:color="auto" w:fill="FFFFFF"/>
        </w:rPr>
        <w:t>3.建立统一的预警预报信息平台</w:t>
      </w:r>
    </w:p>
    <w:p>
      <w:pPr>
        <w:ind w:firstLine="640"/>
        <w:rPr>
          <w:shd w:val="clear" w:color="auto" w:fill="FFFFFF"/>
        </w:rPr>
      </w:pPr>
      <w:r>
        <w:rPr>
          <w:shd w:val="clear" w:color="auto" w:fill="FFFFFF"/>
        </w:rPr>
        <w:t>实施精准预警，实现指定区域指定人群全网靶向发布，对雨情、风情等气象数据进行滚动预报，加强对次生灾害预报。依托合作区智能音箱（农村大喇叭），畅通预警预报渠道，建立基层群防体系。融合“报、网、端、微、屏”各种资源，打造灾害事故信息全媒体传播矩阵，建设专业化应急频道，开设绿色通道。</w:t>
      </w:r>
    </w:p>
    <w:p>
      <w:pPr>
        <w:pStyle w:val="4"/>
        <w:ind w:firstLine="640"/>
      </w:pPr>
      <w:bookmarkStart w:id="94" w:name="_Toc59651194"/>
      <w:bookmarkStart w:id="95" w:name="_Toc80221589"/>
      <w:r>
        <w:t>四、实施重点行业领域安全生产</w:t>
      </w:r>
      <w:r>
        <w:rPr>
          <w:rFonts w:hint="eastAsia"/>
        </w:rPr>
        <w:t>综合</w:t>
      </w:r>
      <w:bookmarkEnd w:id="94"/>
      <w:bookmarkEnd w:id="95"/>
      <w:r>
        <w:rPr>
          <w:rFonts w:hint="eastAsia"/>
        </w:rPr>
        <w:t>治理</w:t>
      </w:r>
    </w:p>
    <w:p>
      <w:pPr>
        <w:ind w:firstLine="640"/>
        <w:rPr>
          <w:shd w:val="clear" w:color="auto" w:fill="FFFFFF"/>
        </w:rPr>
      </w:pPr>
      <w:r>
        <w:rPr>
          <w:shd w:val="clear" w:color="auto" w:fill="FFFFFF"/>
        </w:rPr>
        <w:t>立足于有效遏制较大以上安全事故，全面开展安全生产</w:t>
      </w:r>
      <w:r>
        <w:rPr>
          <w:rFonts w:hint="eastAsia"/>
          <w:shd w:val="clear" w:color="auto" w:fill="FFFFFF"/>
        </w:rPr>
        <w:t>综合治理</w:t>
      </w:r>
      <w:r>
        <w:rPr>
          <w:shd w:val="clear" w:color="auto" w:fill="FFFFFF"/>
        </w:rPr>
        <w:t>行动，加强建设工程、道路交通、危险化学品、消防安全、工矿商贸、特种设备、海上安全等行业领域安全监管。</w:t>
      </w:r>
    </w:p>
    <w:p>
      <w:pPr>
        <w:ind w:firstLine="643"/>
        <w:rPr>
          <w:b/>
          <w:shd w:val="clear" w:color="auto" w:fill="FFFFFF"/>
        </w:rPr>
      </w:pPr>
      <w:r>
        <w:rPr>
          <w:b/>
          <w:shd w:val="clear" w:color="auto" w:fill="FFFFFF"/>
        </w:rPr>
        <w:t>1.建设工程</w:t>
      </w:r>
    </w:p>
    <w:p>
      <w:pPr>
        <w:ind w:firstLine="640"/>
        <w:rPr>
          <w:shd w:val="clear" w:color="auto" w:fill="FFFFFF"/>
        </w:rPr>
      </w:pPr>
      <w:r>
        <w:rPr>
          <w:shd w:val="clear" w:color="auto" w:fill="FFFFFF"/>
        </w:rPr>
        <w:t>构建现代化工程建设质量管理体系，推进精品建造和精细管理。大力发展装配式建筑，推进绿色施工，通过先进技术和科学管理，提升建筑工程质量水平。组织开展基坑支护、土方（隧道）开挖、脚手架、模板支撑体系、起重机械安装、吊装及拆卸等危险性较大分部分项工程专项整治行动，重点围绕安全专项施工方案编制、审核及实施情况、相关从业人员持证上岗情况、施工和监理单位履职情况等内容开展排查整治。重点突出对建筑工地起重机械使用、临高临边作业、深基坑、高支模、高边坡、地下暗挖等高危作业环节的检查治理。强力推行高处作业防护标准化、定型化、工具化，严格落实高处作业管理人员带班作业等管理制度。强化合作区农房建设维护安全管理，实现全面纳管。严格落实实名制安全教育培训，对合作区建筑施工领域从业人员全覆盖开展培训教育及考核。完善建筑施工智慧监管信息化平台，在建筑施工及大型起重设备使用现场安装视频监控系统，实现在监工程实时动态监控和智慧化监管。</w:t>
      </w:r>
      <w:r>
        <w:rPr>
          <w:rFonts w:hint="eastAsia"/>
          <w:shd w:val="clear" w:color="auto" w:fill="FFFFFF"/>
        </w:rPr>
        <w:t>加快余泥渣土受纳场选址布局，建立受纳场监测预警系统和建筑废弃物运输处置管理平台，实现余泥渣土运输、受纳、排放、处置全过程监测监控和自动预警。</w:t>
      </w:r>
    </w:p>
    <w:p>
      <w:pPr>
        <w:ind w:firstLine="643"/>
        <w:rPr>
          <w:b/>
          <w:shd w:val="clear" w:color="auto" w:fill="FFFFFF"/>
        </w:rPr>
      </w:pPr>
      <w:r>
        <w:rPr>
          <w:b/>
          <w:shd w:val="clear" w:color="auto" w:fill="FFFFFF"/>
        </w:rPr>
        <w:t>2.道路交通</w:t>
      </w:r>
    </w:p>
    <w:p>
      <w:pPr>
        <w:ind w:firstLine="640"/>
        <w:rPr>
          <w:shd w:val="clear" w:color="auto" w:fill="FFFFFF"/>
        </w:rPr>
      </w:pPr>
      <w:r>
        <w:rPr>
          <w:shd w:val="clear" w:color="auto" w:fill="FFFFFF"/>
        </w:rPr>
        <w:t>积极推动合作区车辆管理职能划转，强化“两客一危一货”、泥头车、搅拌车、电动自行车等重点车辆安全管理。完善道路交通安全工作联席会议工作机制，加强道路运输安全重大问题会商研判。大力实施公路安全生命防护工程，全面排查高速公路、国省道、农村公路的桥梁、隧道、边坡、急弯陡坡、长纵坡、临边临水临崖临村镇安全风险和事故隐患。构建常态化的交通安全隐患排查机制，持续推进泥头车运输线路、重型车辆密集路段系统性风险评估，加强事故黑点路段及隐患点排查治理。开展“机非混行”交通设施隐患专项整治，大力推行慢行系统规划建设。关注交通弱势群体的出行需求，完善学校、商圈、工业区、居民区周边隔离栏、减速带、安全岛、人行天桥等道路交通安全设施，提升交通基础设施整体安全水平。</w:t>
      </w:r>
    </w:p>
    <w:p>
      <w:pPr>
        <w:ind w:firstLine="643"/>
        <w:rPr>
          <w:b/>
          <w:shd w:val="clear" w:color="auto" w:fill="FFFFFF"/>
        </w:rPr>
      </w:pPr>
      <w:r>
        <w:rPr>
          <w:b/>
          <w:shd w:val="clear" w:color="auto" w:fill="FFFFFF"/>
        </w:rPr>
        <w:t>3.消防安全</w:t>
      </w:r>
    </w:p>
    <w:p>
      <w:pPr>
        <w:ind w:firstLine="640"/>
        <w:rPr>
          <w:shd w:val="clear" w:color="auto" w:fill="FFFFFF"/>
        </w:rPr>
      </w:pPr>
      <w:r>
        <w:rPr>
          <w:shd w:val="clear" w:color="auto" w:fill="FFFFFF"/>
        </w:rPr>
        <w:t>合理布局消防站点，加强消防站点通信设施、防护装备、抢险救援器材、灭火器材等装备配置。完善消防通道规划建设和管理，深入开展打通消防“生命通道”工程，建立消防车通道联合执法管理机制，开展安全疏散设施综合治理。针对高层建筑、大型商场等重点场所，制定实施消防安全能力提升方案，建立健全专兼职消防队伍，全面实现消防安全标准化、规范化管理。聚焦老旧小区、电动车、外墙保温材料、彩钢板建筑、家庭加工作坊、“三合一”场所</w:t>
      </w:r>
      <w:r>
        <w:rPr>
          <w:rStyle w:val="48"/>
          <w:shd w:val="clear" w:color="auto" w:fill="FFFFFF"/>
        </w:rPr>
        <w:footnoteReference w:id="6"/>
      </w:r>
      <w:r>
        <w:rPr>
          <w:shd w:val="clear" w:color="auto" w:fill="FFFFFF"/>
        </w:rPr>
        <w:t>、城乡</w:t>
      </w:r>
      <w:r>
        <w:rPr>
          <w:rFonts w:hint="eastAsia"/>
          <w:shd w:val="clear" w:color="auto" w:fill="FFFFFF"/>
          <w:lang w:val="en-US" w:eastAsia="zh-CN"/>
        </w:rPr>
        <w:t>接</w:t>
      </w:r>
      <w:bookmarkStart w:id="168" w:name="_GoBack"/>
      <w:bookmarkEnd w:id="168"/>
      <w:r>
        <w:rPr>
          <w:shd w:val="clear" w:color="auto" w:fill="FFFFFF"/>
        </w:rPr>
        <w:t>合部、物流仓储等突出风险以及乡村火灾，升级改造消防设施，分阶段集中开展排查整治，全面落实差异化风险管控措施。推广应用消防安全物联网监测、消防大数据分析研判等信息技术，推行城市消防大数据管理。实施消防安全素质提升工程，建成区消防救援中心和消防科普体验馆，依托小型消防站建立社区微体验点，实现全民全覆盖培训。强化电气安全“全链条”监管，加大对电气产品生产、销售、设计、敷设、安装、检测、维保以及电工从业人员持证上岗情况等环节的监督检查力度，严厉查处违法违规行为。推动在自建房（特别是一层商用二层住宿三小场所）、厂房宿舍安装独立烟感、火灾报警和应急逃生装置。</w:t>
      </w:r>
    </w:p>
    <w:p>
      <w:pPr>
        <w:ind w:firstLine="643"/>
        <w:rPr>
          <w:b/>
          <w:shd w:val="clear" w:color="auto" w:fill="FFFFFF"/>
        </w:rPr>
      </w:pPr>
      <w:r>
        <w:rPr>
          <w:b/>
          <w:shd w:val="clear" w:color="auto" w:fill="FFFFFF"/>
        </w:rPr>
        <w:t>4.危险化学品</w:t>
      </w:r>
    </w:p>
    <w:p>
      <w:pPr>
        <w:ind w:firstLine="640"/>
        <w:rPr>
          <w:shd w:val="clear" w:color="auto" w:fill="FFFFFF"/>
        </w:rPr>
      </w:pPr>
      <w:r>
        <w:rPr>
          <w:shd w:val="clear" w:color="auto" w:fill="FFFFFF"/>
        </w:rPr>
        <w:t>加强危险化学品生产、经营、储存、运输、使用、废弃等各环节安全监管，严格落实各环节安全监管责任。建设危险化学品公务仓库，推进小散危险化学品集中统一管理。深入开展危险化学品领域“打非治违”行动，严厉打击非法违法生产经营储存建设使用危险化学品等行为。深入开展危险化学品企业安全许可“回头看”专项行动、危险化学品重点企业专项整治行动、危险化学品使用企业专项整治行动、危险化学品企业高风险作业管理水平提升行动。加强危险废物安全管理，合理规划建设废弃危险化学品集中处理设施。加强过境油气管道项目安全管理，加强油气输送管道途</w:t>
      </w:r>
      <w:r>
        <w:rPr>
          <w:rFonts w:hint="eastAsia"/>
          <w:shd w:val="clear" w:color="auto" w:fill="FFFFFF"/>
        </w:rPr>
        <w:t>经</w:t>
      </w:r>
      <w:r>
        <w:rPr>
          <w:shd w:val="clear" w:color="auto" w:fill="FFFFFF"/>
        </w:rPr>
        <w:t>人员密集场所高后果区风险辨识、评估工作，督促落实全天候监测及管控措施。推动从合作区横穿的原油输送管道搬迁至区外，以减少对区域土地开发建设的影响。推广危险化学品风险监测预警系统，实现对加油站、涉危企业等重点区域、高风险环节动态管控。</w:t>
      </w:r>
    </w:p>
    <w:p>
      <w:pPr>
        <w:ind w:firstLine="643"/>
        <w:rPr>
          <w:b/>
          <w:shd w:val="clear" w:color="auto" w:fill="FFFFFF"/>
        </w:rPr>
      </w:pPr>
      <w:r>
        <w:rPr>
          <w:b/>
          <w:shd w:val="clear" w:color="auto" w:fill="FFFFFF"/>
        </w:rPr>
        <w:t>5.工矿商贸</w:t>
      </w:r>
    </w:p>
    <w:p>
      <w:pPr>
        <w:ind w:firstLine="640"/>
        <w:rPr>
          <w:shd w:val="clear" w:color="auto" w:fill="FFFFFF"/>
        </w:rPr>
      </w:pPr>
      <w:r>
        <w:rPr>
          <w:shd w:val="clear" w:color="auto" w:fill="FFFFFF"/>
        </w:rPr>
        <w:t>推动工矿商贸企业健全安全管理体系，强化作业现场安全整顿及规范化管理。建立健全工矿商贸企业安全风险分类分级差异化监管制度，严格高危企业安全监管。进一步深化涉氨制冷企业液氨使用专项治理工作，重点加强对涉氨制冷企业落实技术规范要求的检查，将专项治理工作与淘汰落后工艺、推动企业转型升级相结合，鼓励企业采用新技术、新工艺、新材料、新设备，进一步增强涉氨企业事故防范和应急处置能力，实现本质安全。深入开展涉及可燃爆粉尘作业场所安全检查；加强作业场所粉尘浓度日常监测和定期检测，规范用电措施，彻底杜绝火源，有效防范粉尘燃爆和职业病危害。进一步加强有限空间作业安全宣传教育力度，提高企业职工防范有限空间作业中毒窒息事故的安全意识和应急处置能力。督促企业严格执行有限空间作业安全管理制度，严禁作业人员未经通风和检测进入有限空间作业，坚决杜绝无监护人的情况下作业。</w:t>
      </w:r>
    </w:p>
    <w:p>
      <w:pPr>
        <w:ind w:firstLine="643"/>
        <w:rPr>
          <w:b/>
          <w:shd w:val="clear" w:color="auto" w:fill="FFFFFF"/>
        </w:rPr>
      </w:pPr>
      <w:r>
        <w:rPr>
          <w:b/>
          <w:shd w:val="clear" w:color="auto" w:fill="FFFFFF"/>
        </w:rPr>
        <w:t>6.既有建筑</w:t>
      </w:r>
    </w:p>
    <w:p>
      <w:pPr>
        <w:ind w:firstLine="640"/>
        <w:rPr>
          <w:shd w:val="clear" w:color="auto" w:fill="FFFFFF"/>
        </w:rPr>
      </w:pPr>
      <w:r>
        <w:rPr>
          <w:shd w:val="clear" w:color="auto" w:fill="FFFFFF"/>
        </w:rPr>
        <w:t>围绕全区城乡老旧房屋、农民自建房、商品房的场址、地基基础、设计标准、主体结构、违规改扩建等方面开展隐患排查，落实建筑物所有权人和参建单位的主体责任，以及相关部门的监管责任。全面排查泥砖房安全隐患，分期分批、先易后难完成泥砖房整治工作。探索建立基于InSAR、GIS、大数据智能分析的既有建筑安全监测预警体系，加强对河道上盖区域、在建深基坑、隧洞工程周边区域等高风险区域危险房屋的动态监测预警及风险管控治理。</w:t>
      </w:r>
    </w:p>
    <w:p>
      <w:pPr>
        <w:ind w:firstLine="643"/>
        <w:rPr>
          <w:b/>
          <w:shd w:val="clear" w:color="auto" w:fill="FFFFFF"/>
        </w:rPr>
      </w:pPr>
      <w:r>
        <w:rPr>
          <w:b/>
          <w:shd w:val="clear" w:color="auto" w:fill="FFFFFF"/>
        </w:rPr>
        <w:t>7.特种设备</w:t>
      </w:r>
    </w:p>
    <w:p>
      <w:pPr>
        <w:ind w:firstLine="640"/>
        <w:rPr>
          <w:shd w:val="clear" w:color="auto" w:fill="FFFFFF"/>
        </w:rPr>
      </w:pPr>
      <w:r>
        <w:rPr>
          <w:shd w:val="clear" w:color="auto" w:fill="FFFFFF"/>
        </w:rPr>
        <w:t>加强对学校、医院、高铁车站、商场、公园等人员密集场所和农民自建房的电梯设施监督检查，推进老旧电梯更新改造大修，降低电梯运行安全风险。加强智慧电梯监测预警关键技术研究及试点应用，实现智能监控、早期预警、主动救援、智慧监管一体化管理。完善特种设备风险预警体系，建立完善电梯应急救援指挥系统，增强对突发事件的处置能力。开展</w:t>
      </w:r>
      <w:r>
        <w:rPr>
          <w:rFonts w:hint="eastAsia"/>
          <w:shd w:val="clear" w:color="auto" w:fill="FFFFFF"/>
        </w:rPr>
        <w:t>压力容器、压力管道、</w:t>
      </w:r>
      <w:r>
        <w:rPr>
          <w:shd w:val="clear" w:color="auto" w:fill="FFFFFF"/>
        </w:rPr>
        <w:t>起重机械、场（厂）内专用机动车辆等特种设备隐患排查整治，强化液化石油气瓶、车用气瓶充装环节安全管理。</w:t>
      </w:r>
    </w:p>
    <w:p>
      <w:pPr>
        <w:ind w:firstLine="643"/>
        <w:rPr>
          <w:b/>
          <w:shd w:val="clear" w:color="auto" w:fill="FFFFFF"/>
        </w:rPr>
      </w:pPr>
      <w:r>
        <w:rPr>
          <w:b/>
          <w:shd w:val="clear" w:color="auto" w:fill="FFFFFF"/>
        </w:rPr>
        <w:t>8.水上安全</w:t>
      </w:r>
    </w:p>
    <w:p>
      <w:pPr>
        <w:ind w:firstLine="640"/>
        <w:rPr>
          <w:shd w:val="clear" w:color="auto" w:fill="FFFFFF"/>
        </w:rPr>
      </w:pPr>
      <w:r>
        <w:rPr>
          <w:shd w:val="clear" w:color="auto" w:fill="FFFFFF"/>
        </w:rPr>
        <w:t>破除涉水交通安全体制机制障碍，建立健全水上交通安全责任体系，强化水上交通风险防控和涉海交通安全隐患综合治理。加强“四类重点船舶”和重点水域安全监管，开展船舶港口的隐患排查治理和风险防控，严厉打击渡船超航线、超乘客定额、超核定载重线、超核定抗风等级冒险航行，加强商渔船碰撞事故防范，以港口客运和危险货物作业为重点，强化港口安全管理，加快推进巡航救助一体化船艇和海事监管、航海保障装各设施、船舶应急设各库建设，开展航运枢纽大坝除险加固专项行动。</w:t>
      </w:r>
    </w:p>
    <w:p>
      <w:pPr>
        <w:ind w:firstLine="643"/>
        <w:rPr>
          <w:b/>
          <w:shd w:val="clear" w:color="auto" w:fill="FFFFFF"/>
        </w:rPr>
      </w:pPr>
      <w:r>
        <w:rPr>
          <w:b/>
          <w:shd w:val="clear" w:color="auto" w:fill="FFFFFF"/>
        </w:rPr>
        <w:t>9.渔业船舶</w:t>
      </w:r>
    </w:p>
    <w:p>
      <w:pPr>
        <w:ind w:firstLine="640"/>
        <w:rPr>
          <w:shd w:val="clear" w:color="auto" w:fill="FFFFFF"/>
        </w:rPr>
      </w:pPr>
      <w:r>
        <w:rPr>
          <w:shd w:val="clear" w:color="auto" w:fill="FFFFFF"/>
        </w:rPr>
        <w:t>强化“拖网、刺网、潜捕”三类隐患特别突出渔船和渔港水域安全监管，开展以渔船脱检脱管、船舶不适航、船员不适任和“脱编作业”为重点的专项整治，严厉打击渔船超员超载、超风级超航区冒险航行作业行为，全面提升依港管船管人管安全的能力和水平。</w:t>
      </w:r>
    </w:p>
    <w:p>
      <w:pPr>
        <w:ind w:firstLine="643"/>
        <w:rPr>
          <w:b/>
          <w:shd w:val="clear" w:color="auto" w:fill="FFFFFF"/>
        </w:rPr>
      </w:pPr>
      <w:r>
        <w:rPr>
          <w:b/>
          <w:shd w:val="clear" w:color="auto" w:fill="FFFFFF"/>
        </w:rPr>
        <w:t>10.其他领域</w:t>
      </w:r>
    </w:p>
    <w:p>
      <w:pPr>
        <w:ind w:firstLine="640"/>
        <w:rPr>
          <w:shd w:val="clear" w:color="auto" w:fill="FFFFFF"/>
        </w:rPr>
      </w:pPr>
      <w:r>
        <w:rPr>
          <w:shd w:val="clear" w:color="auto" w:fill="FFFFFF"/>
        </w:rPr>
        <w:t>加强新能源汽车、电动自行车充</w:t>
      </w:r>
      <w:r>
        <w:rPr>
          <w:rFonts w:hint="eastAsia"/>
          <w:shd w:val="clear" w:color="auto" w:fill="FFFFFF"/>
        </w:rPr>
        <w:t>换</w:t>
      </w:r>
      <w:r>
        <w:rPr>
          <w:shd w:val="clear" w:color="auto" w:fill="FFFFFF"/>
        </w:rPr>
        <w:t>电设施火灾风险防控，提前布局规划集中充</w:t>
      </w:r>
      <w:r>
        <w:rPr>
          <w:rFonts w:hint="eastAsia"/>
          <w:shd w:val="clear" w:color="auto" w:fill="FFFFFF"/>
        </w:rPr>
        <w:t>换</w:t>
      </w:r>
      <w:r>
        <w:rPr>
          <w:shd w:val="clear" w:color="auto" w:fill="FFFFFF"/>
        </w:rPr>
        <w:t>电场所，大力推广建设先进适用的集中充</w:t>
      </w:r>
      <w:r>
        <w:rPr>
          <w:rFonts w:hint="eastAsia"/>
          <w:shd w:val="clear" w:color="auto" w:fill="FFFFFF"/>
        </w:rPr>
        <w:t>换</w:t>
      </w:r>
      <w:r>
        <w:rPr>
          <w:shd w:val="clear" w:color="auto" w:fill="FFFFFF"/>
        </w:rPr>
        <w:t>电设施。以治理电动自行车充电环节的火灾隐患为重点，持续加大对违规进楼入户充电、“飞线充电”等违法违规行为的查处力度。</w:t>
      </w:r>
    </w:p>
    <w:p>
      <w:pPr>
        <w:ind w:firstLine="640"/>
        <w:rPr>
          <w:shd w:val="clear" w:color="auto" w:fill="FFFFFF"/>
        </w:rPr>
      </w:pPr>
      <w:r>
        <w:rPr>
          <w:shd w:val="clear" w:color="auto" w:fill="FFFFFF"/>
        </w:rPr>
        <w:t>深入实施管道天然气进村入户工程，加强城镇燃气储存运营设施及燃气管网的安全监控系统建设。强化燃气使用安全管理，开展燃气用热水器安全专项整治。大力推广安装燃气泄漏报警装置，强化瓶装石油气安全溯源及日常使用安全管理，实行全链条信息化管控。</w:t>
      </w:r>
    </w:p>
    <w:p>
      <w:pPr>
        <w:ind w:firstLine="640"/>
        <w:rPr>
          <w:shd w:val="clear" w:color="auto" w:fill="FFFFFF"/>
        </w:rPr>
      </w:pPr>
      <w:r>
        <w:rPr>
          <w:shd w:val="clear" w:color="auto" w:fill="FFFFFF"/>
        </w:rPr>
        <w:t>健全完善地面坍塌防治长效机制，强化雷达探测车等技术手段运用，全面排查地面坍塌安全隐患，重点开展对市政道路、三旧地区和暗渠暗涵等周边区域的地面坍塌隐患检测评估和专项治理。</w:t>
      </w:r>
    </w:p>
    <w:p>
      <w:pPr>
        <w:ind w:firstLine="640"/>
        <w:rPr>
          <w:shd w:val="clear" w:color="auto" w:fill="FFFFFF"/>
        </w:rPr>
      </w:pPr>
      <w:r>
        <w:rPr>
          <w:shd w:val="clear" w:color="auto" w:fill="FFFFFF"/>
        </w:rPr>
        <w:t>建立完善人员密集场所及大型群众性活动安全评估制度，严格审批、管控大型群众性活动，落实最大承载量测算及管控，完善人员密集场所避难逃生设施。</w:t>
      </w:r>
    </w:p>
    <w:p>
      <w:pPr>
        <w:ind w:firstLine="640"/>
        <w:rPr>
          <w:shd w:val="clear" w:color="auto" w:fill="FFFFFF"/>
        </w:rPr>
      </w:pPr>
      <w:r>
        <w:rPr>
          <w:shd w:val="clear" w:color="auto" w:fill="FFFFFF"/>
        </w:rPr>
        <w:t>深化铁路沿线环境安全专项治理，重点整治铁路沿线两侧规定范围内影响铁路设备设施的轻飘物及危树，整治铁路沿线两侧建造、设立生产、加工、储存、销售易燃易爆和放射性物品等危险品的场所、仓库，严厉打击铁路线路安全保护区内擅自建造建（构）筑物和施工作业等违法行为。</w:t>
      </w:r>
    </w:p>
    <w:p>
      <w:pPr>
        <w:ind w:firstLine="640"/>
        <w:rPr>
          <w:shd w:val="clear" w:color="auto" w:fill="FFFFFF"/>
        </w:rPr>
      </w:pPr>
      <w:r>
        <w:rPr>
          <w:shd w:val="clear" w:color="auto" w:fill="FFFFFF"/>
        </w:rPr>
        <w:t>规范寄递协议服务安全管理，重点加强邮件快件处理场所、营业网点火灾、车辆安全、作业安全隐患排查治理，落实人防、物防、技防措施。</w:t>
      </w:r>
    </w:p>
    <w:p>
      <w:pPr>
        <w:ind w:firstLine="640"/>
        <w:rPr>
          <w:shd w:val="clear" w:color="auto" w:fill="FFFFFF"/>
        </w:rPr>
      </w:pPr>
      <w:r>
        <w:rPr>
          <w:shd w:val="clear" w:color="auto" w:fill="FFFFFF"/>
        </w:rPr>
        <w:t>全面开展危险废物排查。对属性不明的固体废物进行安全鉴别鉴定，健全完善危险废物等安全风险分级管控和隐患排查治理的责任体系、制度标准、工作机制。</w:t>
      </w:r>
    </w:p>
    <w:p>
      <w:pPr>
        <w:ind w:firstLine="640"/>
        <w:rPr>
          <w:shd w:val="clear" w:color="auto" w:fill="FFFFFF"/>
        </w:rPr>
      </w:pPr>
      <w:r>
        <w:rPr>
          <w:shd w:val="clear" w:color="auto" w:fill="FFFFFF"/>
        </w:rPr>
        <w:t>加强物业安全管理信息平台建设，严格落实物业各方安全管理职责。</w:t>
      </w:r>
    </w:p>
    <w:p>
      <w:pPr>
        <w:ind w:firstLine="640"/>
        <w:rPr>
          <w:shd w:val="clear" w:color="auto" w:fill="FFFFFF"/>
        </w:rPr>
      </w:pPr>
      <w:r>
        <w:rPr>
          <w:shd w:val="clear" w:color="auto" w:fill="FFFFFF"/>
        </w:rPr>
        <w:t>健全完善水电油气等生命线安全保护长效机制，严控第三方施工破坏事件。</w:t>
      </w:r>
    </w:p>
    <w:p>
      <w:pPr>
        <w:pStyle w:val="4"/>
        <w:ind w:firstLine="640"/>
      </w:pPr>
      <w:bookmarkStart w:id="96" w:name="_Toc59651195"/>
      <w:bookmarkStart w:id="97" w:name="_Toc80221590"/>
      <w:r>
        <w:t>五、推进自然灾害防治体系建设</w:t>
      </w:r>
      <w:bookmarkEnd w:id="96"/>
      <w:bookmarkEnd w:id="97"/>
    </w:p>
    <w:p>
      <w:pPr>
        <w:ind w:firstLine="640"/>
        <w:rPr>
          <w:shd w:val="clear" w:color="auto" w:fill="FFFFFF"/>
        </w:rPr>
      </w:pPr>
      <w:r>
        <w:rPr>
          <w:shd w:val="clear" w:color="auto" w:fill="FFFFFF"/>
        </w:rPr>
        <w:t>加强自然灾害防御重点工程建设，持续开展汛旱风灾害、地震灾害、地质灾害、海洋灾害、森林火灾等重点灾种隐患排查治理，防范化解合作区自然灾害突出风险。</w:t>
      </w:r>
    </w:p>
    <w:p>
      <w:pPr>
        <w:ind w:firstLine="643"/>
        <w:rPr>
          <w:b/>
          <w:shd w:val="clear" w:color="auto" w:fill="FFFFFF"/>
        </w:rPr>
      </w:pPr>
      <w:r>
        <w:rPr>
          <w:b/>
          <w:shd w:val="clear" w:color="auto" w:fill="FFFFFF"/>
        </w:rPr>
        <w:t>1.汛旱风灾害</w:t>
      </w:r>
    </w:p>
    <w:p>
      <w:pPr>
        <w:ind w:firstLine="640"/>
        <w:rPr>
          <w:shd w:val="clear" w:color="auto" w:fill="FFFFFF"/>
        </w:rPr>
      </w:pPr>
      <w:r>
        <w:rPr>
          <w:shd w:val="clear" w:color="auto" w:fill="FFFFFF"/>
        </w:rPr>
        <w:t>建设城市内涝积水点智能监测及标识系统，完善监测信息实时共享及联合治理工作机制。加强水库等重要水工程汛限水位监管，有效减轻洪涝灾害风险。开展强台风影响下桥梁、建筑及其玻璃幕墙等附属件破坏因素及风险预警阈值研究，提高抗风能力。统筹加强河道上下游防洪设施的规划建设及调度指挥，提高流域综合防灾减灾能力。加强镇级三防系统标准化能力建设，推动基层三防职能衔接，推动抢险救援物资、救援设备下沉镇、社区（村），提升基层灾害防御能力。加强水库、管渠等供水及调蓄系统建设，减少大面积旱灾造成的损失。加强农村台风、暴雨、洪水灾害防御能力建设，推动实施老旧危房、泥瓦房安全整治工程。</w:t>
      </w:r>
    </w:p>
    <w:p>
      <w:pPr>
        <w:ind w:firstLine="643"/>
        <w:rPr>
          <w:b/>
          <w:shd w:val="clear" w:color="auto" w:fill="FFFFFF"/>
        </w:rPr>
      </w:pPr>
      <w:r>
        <w:rPr>
          <w:b/>
          <w:shd w:val="clear" w:color="auto" w:fill="FFFFFF"/>
        </w:rPr>
        <w:t>2.地震灾害</w:t>
      </w:r>
    </w:p>
    <w:p>
      <w:pPr>
        <w:ind w:firstLine="640"/>
        <w:rPr>
          <w:shd w:val="clear" w:color="auto" w:fill="FFFFFF"/>
        </w:rPr>
      </w:pPr>
      <w:r>
        <w:rPr>
          <w:shd w:val="clear" w:color="auto" w:fill="FFFFFF"/>
        </w:rPr>
        <w:t>开展合作区中心区断裂带探测及东部海域强震安全性评价。开展学校、医院等重要公共建筑物排查和抗震性能鉴定，对抗震性能不足的建筑物进行建档和抗震加固。在交通枢纽、重点学校等场所试点安装紧急地震信息接收终端，鼓励社会公众安装“地震预警”APP，实现全自动秒级地震预警警报响应。</w:t>
      </w:r>
    </w:p>
    <w:p>
      <w:pPr>
        <w:ind w:firstLine="643"/>
        <w:rPr>
          <w:b/>
          <w:shd w:val="clear" w:color="auto" w:fill="FFFFFF"/>
        </w:rPr>
      </w:pPr>
      <w:r>
        <w:rPr>
          <w:b/>
          <w:shd w:val="clear" w:color="auto" w:fill="FFFFFF"/>
        </w:rPr>
        <w:t>3.地质灾害和危险边坡</w:t>
      </w:r>
    </w:p>
    <w:p>
      <w:pPr>
        <w:ind w:firstLine="640"/>
        <w:rPr>
          <w:shd w:val="clear" w:color="auto" w:fill="FFFFFF"/>
        </w:rPr>
      </w:pPr>
      <w:r>
        <w:rPr>
          <w:shd w:val="clear" w:color="auto" w:fill="FFFFFF"/>
        </w:rPr>
        <w:t>分年度制定地质灾害防治计划，全面推进地质灾害调查评价、监测预防、应急处置、搬迁避让和工程治理等防治工作。完善区、镇、社区（村）及责任单位四级地质灾害群测群防群控体系。强化地质灾害易发区内建设项目地质灾害危险性评估工作，确保配套地质灾害防治工程与主体建设工程勘察、设计、施工和竣工验收同步进行。加强地质灾害和危险建筑边坡监测网建设，在相关区域开展地面沉降地质灾害专业监测。加强重点山体、重点开发区域、住宅区周边区域地质灾害动态监测及风险治理。分阶段开展</w:t>
      </w:r>
      <w:r>
        <w:rPr>
          <w:rFonts w:hint="eastAsia"/>
          <w:shd w:val="clear" w:color="auto" w:fill="FFFFFF"/>
        </w:rPr>
        <w:t>地</w:t>
      </w:r>
      <w:r>
        <w:rPr>
          <w:shd w:val="clear" w:color="auto" w:fill="FFFFFF"/>
        </w:rPr>
        <w:t>质灾害隐患识别全覆盖扫描，充分辨识合作区地质灾害隐患点，设置警示标志。</w:t>
      </w:r>
    </w:p>
    <w:p>
      <w:pPr>
        <w:ind w:firstLine="643"/>
        <w:rPr>
          <w:b/>
          <w:shd w:val="clear" w:color="auto" w:fill="FFFFFF"/>
        </w:rPr>
      </w:pPr>
      <w:r>
        <w:rPr>
          <w:b/>
          <w:shd w:val="clear" w:color="auto" w:fill="FFFFFF"/>
        </w:rPr>
        <w:t>4.海洋灾害</w:t>
      </w:r>
    </w:p>
    <w:p>
      <w:pPr>
        <w:ind w:firstLine="640"/>
        <w:rPr>
          <w:shd w:val="clear" w:color="auto" w:fill="FFFFFF"/>
        </w:rPr>
      </w:pPr>
      <w:r>
        <w:rPr>
          <w:shd w:val="clear" w:color="auto" w:fill="FFFFFF"/>
        </w:rPr>
        <w:t>实施海岸线整治修复，重点推进因自然灾害、人为破坏而受损的岸段生态修复。推进海上救援基地、避风锚地建设，完善海洋灾害防御基础设施。积极参与粤港澳大湾区智慧海洋监测网络体系建设，构建预警信息靶向快速发布体系，提升海洋生态灾害处理效率。</w:t>
      </w:r>
    </w:p>
    <w:p>
      <w:pPr>
        <w:ind w:firstLine="643"/>
        <w:rPr>
          <w:b/>
          <w:shd w:val="clear" w:color="auto" w:fill="FFFFFF"/>
        </w:rPr>
      </w:pPr>
      <w:r>
        <w:rPr>
          <w:b/>
          <w:shd w:val="clear" w:color="auto" w:fill="FFFFFF"/>
        </w:rPr>
        <w:t>5.森林火灾</w:t>
      </w:r>
    </w:p>
    <w:p>
      <w:pPr>
        <w:ind w:firstLine="640"/>
        <w:rPr>
          <w:shd w:val="clear" w:color="auto" w:fill="FFFFFF"/>
        </w:rPr>
      </w:pPr>
      <w:r>
        <w:rPr>
          <w:shd w:val="clear" w:color="auto" w:fill="FFFFFF"/>
        </w:rPr>
        <w:t>实施重点森林火险区综合治理行动，提升整体森林火灾防控与应急能力。加强森林防火预警监测和林火远程监控系统建设，提升森林火灾监测预警能力。完善森林防灭火基础设施建设，维护和新造生物防火林带，完善森林防灭火蓄水池建设，推动建设直升机起降点和取水点。</w:t>
      </w:r>
    </w:p>
    <w:p>
      <w:pPr>
        <w:ind w:firstLine="643"/>
        <w:rPr>
          <w:b/>
          <w:shd w:val="clear" w:color="auto" w:fill="FFFFFF"/>
        </w:rPr>
      </w:pPr>
      <w:r>
        <w:rPr>
          <w:b/>
          <w:shd w:val="clear" w:color="auto" w:fill="FFFFFF"/>
        </w:rPr>
        <w:t>6.气象灾害</w:t>
      </w:r>
    </w:p>
    <w:p>
      <w:pPr>
        <w:ind w:firstLine="640"/>
        <w:rPr>
          <w:shd w:val="clear" w:color="auto" w:fill="FFFFFF"/>
        </w:rPr>
      </w:pPr>
      <w:r>
        <w:rPr>
          <w:shd w:val="clear" w:color="auto" w:fill="FFFFFF"/>
        </w:rPr>
        <w:t>建立深汕特别区气象服务机构，负责开展深汕特别区天气监测预测预报预警服务、防灾减灾气象保障、行业专项气象服务。制定深汕特别区各项气象灾害应急预案，建立台风、暴雨等重大天气过程市、区联动会商机制，与</w:t>
      </w:r>
      <w:r>
        <w:rPr>
          <w:rFonts w:hint="eastAsia"/>
          <w:shd w:val="clear" w:color="auto" w:fill="FFFFFF"/>
        </w:rPr>
        <w:t>市气象局</w:t>
      </w:r>
      <w:r>
        <w:rPr>
          <w:shd w:val="clear" w:color="auto" w:fill="FFFFFF"/>
        </w:rPr>
        <w:t>共建气象灾害防御协同化平台，实现合作区灾害天气预警一键式发布，发布效率达到5分钟以内；灾害天气预警平均提前量达到60分钟以上。</w:t>
      </w:r>
    </w:p>
    <w:p>
      <w:pPr>
        <w:pStyle w:val="3"/>
      </w:pPr>
      <w:bookmarkStart w:id="98" w:name="_Toc59651196"/>
      <w:bookmarkStart w:id="99" w:name="_Toc80221591"/>
      <w:r>
        <w:t>第四节 健全救援力量体系，提升应急处置能力</w:t>
      </w:r>
      <w:bookmarkEnd w:id="98"/>
      <w:bookmarkEnd w:id="99"/>
    </w:p>
    <w:p>
      <w:pPr>
        <w:pStyle w:val="4"/>
        <w:ind w:firstLine="640"/>
      </w:pPr>
      <w:bookmarkStart w:id="100" w:name="_Toc59651199"/>
      <w:bookmarkStart w:id="101" w:name="_Toc80221592"/>
      <w:bookmarkStart w:id="102" w:name="_Toc59651197"/>
      <w:r>
        <w:t>一、强化救援</w:t>
      </w:r>
      <w:bookmarkEnd w:id="100"/>
      <w:r>
        <w:t>力量建设</w:t>
      </w:r>
      <w:bookmarkEnd w:id="101"/>
    </w:p>
    <w:p>
      <w:pPr>
        <w:ind w:firstLine="643"/>
        <w:rPr>
          <w:b/>
          <w:shd w:val="clear" w:color="auto" w:fill="FFFFFF"/>
        </w:rPr>
      </w:pPr>
      <w:r>
        <w:rPr>
          <w:b/>
          <w:shd w:val="clear" w:color="auto" w:fill="FFFFFF"/>
        </w:rPr>
        <w:t>1.建强消防综合救援队伍</w:t>
      </w:r>
    </w:p>
    <w:p>
      <w:pPr>
        <w:ind w:firstLine="640"/>
        <w:rPr>
          <w:shd w:val="clear" w:color="auto" w:fill="FFFFFF"/>
        </w:rPr>
      </w:pPr>
      <w:r>
        <w:rPr>
          <w:rFonts w:hint="eastAsia"/>
          <w:shd w:val="clear" w:color="auto" w:fill="FFFFFF"/>
        </w:rPr>
        <w:t>依照</w:t>
      </w:r>
      <w:r>
        <w:rPr>
          <w:shd w:val="clear" w:color="auto" w:fill="FFFFFF"/>
        </w:rPr>
        <w:t>市消防站点建设和人员配备标准，以深汕消防救援大队为依托，</w:t>
      </w:r>
      <w:r>
        <w:rPr>
          <w:rFonts w:eastAsia="黑体"/>
          <w:shd w:val="clear" w:color="auto" w:fill="FFFFFF"/>
        </w:rPr>
        <w:t>高标准建立深汕消防救援中心</w:t>
      </w:r>
      <w:r>
        <w:rPr>
          <w:shd w:val="clear" w:color="auto" w:fill="FFFFFF"/>
        </w:rPr>
        <w:t>。</w:t>
      </w:r>
    </w:p>
    <w:p>
      <w:pPr>
        <w:ind w:firstLine="640"/>
        <w:rPr>
          <w:shd w:val="clear" w:color="auto" w:fill="FFFFFF"/>
        </w:rPr>
      </w:pPr>
      <w:r>
        <w:rPr>
          <w:shd w:val="clear" w:color="auto" w:fill="FFFFFF"/>
        </w:rPr>
        <w:t>加强森林专业队伍建设，推动</w:t>
      </w:r>
      <w:r>
        <w:rPr>
          <w:rFonts w:eastAsia="黑体"/>
          <w:shd w:val="clear" w:color="auto" w:fill="FFFFFF"/>
        </w:rPr>
        <w:t>森林消防救援站规划选址</w:t>
      </w:r>
      <w:r>
        <w:rPr>
          <w:shd w:val="clear" w:color="auto" w:fill="FFFFFF"/>
        </w:rPr>
        <w:t>，加快建设进度。</w:t>
      </w:r>
    </w:p>
    <w:p>
      <w:pPr>
        <w:ind w:firstLine="640"/>
        <w:rPr>
          <w:shd w:val="clear" w:color="auto" w:fill="FFFFFF"/>
        </w:rPr>
      </w:pPr>
      <w:r>
        <w:rPr>
          <w:shd w:val="clear" w:color="auto" w:fill="FFFFFF"/>
        </w:rPr>
        <w:t>强化消防队伍建设施工、山岳、水域和特种设备等专业救援能力建设和先进适用技术装备配置，打造合作区“全灾种、大应急”综合性应急救援核心力量。</w:t>
      </w:r>
    </w:p>
    <w:p>
      <w:pPr>
        <w:ind w:firstLine="640"/>
        <w:rPr>
          <w:shd w:val="clear" w:color="auto" w:fill="FFFFFF"/>
        </w:rPr>
      </w:pPr>
      <w:r>
        <w:rPr>
          <w:shd w:val="clear" w:color="auto" w:fill="FFFFFF"/>
        </w:rPr>
        <w:t>加强消防站点布局建设，尽快补齐消防力量缺口，“十四五”时期稳步推进消防队站建设，到2025年，新建4个特勤消防站、3个一级消防站及3个小型消防站，基本达到合作区建成区消防救援5分钟全覆盖。</w:t>
      </w:r>
    </w:p>
    <w:p>
      <w:pPr>
        <w:ind w:firstLine="640"/>
        <w:rPr>
          <w:shd w:val="clear" w:color="auto" w:fill="FFFFFF"/>
        </w:rPr>
      </w:pPr>
      <w:r>
        <w:rPr>
          <w:shd w:val="clear" w:color="auto" w:fill="FFFFFF"/>
        </w:rPr>
        <w:t>推进行政村（社区）小微型消防站建设，实现全区行政村（社区）全覆盖。</w:t>
      </w:r>
    </w:p>
    <w:p>
      <w:pPr>
        <w:ind w:firstLine="640"/>
        <w:rPr>
          <w:shd w:val="clear" w:color="auto" w:fill="FFFFFF"/>
        </w:rPr>
      </w:pPr>
      <w:r>
        <w:rPr>
          <w:shd w:val="clear" w:color="auto" w:fill="FFFFFF"/>
        </w:rPr>
        <w:t>推进企事业专职消防队和志愿消防队建设，提升快速反应、救早救小能力。</w:t>
      </w:r>
    </w:p>
    <w:p>
      <w:pPr>
        <w:ind w:firstLine="643"/>
        <w:rPr>
          <w:b/>
          <w:shd w:val="clear" w:color="auto" w:fill="FFFFFF"/>
        </w:rPr>
      </w:pPr>
      <w:r>
        <w:rPr>
          <w:b/>
          <w:shd w:val="clear" w:color="auto" w:fill="FFFFFF"/>
        </w:rPr>
        <w:t>2.完善专业救援保障力量</w:t>
      </w:r>
    </w:p>
    <w:p>
      <w:pPr>
        <w:ind w:firstLine="640"/>
        <w:rPr>
          <w:shd w:val="clear" w:color="auto" w:fill="FFFFFF"/>
        </w:rPr>
      </w:pPr>
      <w:r>
        <w:rPr>
          <w:shd w:val="clear" w:color="auto" w:fill="FFFFFF"/>
        </w:rPr>
        <w:t>充分整合现有建筑施工、燃气、电力、通讯等专业救援队伍，依托区内大型国有企业，形成专兼结合的专业救援保障力量，全面提高应急处置和救援能力。</w:t>
      </w:r>
    </w:p>
    <w:p>
      <w:pPr>
        <w:ind w:firstLine="640"/>
        <w:rPr>
          <w:shd w:val="clear" w:color="auto" w:fill="FFFFFF"/>
        </w:rPr>
      </w:pPr>
      <w:r>
        <w:rPr>
          <w:rFonts w:eastAsia="黑体"/>
          <w:shd w:val="clear" w:color="auto" w:fill="FFFFFF"/>
        </w:rPr>
        <w:t>推动海上搜救应急基地建设</w:t>
      </w:r>
      <w:r>
        <w:rPr>
          <w:shd w:val="clear" w:color="auto" w:fill="FFFFFF"/>
        </w:rPr>
        <w:t>，配备水上专业救援队伍和一批海事、内河巡逻船只，</w:t>
      </w:r>
      <w:r>
        <w:t>通过购买服务的方式，引入第三方专业服务机构参与，借助市场化、企业化运作模式，解决行政事业单位内人员编制不足、专业性不强的问题，结合实际科学合理确定队伍结构，组建一支由我区管委会领导的专业化、标准化海上救援队伍</w:t>
      </w:r>
      <w:r>
        <w:rPr>
          <w:shd w:val="clear" w:color="auto" w:fill="FFFFFF"/>
        </w:rPr>
        <w:t>。建立健全水上搜救工作协调机制，</w:t>
      </w:r>
      <w:r>
        <w:t>加强与国家海上专业救援机构协同合作，最大力度提升近海救援能力，同时拓展其他领域专业应急救援技能，切实提高我区处理急难险重任务的复合型能力。</w:t>
      </w:r>
      <w:r>
        <w:rPr>
          <w:shd w:val="clear" w:color="auto" w:fill="FFFFFF"/>
        </w:rPr>
        <w:t>科学布局海上搜救应急救助点及其配套设施建设，提升海上搜救能力。建设船舶溢油物资设备库，提高沿岸溢油应急清除能力。</w:t>
      </w:r>
    </w:p>
    <w:p>
      <w:pPr>
        <w:ind w:firstLine="640"/>
        <w:rPr>
          <w:shd w:val="clear" w:color="auto" w:fill="FFFFFF"/>
        </w:rPr>
      </w:pPr>
      <w:r>
        <w:rPr>
          <w:shd w:val="clear" w:color="auto" w:fill="FFFFFF"/>
        </w:rPr>
        <w:t>依托深汕巴士集团等运输骨干企业，采取签订应急运输保障协议形式，建立应急运输保障队伍，建立合作区客货运车辆、船舶信息库，强化应急抢险运力储备。</w:t>
      </w:r>
    </w:p>
    <w:p>
      <w:pPr>
        <w:ind w:firstLine="640"/>
        <w:rPr>
          <w:shd w:val="clear" w:color="auto" w:fill="FFFFFF"/>
        </w:rPr>
      </w:pPr>
      <w:r>
        <w:rPr>
          <w:shd w:val="clear" w:color="auto" w:fill="FFFFFF"/>
        </w:rPr>
        <w:t>依托公路养护工程企业，建立合作区道路交通应急抢险保通队伍。</w:t>
      </w:r>
    </w:p>
    <w:p>
      <w:pPr>
        <w:ind w:firstLine="640"/>
        <w:rPr>
          <w:shd w:val="clear" w:color="auto" w:fill="FFFFFF"/>
        </w:rPr>
      </w:pPr>
      <w:r>
        <w:rPr>
          <w:shd w:val="clear" w:color="auto" w:fill="FFFFFF"/>
        </w:rPr>
        <w:t>依托北大深圳医院深汕医院，建设合作区医疗救护应急救援队伍。推进四镇紧急医学救援站点建设，配备急救单元，有效提升第一时间的现场医学救援处置能力和伤员救治能力。</w:t>
      </w:r>
    </w:p>
    <w:p>
      <w:pPr>
        <w:ind w:firstLine="643"/>
        <w:rPr>
          <w:b/>
          <w:shd w:val="clear" w:color="auto" w:fill="FFFFFF"/>
        </w:rPr>
      </w:pPr>
      <w:r>
        <w:rPr>
          <w:b/>
          <w:shd w:val="clear" w:color="auto" w:fill="FFFFFF"/>
        </w:rPr>
        <w:t>3.完善企业和社会应急力量</w:t>
      </w:r>
    </w:p>
    <w:p>
      <w:pPr>
        <w:ind w:firstLine="640"/>
        <w:rPr>
          <w:shd w:val="clear" w:color="auto" w:fill="FFFFFF"/>
        </w:rPr>
      </w:pPr>
      <w:r>
        <w:rPr>
          <w:shd w:val="clear" w:color="auto" w:fill="FFFFFF"/>
        </w:rPr>
        <w:t>督促引导建筑施工、危险化学品，水利、林业及人员密集场所经营管理单位建立救援队伍，全面提升疏散自救、现场互救和就近救援能力。</w:t>
      </w:r>
    </w:p>
    <w:p>
      <w:pPr>
        <w:ind w:firstLine="640"/>
        <w:rPr>
          <w:shd w:val="clear" w:color="auto" w:fill="FFFFFF"/>
        </w:rPr>
      </w:pPr>
      <w:r>
        <w:rPr>
          <w:shd w:val="clear" w:color="auto" w:fill="FFFFFF"/>
        </w:rPr>
        <w:t>充分发挥基层警务人员、民兵、预备役人员和物业保安、企事业单位应急队伍等基层应急力量作用，经常性地开展应急培训，重点提升第一线风险防控能力。</w:t>
      </w:r>
    </w:p>
    <w:p>
      <w:pPr>
        <w:ind w:firstLine="640"/>
        <w:rPr>
          <w:shd w:val="clear" w:color="auto" w:fill="FFFFFF"/>
        </w:rPr>
      </w:pPr>
      <w:r>
        <w:rPr>
          <w:shd w:val="clear" w:color="auto" w:fill="FFFFFF"/>
        </w:rPr>
        <w:t>积极推进应急志愿者队伍建设，加强与蓝天救援队等社会非盈利救援机构合作联系，组织强化应急志愿者队伍统筹协调指挥和统一作战，与综合性消防救援力量、企事业应急力量和基层应急救援力量等各司其职、互为补充、协同联动，共同完成灾情抢险、物资发放、灾后恢复重建等救援及辅助工作。</w:t>
      </w:r>
    </w:p>
    <w:p>
      <w:pPr>
        <w:pStyle w:val="4"/>
        <w:ind w:firstLine="640"/>
      </w:pPr>
      <w:bookmarkStart w:id="103" w:name="_Toc80221593"/>
      <w:r>
        <w:t>二、建设应急指挥中心</w:t>
      </w:r>
      <w:bookmarkEnd w:id="102"/>
      <w:bookmarkEnd w:id="103"/>
    </w:p>
    <w:p>
      <w:pPr>
        <w:ind w:firstLine="643"/>
        <w:rPr>
          <w:b/>
          <w:shd w:val="clear" w:color="auto" w:fill="FFFFFF"/>
        </w:rPr>
      </w:pPr>
      <w:r>
        <w:rPr>
          <w:b/>
          <w:shd w:val="clear" w:color="auto" w:fill="FFFFFF"/>
        </w:rPr>
        <w:t>1.完善应急指挥中心运行管理</w:t>
      </w:r>
    </w:p>
    <w:p>
      <w:pPr>
        <w:ind w:firstLine="640"/>
        <w:rPr>
          <w:shd w:val="clear" w:color="auto" w:fill="FFFFFF"/>
        </w:rPr>
      </w:pPr>
      <w:r>
        <w:rPr>
          <w:rFonts w:eastAsia="黑体"/>
          <w:shd w:val="clear" w:color="auto" w:fill="FFFFFF"/>
        </w:rPr>
        <w:t>加强应急指挥中心条件建设</w:t>
      </w:r>
      <w:r>
        <w:rPr>
          <w:shd w:val="clear" w:color="auto" w:fill="FFFFFF"/>
        </w:rPr>
        <w:t>，以满足应急值守、统一指挥和信息保障工作要求，统筹会商空间、决策中心、指挥大厅及相关基础设施支撑。</w:t>
      </w:r>
    </w:p>
    <w:p>
      <w:pPr>
        <w:ind w:firstLine="640"/>
        <w:rPr>
          <w:shd w:val="clear" w:color="auto" w:fill="FFFFFF"/>
        </w:rPr>
      </w:pPr>
      <w:r>
        <w:rPr>
          <w:shd w:val="clear" w:color="auto" w:fill="FFFFFF"/>
        </w:rPr>
        <w:t>统筹应急指挥中心和区总值班室工作，建立健全各项管理制度，加强日常管理，积极做好系统安全测评、人员技术培训等工作，及时更新重要信息数据，保障指挥中心高效安全运行。</w:t>
      </w:r>
    </w:p>
    <w:p>
      <w:pPr>
        <w:ind w:firstLine="643"/>
        <w:rPr>
          <w:b/>
          <w:shd w:val="clear" w:color="auto" w:fill="FFFFFF"/>
        </w:rPr>
      </w:pPr>
      <w:r>
        <w:rPr>
          <w:b/>
          <w:shd w:val="clear" w:color="auto" w:fill="FFFFFF"/>
        </w:rPr>
        <w:t>2.建设智慧深汕应急指挥平台</w:t>
      </w:r>
    </w:p>
    <w:p>
      <w:pPr>
        <w:ind w:firstLine="640"/>
        <w:rPr>
          <w:shd w:val="clear" w:color="auto" w:fill="FFFFFF"/>
        </w:rPr>
      </w:pPr>
      <w:r>
        <w:rPr>
          <w:shd w:val="clear" w:color="auto" w:fill="FFFFFF"/>
        </w:rPr>
        <w:t>按照广东省、深圳市关于打造跨层级、跨地域、跨部门、跨业务的应急指挥平台建设的要求，建设以深汕特别合作区管理委员会为中心、区直部门为节点、基层单位为端点的智慧深汕应急指挥平台。</w:t>
      </w:r>
    </w:p>
    <w:p>
      <w:pPr>
        <w:ind w:firstLine="640"/>
        <w:rPr>
          <w:shd w:val="clear" w:color="auto" w:fill="FFFFFF"/>
        </w:rPr>
      </w:pPr>
      <w:r>
        <w:rPr>
          <w:shd w:val="clear" w:color="auto" w:fill="FFFFFF"/>
        </w:rPr>
        <w:t>通过开放接口，与火警、匪警、急救、视频监控、无线电通讯系统、公共电话系统等对接，实现对公众报告紧急事件和紧急求助进行统一接警、统一指挥、联合行动，对特殊、突发、应急和重要事件做出有序、快速、高效反应。</w:t>
      </w:r>
    </w:p>
    <w:p>
      <w:pPr>
        <w:ind w:firstLine="640"/>
        <w:rPr>
          <w:shd w:val="clear" w:color="auto" w:fill="FFFFFF"/>
        </w:rPr>
      </w:pPr>
      <w:r>
        <w:rPr>
          <w:shd w:val="clear" w:color="auto" w:fill="FFFFFF"/>
        </w:rPr>
        <w:t>与市应急平台互联互通，构建市、区、街道、社区四级协同联动的应急机制，为跨区域突发事件联合指挥调度、应急会商提供支持，实现城市运行管理方面的“一体运行联动”发展目标。</w:t>
      </w:r>
    </w:p>
    <w:p>
      <w:pPr>
        <w:ind w:firstLine="640"/>
        <w:rPr>
          <w:shd w:val="clear" w:color="auto" w:fill="FFFFFF"/>
        </w:rPr>
      </w:pPr>
      <w:r>
        <w:rPr>
          <w:shd w:val="clear" w:color="auto" w:fill="FFFFFF"/>
        </w:rPr>
        <w:t>面向合作区灾害事故突发事件不同应急场景，围绕应急值守、应急处置全流程业务需求，充分整合应急管理信息化系统，以感知网络、融合通信、知识图谱等技术为支撑，推动新一代应急指挥平台建设。</w:t>
      </w:r>
    </w:p>
    <w:p>
      <w:pPr>
        <w:pStyle w:val="4"/>
        <w:ind w:firstLine="640"/>
      </w:pPr>
      <w:bookmarkStart w:id="104" w:name="_Toc59651198"/>
      <w:bookmarkStart w:id="105" w:name="_Toc80221594"/>
      <w:r>
        <w:t>三、健全应急响应</w:t>
      </w:r>
      <w:bookmarkEnd w:id="104"/>
      <w:r>
        <w:t>机制</w:t>
      </w:r>
      <w:bookmarkEnd w:id="105"/>
    </w:p>
    <w:p>
      <w:pPr>
        <w:ind w:firstLine="643"/>
        <w:rPr>
          <w:b/>
          <w:shd w:val="clear" w:color="auto" w:fill="FFFFFF"/>
        </w:rPr>
      </w:pPr>
      <w:r>
        <w:rPr>
          <w:b/>
          <w:shd w:val="clear" w:color="auto" w:fill="FFFFFF"/>
        </w:rPr>
        <w:t>1.强化应急响应制度建设</w:t>
      </w:r>
    </w:p>
    <w:p>
      <w:pPr>
        <w:ind w:firstLine="640"/>
        <w:rPr>
          <w:shd w:val="clear" w:color="auto" w:fill="FFFFFF"/>
        </w:rPr>
      </w:pPr>
      <w:r>
        <w:rPr>
          <w:shd w:val="clear" w:color="auto" w:fill="FFFFFF"/>
        </w:rPr>
        <w:t>健全“一盘棋”应急响应机制，坚持事发在外地、警示在眼前，举一反三抓好合作区风险防范化解工作。</w:t>
      </w:r>
    </w:p>
    <w:p>
      <w:pPr>
        <w:ind w:firstLine="640"/>
        <w:rPr>
          <w:shd w:val="clear" w:color="auto" w:fill="FFFFFF"/>
        </w:rPr>
      </w:pPr>
      <w:r>
        <w:rPr>
          <w:rFonts w:eastAsia="黑体"/>
          <w:shd w:val="clear" w:color="auto" w:fill="FFFFFF"/>
        </w:rPr>
        <w:t>规范事发单位、镇、合作区分级应急响应机制</w:t>
      </w:r>
      <w:r>
        <w:rPr>
          <w:shd w:val="clear" w:color="auto" w:fill="FFFFFF"/>
        </w:rPr>
        <w:t>，制定分级响应工作指引，编制较大灾害事故应急响应工作手册和危险化学品、建设施工、火灾、交通、地震地质、洪涝灾害、森林火灾等分册，推进应急响应过程标准化、规范化。</w:t>
      </w:r>
    </w:p>
    <w:p>
      <w:pPr>
        <w:ind w:firstLine="640"/>
        <w:rPr>
          <w:shd w:val="clear" w:color="auto" w:fill="FFFFFF"/>
        </w:rPr>
      </w:pPr>
      <w:r>
        <w:rPr>
          <w:shd w:val="clear" w:color="auto" w:fill="FFFFFF"/>
        </w:rPr>
        <w:t>完善灾害事故“四个一”应急处置机制</w:t>
      </w:r>
      <w:r>
        <w:rPr>
          <w:rStyle w:val="48"/>
          <w:shd w:val="clear" w:color="auto" w:fill="FFFFFF"/>
        </w:rPr>
        <w:footnoteReference w:id="7"/>
      </w:r>
      <w:r>
        <w:rPr>
          <w:shd w:val="clear" w:color="auto" w:fill="FFFFFF"/>
        </w:rPr>
        <w:t>，提升灾害事故处置效能。</w:t>
      </w:r>
    </w:p>
    <w:p>
      <w:pPr>
        <w:ind w:firstLine="643"/>
        <w:rPr>
          <w:b/>
          <w:shd w:val="clear" w:color="auto" w:fill="FFFFFF"/>
        </w:rPr>
      </w:pPr>
      <w:r>
        <w:rPr>
          <w:b/>
          <w:shd w:val="clear" w:color="auto" w:fill="FFFFFF"/>
        </w:rPr>
        <w:t>2.健全应急值班值守机制</w:t>
      </w:r>
    </w:p>
    <w:p>
      <w:pPr>
        <w:ind w:firstLine="640"/>
        <w:rPr>
          <w:shd w:val="clear" w:color="auto" w:fill="FFFFFF"/>
        </w:rPr>
      </w:pPr>
      <w:r>
        <w:rPr>
          <w:shd w:val="clear" w:color="auto" w:fill="FFFFFF"/>
        </w:rPr>
        <w:t>严格落实领导带班和关键岗位24小时专人值班值守制度、节假日“五个一”值班值守</w:t>
      </w:r>
      <w:r>
        <w:rPr>
          <w:rStyle w:val="48"/>
          <w:shd w:val="clear" w:color="auto" w:fill="FFFFFF"/>
        </w:rPr>
        <w:footnoteReference w:id="8"/>
      </w:r>
      <w:r>
        <w:rPr>
          <w:shd w:val="clear" w:color="auto" w:fill="FFFFFF"/>
        </w:rPr>
        <w:t>工作制度、特别防护期值班制度，推动各方信息第一时间归口汇总、各类情况第一时间综合研判。</w:t>
      </w:r>
    </w:p>
    <w:p>
      <w:pPr>
        <w:ind w:firstLine="640"/>
        <w:rPr>
          <w:shd w:val="clear" w:color="auto" w:fill="FFFFFF"/>
        </w:rPr>
      </w:pPr>
      <w:r>
        <w:rPr>
          <w:shd w:val="clear" w:color="auto" w:fill="FFFFFF"/>
        </w:rPr>
        <w:t>完善部门联合值班值守机制，建立统一指挥、即时研判、及时反馈工作制度，确保预警更及时、处置更精准、协调更畅顺。</w:t>
      </w:r>
    </w:p>
    <w:p>
      <w:pPr>
        <w:ind w:firstLine="640"/>
        <w:rPr>
          <w:shd w:val="clear" w:color="auto" w:fill="FFFFFF"/>
        </w:rPr>
      </w:pPr>
      <w:r>
        <w:rPr>
          <w:shd w:val="clear" w:color="auto" w:fill="FFFFFF"/>
        </w:rPr>
        <w:t>健全灾害事故信息发布制度，统一快速、准确权威发布灾害事故信息，强化舆论正确引导，确保公众知情权。</w:t>
      </w:r>
    </w:p>
    <w:p>
      <w:pPr>
        <w:ind w:firstLine="640"/>
        <w:rPr>
          <w:shd w:val="clear" w:color="auto" w:fill="FFFFFF"/>
        </w:rPr>
      </w:pPr>
      <w:r>
        <w:rPr>
          <w:shd w:val="clear" w:color="auto" w:fill="FFFFFF"/>
        </w:rPr>
        <w:t>完善突发事件信息上报机制，充分利用应急“一键通”信息快速报送系统，加强镇、社区（村）等基层值守人员灾害事故信息报告技能培训，提高突发事件信息报送的全面性、及时性、准确性和规范性。</w:t>
      </w:r>
    </w:p>
    <w:p>
      <w:pPr>
        <w:ind w:firstLine="643"/>
        <w:rPr>
          <w:b/>
          <w:shd w:val="clear" w:color="auto" w:fill="FFFFFF"/>
        </w:rPr>
      </w:pPr>
      <w:r>
        <w:rPr>
          <w:b/>
          <w:shd w:val="clear" w:color="auto" w:fill="FFFFFF"/>
        </w:rPr>
        <w:t>3.健全应急联动会商机制</w:t>
      </w:r>
    </w:p>
    <w:p>
      <w:pPr>
        <w:ind w:firstLine="640"/>
        <w:rPr>
          <w:shd w:val="clear" w:color="auto" w:fill="FFFFFF"/>
        </w:rPr>
      </w:pPr>
      <w:r>
        <w:rPr>
          <w:shd w:val="clear" w:color="auto" w:fill="FFFFFF"/>
        </w:rPr>
        <w:t>坚持党政主导、统一指挥、部门联动、社会参与、运转顺畅、处置高效的原则，强化部门之间、区域之间、军地之间、条块之间沟通协调，提升人员、物资等应急资源快速集成能力，建立信息共享、资源共用以及灾害风险防治、应急救援联防联控、联合行动的工作机制。</w:t>
      </w:r>
    </w:p>
    <w:p>
      <w:pPr>
        <w:ind w:firstLine="640"/>
        <w:rPr>
          <w:shd w:val="clear" w:color="auto" w:fill="FFFFFF"/>
        </w:rPr>
      </w:pPr>
      <w:r>
        <w:rPr>
          <w:shd w:val="clear" w:color="auto" w:fill="FFFFFF"/>
        </w:rPr>
        <w:t>针对事故灾害发生规律、季节特点等，适时开展联合会商，分析研判事故灾害发生、发展趋势，科学有效做好防灾减灾救灾工作。</w:t>
      </w:r>
    </w:p>
    <w:p>
      <w:pPr>
        <w:pStyle w:val="4"/>
        <w:ind w:firstLine="640"/>
      </w:pPr>
      <w:bookmarkStart w:id="106" w:name="_Toc80221595"/>
      <w:r>
        <w:t>四、提升灾害救助能力</w:t>
      </w:r>
      <w:bookmarkEnd w:id="106"/>
    </w:p>
    <w:p>
      <w:pPr>
        <w:ind w:firstLine="643"/>
        <w:rPr>
          <w:b/>
          <w:shd w:val="clear" w:color="auto" w:fill="FFFFFF"/>
        </w:rPr>
      </w:pPr>
      <w:r>
        <w:rPr>
          <w:b/>
          <w:shd w:val="clear" w:color="auto" w:fill="FFFFFF"/>
        </w:rPr>
        <w:t>1.完善灾害信息员队伍</w:t>
      </w:r>
    </w:p>
    <w:p>
      <w:pPr>
        <w:ind w:firstLine="640"/>
        <w:rPr>
          <w:shd w:val="clear" w:color="auto" w:fill="FFFFFF"/>
        </w:rPr>
      </w:pPr>
      <w:r>
        <w:rPr>
          <w:shd w:val="clear" w:color="auto" w:fill="FFFFFF"/>
        </w:rPr>
        <w:t>建立相对稳定的灾害信息员队伍，全区行政村（社区）应配置1-2名灾害信息员，承担灾情统计报送、台账管理以及评估核查等工作，同时兼顾灾害隐患排查、灾害监测预警、险情信息报送等任务，协助做好受灾群众紧急转移安置和紧急生活救助等工作。规范灾情上报流程，提高灾情信息报送全面性、及时性、准确性和规范性。</w:t>
      </w:r>
    </w:p>
    <w:p>
      <w:pPr>
        <w:ind w:firstLine="640"/>
        <w:rPr>
          <w:shd w:val="clear" w:color="auto" w:fill="FFFFFF"/>
        </w:rPr>
      </w:pPr>
      <w:r>
        <w:rPr>
          <w:shd w:val="clear" w:color="auto" w:fill="FFFFFF"/>
        </w:rPr>
        <w:t>加强灾害信息员日常管理和培训，配备必要装备，明确信息员绩效考核和经费待遇，提升灾情管理能力和水平。</w:t>
      </w:r>
    </w:p>
    <w:p>
      <w:pPr>
        <w:ind w:firstLine="643"/>
        <w:rPr>
          <w:b/>
          <w:shd w:val="clear" w:color="auto" w:fill="FFFFFF"/>
        </w:rPr>
      </w:pPr>
      <w:r>
        <w:rPr>
          <w:b/>
          <w:shd w:val="clear" w:color="auto" w:fill="FFFFFF"/>
        </w:rPr>
        <w:t>2.推动应急避难场所建设</w:t>
      </w:r>
    </w:p>
    <w:p>
      <w:pPr>
        <w:ind w:firstLine="640"/>
        <w:rPr>
          <w:shd w:val="clear" w:color="auto" w:fill="FFFFFF"/>
        </w:rPr>
      </w:pPr>
      <w:r>
        <w:rPr>
          <w:shd w:val="clear" w:color="auto" w:fill="FFFFFF"/>
        </w:rPr>
        <w:t>深入实施《深圳市应急避难场所管理办法》。制定应急避难场所管理实施细则，落实部门、镇、行政村（社区）应急避难场所管理职责，制定群众避难工作指引，明确场所管理和维护任务，规定场所开放权限，定期组织群众进行疏散演练，配足配齐应急避难场所救灾储备物资。</w:t>
      </w:r>
    </w:p>
    <w:p>
      <w:pPr>
        <w:ind w:firstLine="640"/>
        <w:rPr>
          <w:shd w:val="clear" w:color="auto" w:fill="FFFFFF"/>
        </w:rPr>
      </w:pPr>
      <w:r>
        <w:rPr>
          <w:shd w:val="clear" w:color="auto" w:fill="FFFFFF"/>
        </w:rPr>
        <w:t>推进应急避难场所标准化建设。结合合作区实际，对选址和设施设置作出规定，划分具体功能区域，明确标识、标志设置、疏散路线和储备物资要求，同时整合现有临时避难点资源，制定分类分级开放标准。</w:t>
      </w:r>
    </w:p>
    <w:p>
      <w:pPr>
        <w:ind w:firstLine="640"/>
        <w:rPr>
          <w:shd w:val="clear" w:color="auto" w:fill="FFFFFF"/>
        </w:rPr>
      </w:pPr>
      <w:r>
        <w:rPr>
          <w:shd w:val="clear" w:color="auto" w:fill="FFFFFF"/>
        </w:rPr>
        <w:t>制定新增应急避难场所规划。依据法规标准，以行政村（社区）为单位，按照“均衡布局、就近安排、安全可靠、因地制宜”原则，对全区新建党群服务中心、公园、学校、室内公共的场、馆、所等场址硬性要求预留避难区域，建设符合当地灾害应对需求的室内/室外应急避难场所。</w:t>
      </w:r>
      <w:r>
        <w:rPr>
          <w:rFonts w:eastAsia="黑体"/>
          <w:shd w:val="clear" w:color="auto" w:fill="FFFFFF"/>
        </w:rPr>
        <w:t>到2025年，人均避难（护）场所面积达到1.5m</w:t>
      </w:r>
      <w:r>
        <w:rPr>
          <w:rFonts w:eastAsia="黑体"/>
          <w:shd w:val="clear" w:color="auto" w:fill="FFFFFF"/>
          <w:vertAlign w:val="superscript"/>
        </w:rPr>
        <w:t>2</w:t>
      </w:r>
      <w:r>
        <w:rPr>
          <w:rFonts w:eastAsia="黑体"/>
          <w:shd w:val="clear" w:color="auto" w:fill="FFFFFF"/>
        </w:rPr>
        <w:t>，实现行政村（社区）应急避难场所标准化建设全覆盖。</w:t>
      </w:r>
    </w:p>
    <w:p>
      <w:pPr>
        <w:ind w:firstLine="640"/>
        <w:rPr>
          <w:shd w:val="clear" w:color="auto" w:fill="FFFFFF"/>
        </w:rPr>
      </w:pPr>
      <w:r>
        <w:rPr>
          <w:shd w:val="clear" w:color="auto" w:fill="FFFFFF"/>
        </w:rPr>
        <w:t>加强对避难场所建筑主体结构安全、应急避难设施设备、应急物资装备等检查维护和管理，完善应急避难场所备案流程，以确保场所在应急启用时能有效利用。</w:t>
      </w:r>
    </w:p>
    <w:p>
      <w:pPr>
        <w:ind w:firstLine="640"/>
        <w:rPr>
          <w:shd w:val="clear" w:color="auto" w:fill="FFFFFF"/>
        </w:rPr>
      </w:pPr>
      <w:r>
        <w:rPr>
          <w:shd w:val="clear" w:color="auto" w:fill="FFFFFF"/>
        </w:rPr>
        <w:t>建立应急避难场所信息台账，定期汇总更新应急避难场所信息，加强应急避难场所日常巡查检查。</w:t>
      </w:r>
    </w:p>
    <w:p>
      <w:pPr>
        <w:ind w:firstLine="640"/>
        <w:rPr>
          <w:shd w:val="clear" w:color="auto" w:fill="FFFFFF"/>
        </w:rPr>
      </w:pPr>
      <w:r>
        <w:rPr>
          <w:shd w:val="clear" w:color="auto" w:fill="FFFFFF"/>
        </w:rPr>
        <w:t>加强应急避难场所宣传，通过网站、报刊、宣传栏、宣传册等媒介向社会发布应急避难场所位置、名称、类型、联系人和联系方式等信息。</w:t>
      </w:r>
    </w:p>
    <w:p>
      <w:pPr>
        <w:ind w:firstLine="643"/>
        <w:rPr>
          <w:b/>
          <w:shd w:val="clear" w:color="auto" w:fill="FFFFFF"/>
        </w:rPr>
      </w:pPr>
      <w:r>
        <w:rPr>
          <w:b/>
          <w:shd w:val="clear" w:color="auto" w:fill="FFFFFF"/>
        </w:rPr>
        <w:t>3.提升灾后紧急救助能力</w:t>
      </w:r>
    </w:p>
    <w:p>
      <w:pPr>
        <w:ind w:firstLine="640"/>
        <w:rPr>
          <w:rFonts w:eastAsia="黑体"/>
          <w:shd w:val="clear" w:color="auto" w:fill="FFFFFF"/>
        </w:rPr>
      </w:pPr>
      <w:r>
        <w:rPr>
          <w:shd w:val="clear" w:color="auto" w:fill="FFFFFF"/>
        </w:rPr>
        <w:t>健全受灾群众过渡性安置和救助机制，建立灾害救助资金快速下拨机制、救灾物资预置保障机制、受灾人群提前转移机制，提升救助时效。</w:t>
      </w:r>
      <w:r>
        <w:rPr>
          <w:rFonts w:eastAsia="黑体"/>
          <w:shd w:val="clear" w:color="auto" w:fill="FFFFFF"/>
        </w:rPr>
        <w:t>确保自然灾害发生6小时之内受灾人员基本生活得到初步救助。</w:t>
      </w:r>
    </w:p>
    <w:p>
      <w:pPr>
        <w:ind w:firstLine="640"/>
        <w:rPr>
          <w:shd w:val="clear" w:color="auto" w:fill="FFFFFF"/>
        </w:rPr>
      </w:pPr>
      <w:r>
        <w:rPr>
          <w:shd w:val="clear" w:color="auto" w:fill="FFFFFF"/>
        </w:rPr>
        <w:t>建立救灾资金长效保障机制，制定符合合作区实际的救助标准，健全完善灾害救助资金与经济社会发展、物价调整相挂钩的动态增长机制。</w:t>
      </w:r>
    </w:p>
    <w:p>
      <w:pPr>
        <w:ind w:firstLine="640"/>
        <w:rPr>
          <w:shd w:val="clear" w:color="auto" w:fill="FFFFFF"/>
        </w:rPr>
      </w:pPr>
      <w:r>
        <w:rPr>
          <w:rFonts w:eastAsia="黑体"/>
          <w:shd w:val="clear" w:color="auto" w:fill="FFFFFF"/>
        </w:rPr>
        <w:t>建立紧急情况下资金投入和应急资源调用、征用补偿机制</w:t>
      </w:r>
      <w:r>
        <w:rPr>
          <w:shd w:val="clear" w:color="auto" w:fill="FFFFFF"/>
        </w:rPr>
        <w:t>，对承担应急救援任务的单位和个人予以合理经济补偿，造成损失的予以合理赔偿。</w:t>
      </w:r>
    </w:p>
    <w:p>
      <w:pPr>
        <w:ind w:firstLine="640"/>
        <w:rPr>
          <w:shd w:val="clear" w:color="auto" w:fill="FFFFFF"/>
        </w:rPr>
      </w:pPr>
      <w:r>
        <w:rPr>
          <w:shd w:val="clear" w:color="auto" w:fill="FFFFFF"/>
        </w:rPr>
        <w:t>健全特殊群体人员临灾转移“四个一”工作机制</w:t>
      </w:r>
      <w:r>
        <w:rPr>
          <w:rStyle w:val="48"/>
          <w:shd w:val="clear" w:color="auto" w:fill="FFFFFF"/>
        </w:rPr>
        <w:footnoteReference w:id="9"/>
      </w:r>
      <w:r>
        <w:rPr>
          <w:shd w:val="clear" w:color="auto" w:fill="FFFFFF"/>
        </w:rPr>
        <w:t>，强化易受灾人群救助。</w:t>
      </w:r>
    </w:p>
    <w:p>
      <w:pPr>
        <w:ind w:firstLine="640"/>
        <w:rPr>
          <w:shd w:val="clear" w:color="auto" w:fill="FFFFFF"/>
        </w:rPr>
      </w:pPr>
      <w:r>
        <w:rPr>
          <w:shd w:val="clear" w:color="auto" w:fill="FFFFFF"/>
        </w:rPr>
        <w:t>强化灾区公共卫生服务保障，防范灾区发生公共卫生次生灾害。</w:t>
      </w:r>
    </w:p>
    <w:p>
      <w:pPr>
        <w:ind w:firstLine="643"/>
        <w:rPr>
          <w:b/>
          <w:shd w:val="clear" w:color="auto" w:fill="FFFFFF"/>
        </w:rPr>
      </w:pPr>
      <w:r>
        <w:rPr>
          <w:b/>
          <w:shd w:val="clear" w:color="auto" w:fill="FFFFFF"/>
        </w:rPr>
        <w:t>4.提升恢复重建能力</w:t>
      </w:r>
    </w:p>
    <w:p>
      <w:pPr>
        <w:ind w:firstLine="640"/>
        <w:rPr>
          <w:shd w:val="clear" w:color="auto" w:fill="FFFFFF"/>
        </w:rPr>
      </w:pPr>
      <w:r>
        <w:rPr>
          <w:shd w:val="clear" w:color="auto" w:fill="FFFFFF"/>
        </w:rPr>
        <w:t>科学开展灾害损失等评估，建立健全恢复重建标准和灾情评估体系，统筹制定恢复重建规划和优惠政策，对接城市更新、乡村振兴等政策，提升恢复重建精准性。</w:t>
      </w:r>
    </w:p>
    <w:p>
      <w:pPr>
        <w:ind w:firstLine="640"/>
        <w:rPr>
          <w:shd w:val="clear" w:color="auto" w:fill="FFFFFF"/>
        </w:rPr>
      </w:pPr>
      <w:r>
        <w:rPr>
          <w:shd w:val="clear" w:color="auto" w:fill="FFFFFF"/>
        </w:rPr>
        <w:t>按照因地制宜、科学选址、节约用地、规模适度、经济适用、群众满意的原则，及时做好灾后恢复重建规划，将城乡居民住房恢复重建摆在突出和优先位置。</w:t>
      </w:r>
    </w:p>
    <w:p>
      <w:pPr>
        <w:ind w:firstLine="640"/>
        <w:rPr>
          <w:shd w:val="clear" w:color="auto" w:fill="FFFFFF"/>
        </w:rPr>
      </w:pPr>
      <w:r>
        <w:rPr>
          <w:shd w:val="clear" w:color="auto" w:fill="FFFFFF"/>
        </w:rPr>
        <w:t>加大财政投入，协调银行贷款、做好保险理赔，利用社会捐助等途径形成政府主导、社会参与的多元化资金筹措机制，加快灾后恢复重建工作。</w:t>
      </w:r>
    </w:p>
    <w:p>
      <w:pPr>
        <w:ind w:firstLine="640"/>
        <w:rPr>
          <w:shd w:val="clear" w:color="auto" w:fill="FFFFFF"/>
        </w:rPr>
      </w:pPr>
      <w:r>
        <w:rPr>
          <w:shd w:val="clear" w:color="auto" w:fill="FFFFFF"/>
        </w:rPr>
        <w:t>强化灾区生产经营活动恢复重建服务指导，突出抓好灾后复产复工安全风险防范化解，重点加强对恢复重建项目的资金、效益、进度、验收等各个环节的监管。</w:t>
      </w:r>
    </w:p>
    <w:p>
      <w:pPr>
        <w:pStyle w:val="3"/>
      </w:pPr>
      <w:bookmarkStart w:id="107" w:name="_Toc59651200"/>
      <w:bookmarkStart w:id="108" w:name="_Toc80221596"/>
      <w:r>
        <w:t>第五节 健全多元支撑体系，提升系统保障能力</w:t>
      </w:r>
      <w:bookmarkEnd w:id="107"/>
      <w:bookmarkEnd w:id="108"/>
    </w:p>
    <w:p>
      <w:pPr>
        <w:pStyle w:val="4"/>
        <w:ind w:firstLine="640"/>
      </w:pPr>
      <w:bookmarkStart w:id="109" w:name="_Toc59651201"/>
      <w:bookmarkStart w:id="110" w:name="_Toc80221597"/>
      <w:r>
        <w:t>一、提升科技</w:t>
      </w:r>
      <w:r>
        <w:rPr>
          <w:rFonts w:hint="eastAsia"/>
        </w:rPr>
        <w:t>信息化</w:t>
      </w:r>
      <w:r>
        <w:t>支撑能力</w:t>
      </w:r>
      <w:bookmarkEnd w:id="109"/>
      <w:bookmarkEnd w:id="110"/>
    </w:p>
    <w:p>
      <w:pPr>
        <w:ind w:firstLine="643"/>
        <w:rPr>
          <w:b/>
          <w:shd w:val="clear" w:color="auto" w:fill="FFFFFF"/>
        </w:rPr>
      </w:pPr>
      <w:r>
        <w:rPr>
          <w:b/>
          <w:shd w:val="clear" w:color="auto" w:fill="FFFFFF"/>
        </w:rPr>
        <w:t>1.强化科技支撑</w:t>
      </w:r>
    </w:p>
    <w:p>
      <w:pPr>
        <w:ind w:firstLine="640"/>
        <w:rPr>
          <w:shd w:val="clear" w:color="auto" w:fill="FFFFFF"/>
        </w:rPr>
      </w:pPr>
      <w:r>
        <w:rPr>
          <w:shd w:val="clear" w:color="auto" w:fill="FFFFFF"/>
        </w:rPr>
        <w:t>依托深圳优势科技资源，与深圳市城市公共安全技术研究院、深圳市防灾减灾研究院等技术支撑机构建立长期合作机制，</w:t>
      </w:r>
      <w:r>
        <w:rPr>
          <w:rFonts w:eastAsia="黑体"/>
          <w:shd w:val="clear" w:color="auto" w:fill="FFFFFF"/>
        </w:rPr>
        <w:t>建设高水平的安全与应急领域科研成果转化基地</w:t>
      </w:r>
      <w:r>
        <w:rPr>
          <w:shd w:val="clear" w:color="auto" w:fill="FFFFFF"/>
        </w:rPr>
        <w:t>，利用科技提升区域应急管理能力和本质安全水平。</w:t>
      </w:r>
    </w:p>
    <w:p>
      <w:pPr>
        <w:ind w:firstLine="640"/>
        <w:rPr>
          <w:shd w:val="clear" w:color="auto" w:fill="FFFFFF"/>
        </w:rPr>
      </w:pPr>
      <w:r>
        <w:rPr>
          <w:shd w:val="clear" w:color="auto" w:fill="FFFFFF"/>
        </w:rPr>
        <w:t>淘汰落后工艺和不安全设施设备，推广先进适用安全设施设备，引导高危行业领域企业推动机械化、自动化、数字化、智能化建设。</w:t>
      </w:r>
    </w:p>
    <w:p>
      <w:pPr>
        <w:ind w:firstLine="640"/>
        <w:rPr>
          <w:shd w:val="clear" w:color="auto" w:fill="FFFFFF"/>
        </w:rPr>
      </w:pPr>
      <w:r>
        <w:rPr>
          <w:shd w:val="clear" w:color="auto" w:fill="FFFFFF"/>
        </w:rPr>
        <w:t>加大先进适用救援技术装备推广力度，强化建设施工救援破拆和生命支撑装备、复杂环境应急通信集成装备、便携式个人单兵装备等先进适用技术装备配备。</w:t>
      </w:r>
    </w:p>
    <w:p>
      <w:pPr>
        <w:ind w:firstLine="640"/>
        <w:rPr>
          <w:shd w:val="clear" w:color="auto" w:fill="FFFFFF"/>
        </w:rPr>
      </w:pPr>
      <w:r>
        <w:rPr>
          <w:rFonts w:eastAsia="黑体"/>
          <w:shd w:val="clear" w:color="auto" w:fill="FFFFFF"/>
        </w:rPr>
        <w:t>建立应急管理专家库</w:t>
      </w:r>
      <w:r>
        <w:rPr>
          <w:shd w:val="clear" w:color="auto" w:fill="FFFFFF"/>
        </w:rPr>
        <w:t>，打造专家资源共享平台，完善管理制度，充分发挥各领域专家在决策咨询、标准制定、安全诊断、应急会商等方面的作用。</w:t>
      </w:r>
    </w:p>
    <w:p>
      <w:pPr>
        <w:ind w:firstLine="643"/>
        <w:rPr>
          <w:b/>
          <w:shd w:val="clear" w:color="auto" w:fill="FFFFFF"/>
        </w:rPr>
      </w:pPr>
      <w:r>
        <w:rPr>
          <w:b/>
          <w:shd w:val="clear" w:color="auto" w:fill="FFFFFF"/>
        </w:rPr>
        <w:t>2.推进智慧应急建设</w:t>
      </w:r>
    </w:p>
    <w:p>
      <w:pPr>
        <w:ind w:firstLine="640"/>
        <w:rPr>
          <w:shd w:val="clear" w:color="auto" w:fill="FFFFFF"/>
        </w:rPr>
      </w:pPr>
      <w:r>
        <w:rPr>
          <w:shd w:val="clear" w:color="auto" w:fill="FFFFFF"/>
        </w:rPr>
        <w:t>充分结合深圳市应急管理“一库、三中心、N系统”建设，主动对接合作区智慧城市建设需求，推进合作区智慧应急建设，建立“一库、二系统、一平台”。</w:t>
      </w:r>
    </w:p>
    <w:p>
      <w:pPr>
        <w:ind w:firstLine="640"/>
        <w:rPr>
          <w:shd w:val="clear" w:color="auto" w:fill="FFFFFF"/>
        </w:rPr>
      </w:pPr>
      <w:r>
        <w:rPr>
          <w:shd w:val="clear" w:color="auto" w:fill="FFFFFF"/>
        </w:rPr>
        <w:t>“一库”为</w:t>
      </w:r>
      <w:r>
        <w:rPr>
          <w:rFonts w:eastAsia="黑体"/>
          <w:shd w:val="clear" w:color="auto" w:fill="FFFFFF"/>
        </w:rPr>
        <w:t>应急管理信息数据库</w:t>
      </w:r>
      <w:r>
        <w:rPr>
          <w:shd w:val="clear" w:color="auto" w:fill="FFFFFF"/>
        </w:rPr>
        <w:t>，汇集全区安全生产、自然灾害、救援力量、综合保障等应急管理全流程、全方位数据。</w:t>
      </w:r>
    </w:p>
    <w:p>
      <w:pPr>
        <w:ind w:firstLine="640"/>
        <w:rPr>
          <w:shd w:val="clear" w:color="auto" w:fill="FFFFFF"/>
        </w:rPr>
      </w:pPr>
      <w:r>
        <w:rPr>
          <w:shd w:val="clear" w:color="auto" w:fill="FFFFFF"/>
        </w:rPr>
        <w:t>“二系统”为</w:t>
      </w:r>
      <w:r>
        <w:rPr>
          <w:rFonts w:eastAsia="黑体"/>
          <w:shd w:val="clear" w:color="auto" w:fill="FFFFFF"/>
        </w:rPr>
        <w:t>智慧安监信息系统和智慧“三防”信息系统</w:t>
      </w:r>
      <w:r>
        <w:rPr>
          <w:shd w:val="clear" w:color="auto" w:fill="FFFFFF"/>
        </w:rPr>
        <w:t>，运用物联网、大数据和人工智能等先进技术，接入安全生产和“三防”等各类业务系统监测预警数据，实现对重点企事业单位、重大施工工程、重大危险源、灾害隐患点和易发区、敏感区域100%监控。</w:t>
      </w:r>
    </w:p>
    <w:p>
      <w:pPr>
        <w:ind w:firstLine="640"/>
        <w:rPr>
          <w:shd w:val="clear" w:color="auto" w:fill="FFFFFF"/>
        </w:rPr>
      </w:pPr>
      <w:r>
        <w:rPr>
          <w:shd w:val="clear" w:color="auto" w:fill="FFFFFF"/>
        </w:rPr>
        <w:t>“一平台”为</w:t>
      </w:r>
      <w:r>
        <w:rPr>
          <w:rFonts w:eastAsia="黑体"/>
          <w:shd w:val="clear" w:color="auto" w:fill="FFFFFF"/>
        </w:rPr>
        <w:t>智慧深汕应急指挥平台</w:t>
      </w:r>
      <w:r>
        <w:rPr>
          <w:shd w:val="clear" w:color="auto" w:fill="FFFFFF"/>
        </w:rPr>
        <w:t>，实现监控预警、信息报告、应急评估、综合研判、模拟演练、辅助决策、部门联动、指挥调度等应急指挥功能。</w:t>
      </w:r>
    </w:p>
    <w:p>
      <w:pPr>
        <w:pStyle w:val="4"/>
        <w:ind w:firstLine="640"/>
      </w:pPr>
      <w:bookmarkStart w:id="111" w:name="_Toc80221598"/>
      <w:bookmarkStart w:id="112" w:name="_Toc59651202"/>
      <w:r>
        <w:t>二、提升应急综合保障能力</w:t>
      </w:r>
      <w:bookmarkEnd w:id="111"/>
    </w:p>
    <w:p>
      <w:pPr>
        <w:ind w:firstLine="643"/>
        <w:rPr>
          <w:b/>
          <w:shd w:val="clear" w:color="auto" w:fill="FFFFFF"/>
        </w:rPr>
      </w:pPr>
      <w:r>
        <w:rPr>
          <w:b/>
          <w:shd w:val="clear" w:color="auto" w:fill="FFFFFF"/>
        </w:rPr>
        <w:t>1.提升应急物资保障能力</w:t>
      </w:r>
      <w:bookmarkEnd w:id="112"/>
    </w:p>
    <w:p>
      <w:pPr>
        <w:ind w:firstLine="640"/>
        <w:rPr>
          <w:shd w:val="clear" w:color="auto" w:fill="FFFFFF"/>
        </w:rPr>
      </w:pPr>
      <w:r>
        <w:rPr>
          <w:shd w:val="clear" w:color="auto" w:fill="FFFFFF"/>
        </w:rPr>
        <w:t>加强应急物资保障统筹规划，合作区应急管理部门</w:t>
      </w:r>
      <w:r>
        <w:rPr>
          <w:rFonts w:eastAsia="黑体"/>
          <w:shd w:val="clear" w:color="auto" w:fill="FFFFFF"/>
        </w:rPr>
        <w:t>建立全区统一应急物资储备目录，建设统一的合作区应急物资储备仓库和全流程一体化智能调用平台</w:t>
      </w:r>
      <w:r>
        <w:rPr>
          <w:shd w:val="clear" w:color="auto" w:fill="FFFFFF"/>
        </w:rPr>
        <w:t>，各部门根据职能定期提出应急物资储备需求。</w:t>
      </w:r>
    </w:p>
    <w:p>
      <w:pPr>
        <w:ind w:firstLine="640"/>
        <w:rPr>
          <w:shd w:val="clear" w:color="auto" w:fill="FFFFFF"/>
        </w:rPr>
      </w:pPr>
      <w:r>
        <w:rPr>
          <w:shd w:val="clear" w:color="auto" w:fill="FFFFFF"/>
        </w:rPr>
        <w:t>制定救灾物资储备年度需求、标准和目录，完善救灾物资应急调拨机制，确保调拨工作规范、有序，进一步理顺调度环节，明确相关工作职责和要求，加强储备、请调和调拨工作规范化建设。</w:t>
      </w:r>
    </w:p>
    <w:p>
      <w:pPr>
        <w:ind w:firstLine="640"/>
        <w:rPr>
          <w:shd w:val="clear" w:color="auto" w:fill="FFFFFF"/>
        </w:rPr>
      </w:pPr>
      <w:r>
        <w:rPr>
          <w:shd w:val="clear" w:color="auto" w:fill="FFFFFF"/>
        </w:rPr>
        <w:t>建立平战结合的物资采购机制，制定紧急状态下应急物资政府采购和征用补偿办法。</w:t>
      </w:r>
    </w:p>
    <w:p>
      <w:pPr>
        <w:ind w:firstLine="640"/>
        <w:rPr>
          <w:shd w:val="clear" w:color="auto" w:fill="FFFFFF"/>
        </w:rPr>
      </w:pPr>
      <w:r>
        <w:rPr>
          <w:shd w:val="clear" w:color="auto" w:fill="FFFFFF"/>
        </w:rPr>
        <w:t>抓紧补充购置大型防汛排涝装备和救援装备。结合我区实际需求，科学筹划，配备大流量排涝车、排涝机器人、水上救援机器人等专业装备，提升大型应急抢险能力，同时通过租赁服务、自建等形式加快区级三防仓库设立，完善配套设施、管理规定和装备物资调拨制度，切实保障三防抢险救援工作顺利开展。</w:t>
      </w:r>
    </w:p>
    <w:p>
      <w:pPr>
        <w:ind w:firstLine="640"/>
        <w:rPr>
          <w:shd w:val="clear" w:color="auto" w:fill="FFFFFF"/>
        </w:rPr>
      </w:pPr>
      <w:r>
        <w:rPr>
          <w:shd w:val="clear" w:color="auto" w:fill="FFFFFF"/>
        </w:rPr>
        <w:t>在各镇建设应急物资储备分库，靠前布置一批急用、急需应急物资。</w:t>
      </w:r>
    </w:p>
    <w:tbl>
      <w:tblPr>
        <w:tblStyle w:val="28"/>
        <w:tblW w:w="5000" w:type="pct"/>
        <w:tblInd w:w="0" w:type="dxa"/>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Layout w:type="autofit"/>
        <w:tblCellMar>
          <w:top w:w="0" w:type="dxa"/>
          <w:left w:w="108" w:type="dxa"/>
          <w:bottom w:w="0" w:type="dxa"/>
          <w:right w:w="108" w:type="dxa"/>
        </w:tblCellMar>
      </w:tblPr>
      <w:tblGrid>
        <w:gridCol w:w="8523"/>
      </w:tblGrid>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CellMar>
            <w:top w:w="0" w:type="dxa"/>
            <w:left w:w="108" w:type="dxa"/>
            <w:bottom w:w="0" w:type="dxa"/>
            <w:right w:w="108" w:type="dxa"/>
          </w:tblCellMar>
        </w:tblPrEx>
        <w:trPr>
          <w:trHeight w:val="60" w:hRule="atLeast"/>
        </w:trPr>
        <w:tc>
          <w:tcPr>
            <w:tcW w:w="5000" w:type="pct"/>
            <w:vAlign w:val="center"/>
          </w:tcPr>
          <w:p>
            <w:pPr>
              <w:pStyle w:val="23"/>
              <w:spacing w:line="240" w:lineRule="auto"/>
              <w:ind w:left="0" w:leftChars="0" w:firstLine="0" w:firstLineChars="0"/>
              <w:jc w:val="center"/>
              <w:rPr>
                <w:sz w:val="24"/>
                <w:szCs w:val="24"/>
              </w:rPr>
            </w:pPr>
            <w:r>
              <w:rPr>
                <w:b/>
                <w:sz w:val="24"/>
                <w:szCs w:val="24"/>
              </w:rPr>
              <w:t>专栏7 应急物资保障能力建设工程</w:t>
            </w:r>
          </w:p>
        </w:tc>
      </w:tr>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CellMar>
            <w:top w:w="0" w:type="dxa"/>
            <w:left w:w="108" w:type="dxa"/>
            <w:bottom w:w="0" w:type="dxa"/>
            <w:right w:w="108" w:type="dxa"/>
          </w:tblCellMar>
        </w:tblPrEx>
        <w:tc>
          <w:tcPr>
            <w:tcW w:w="5000" w:type="pct"/>
            <w:vAlign w:val="center"/>
          </w:tcPr>
          <w:p>
            <w:pPr>
              <w:pStyle w:val="23"/>
              <w:spacing w:line="240" w:lineRule="auto"/>
              <w:ind w:left="0" w:leftChars="0" w:firstLine="0" w:firstLineChars="0"/>
              <w:rPr>
                <w:b/>
                <w:sz w:val="24"/>
                <w:szCs w:val="24"/>
              </w:rPr>
            </w:pPr>
            <w:r>
              <w:rPr>
                <w:b/>
                <w:sz w:val="24"/>
                <w:szCs w:val="24"/>
              </w:rPr>
              <w:t>应急物资储备仓库</w:t>
            </w:r>
          </w:p>
          <w:p>
            <w:pPr>
              <w:pStyle w:val="23"/>
              <w:spacing w:line="240" w:lineRule="auto"/>
              <w:ind w:left="0" w:leftChars="0" w:firstLine="0" w:firstLineChars="0"/>
              <w:rPr>
                <w:sz w:val="24"/>
                <w:szCs w:val="24"/>
              </w:rPr>
            </w:pPr>
            <w:r>
              <w:rPr>
                <w:sz w:val="24"/>
                <w:szCs w:val="24"/>
              </w:rPr>
              <w:t>建设内容：包括救灾物资储备库、救援物资储备库、综合保障物资储备库、防疫物资储备库及生产管理辅助用房等。</w:t>
            </w:r>
          </w:p>
          <w:p>
            <w:pPr>
              <w:pStyle w:val="23"/>
              <w:spacing w:line="240" w:lineRule="auto"/>
              <w:ind w:left="0" w:leftChars="0" w:firstLine="0" w:firstLineChars="0"/>
              <w:rPr>
                <w:b/>
                <w:sz w:val="24"/>
                <w:szCs w:val="24"/>
              </w:rPr>
            </w:pPr>
            <w:r>
              <w:rPr>
                <w:b/>
                <w:sz w:val="24"/>
                <w:szCs w:val="24"/>
              </w:rPr>
              <w:t>应急物资信息管理系统模块建设</w:t>
            </w:r>
          </w:p>
          <w:p>
            <w:pPr>
              <w:pStyle w:val="23"/>
              <w:spacing w:line="240" w:lineRule="auto"/>
              <w:ind w:left="0" w:leftChars="0" w:firstLine="0" w:firstLineChars="0"/>
              <w:rPr>
                <w:sz w:val="24"/>
                <w:szCs w:val="24"/>
              </w:rPr>
            </w:pPr>
            <w:r>
              <w:rPr>
                <w:sz w:val="24"/>
                <w:szCs w:val="24"/>
              </w:rPr>
              <w:t>建设内容：在合作区应急指挥平台内建设应急物资统一调拨系统，实现应急物资智能化统一储备、统一调度、统一支配。</w:t>
            </w:r>
          </w:p>
        </w:tc>
      </w:tr>
    </w:tbl>
    <w:p>
      <w:pPr>
        <w:ind w:firstLine="640"/>
        <w:rPr>
          <w:shd w:val="clear" w:color="auto" w:fill="FFFFFF"/>
        </w:rPr>
      </w:pPr>
      <w:r>
        <w:rPr>
          <w:shd w:val="clear" w:color="auto" w:fill="FFFFFF"/>
        </w:rPr>
        <w:t>推动应急物资社会化储备能力建设，鼓励支持以生产经营单位、学校、医院、家庭为单元储备灾害事故应急物品。</w:t>
      </w:r>
    </w:p>
    <w:p>
      <w:pPr>
        <w:ind w:firstLine="643"/>
        <w:rPr>
          <w:b/>
          <w:shd w:val="clear" w:color="auto" w:fill="FFFFFF"/>
        </w:rPr>
      </w:pPr>
      <w:r>
        <w:rPr>
          <w:b/>
          <w:shd w:val="clear" w:color="auto" w:fill="FFFFFF"/>
        </w:rPr>
        <w:t>2.提升应急通信保障能力</w:t>
      </w:r>
    </w:p>
    <w:p>
      <w:pPr>
        <w:ind w:firstLine="640"/>
        <w:rPr>
          <w:shd w:val="clear" w:color="auto" w:fill="FFFFFF"/>
        </w:rPr>
      </w:pPr>
      <w:r>
        <w:rPr>
          <w:shd w:val="clear" w:color="auto" w:fill="FFFFFF"/>
        </w:rPr>
        <w:t>强化应急通信基础网络建设，在智慧城市通信网络基础设施建设基础上，做好卫星、短波、现场自组网等非常规通信能力建设，依托深汕水务400M专网对讲机和卫星电话，配发相关设备至基层管理单位，配齐无人机、布控球等视频通信保障设备，保障即时应急对讲通信和极端天气应急通信能力，提升基层末端通信保障能力。</w:t>
      </w:r>
    </w:p>
    <w:p>
      <w:pPr>
        <w:ind w:firstLine="640"/>
        <w:rPr>
          <w:shd w:val="clear" w:color="auto" w:fill="FFFFFF"/>
        </w:rPr>
      </w:pPr>
      <w:r>
        <w:rPr>
          <w:shd w:val="clear" w:color="auto" w:fill="FFFFFF"/>
        </w:rPr>
        <w:t>加强通信保障队伍建设，依托优势通信运营商，</w:t>
      </w:r>
      <w:r>
        <w:rPr>
          <w:rFonts w:eastAsia="黑体"/>
          <w:shd w:val="clear" w:color="auto" w:fill="FFFFFF"/>
        </w:rPr>
        <w:t>建设专业化通信保障机动小分队</w:t>
      </w:r>
      <w:r>
        <w:rPr>
          <w:shd w:val="clear" w:color="auto" w:fill="FFFFFF"/>
        </w:rPr>
        <w:t>，确保专业技术人员不少于3人。</w:t>
      </w:r>
    </w:p>
    <w:p>
      <w:pPr>
        <w:ind w:firstLine="640"/>
        <w:rPr>
          <w:shd w:val="clear" w:color="auto" w:fill="FFFFFF"/>
        </w:rPr>
      </w:pPr>
      <w:r>
        <w:rPr>
          <w:shd w:val="clear" w:color="auto" w:fill="FFFFFF"/>
        </w:rPr>
        <w:t>强化应急通信装备应用，配置智能化、模块化、便携化通信终端，提高海上、森林、山岳等日常通信盲区和有限空间、地下空间、特殊事故现场等信号屏蔽严重区域的应急通信保障能力，强化救援现场应急通信保障。</w:t>
      </w:r>
    </w:p>
    <w:p>
      <w:pPr>
        <w:ind w:firstLine="643"/>
        <w:rPr>
          <w:b/>
          <w:shd w:val="clear" w:color="auto" w:fill="FFFFFF"/>
        </w:rPr>
      </w:pPr>
      <w:r>
        <w:rPr>
          <w:b/>
          <w:shd w:val="clear" w:color="auto" w:fill="FFFFFF"/>
        </w:rPr>
        <w:t>3.提升应急航空救援能力</w:t>
      </w:r>
    </w:p>
    <w:p>
      <w:pPr>
        <w:ind w:firstLine="640"/>
        <w:rPr>
          <w:shd w:val="clear" w:color="auto" w:fill="FFFFFF"/>
        </w:rPr>
      </w:pPr>
      <w:r>
        <w:rPr>
          <w:shd w:val="clear" w:color="auto" w:fill="FFFFFF"/>
        </w:rPr>
        <w:t>加强与周边应急航空救援力量联通，推动将深汕全域纳入深圳应急航空救援体系覆盖范围。</w:t>
      </w:r>
    </w:p>
    <w:p>
      <w:pPr>
        <w:ind w:firstLine="640"/>
        <w:rPr>
          <w:shd w:val="clear" w:color="auto" w:fill="FFFFFF"/>
        </w:rPr>
      </w:pPr>
      <w:r>
        <w:rPr>
          <w:rFonts w:eastAsia="黑体"/>
          <w:shd w:val="clear" w:color="auto" w:fill="FFFFFF"/>
        </w:rPr>
        <w:t>积极对接合作区航空服务体系基础设施建设</w:t>
      </w:r>
      <w:r>
        <w:rPr>
          <w:shd w:val="clear" w:color="auto" w:fill="FFFFFF"/>
        </w:rPr>
        <w:t>，拓展应急航空救援功能，建立空中救援启动、指挥、协调、调用机制，初步形成应急航空救援能力。</w:t>
      </w:r>
    </w:p>
    <w:p>
      <w:pPr>
        <w:ind w:firstLine="640"/>
        <w:rPr>
          <w:shd w:val="clear" w:color="auto" w:fill="FFFFFF"/>
        </w:rPr>
      </w:pPr>
      <w:r>
        <w:rPr>
          <w:shd w:val="clear" w:color="auto" w:fill="FFFFFF"/>
        </w:rPr>
        <w:t>合理规划布局陆域、水域直升机机降点、取水点及其配套设施建设，满足全域空中应急救援需求。</w:t>
      </w:r>
    </w:p>
    <w:p>
      <w:pPr>
        <w:pStyle w:val="4"/>
        <w:ind w:firstLine="640"/>
      </w:pPr>
      <w:bookmarkStart w:id="113" w:name="_Toc59651204"/>
      <w:bookmarkStart w:id="114" w:name="_Toc80221599"/>
      <w:r>
        <w:t>三、提升区域协同保障能力</w:t>
      </w:r>
      <w:bookmarkEnd w:id="113"/>
      <w:bookmarkEnd w:id="114"/>
    </w:p>
    <w:p>
      <w:pPr>
        <w:ind w:firstLine="643"/>
        <w:rPr>
          <w:b/>
          <w:shd w:val="clear" w:color="auto" w:fill="FFFFFF"/>
        </w:rPr>
      </w:pPr>
      <w:r>
        <w:rPr>
          <w:b/>
          <w:shd w:val="clear" w:color="auto" w:fill="FFFFFF"/>
        </w:rPr>
        <w:t>1.加快实现与深圳应急管理融合发展</w:t>
      </w:r>
    </w:p>
    <w:p>
      <w:pPr>
        <w:ind w:firstLine="640"/>
        <w:rPr>
          <w:shd w:val="clear" w:color="auto" w:fill="FFFFFF"/>
        </w:rPr>
      </w:pPr>
      <w:r>
        <w:rPr>
          <w:shd w:val="clear" w:color="auto" w:fill="FFFFFF"/>
        </w:rPr>
        <w:t>全面推进应急管理制度衔接，</w:t>
      </w:r>
      <w:r>
        <w:rPr>
          <w:rFonts w:eastAsia="黑体"/>
          <w:shd w:val="clear" w:color="auto" w:fill="FFFFFF"/>
        </w:rPr>
        <w:t>深度融合深圳安全发展战略和应急管理总体发展布局</w:t>
      </w:r>
      <w:r>
        <w:rPr>
          <w:shd w:val="clear" w:color="auto" w:fill="FFFFFF"/>
        </w:rPr>
        <w:t>，以深圳标准、深圳效率驱动合作区应急管理事业改革发展。</w:t>
      </w:r>
    </w:p>
    <w:p>
      <w:pPr>
        <w:ind w:firstLine="640"/>
        <w:rPr>
          <w:shd w:val="clear" w:color="auto" w:fill="FFFFFF"/>
        </w:rPr>
      </w:pPr>
      <w:r>
        <w:rPr>
          <w:shd w:val="clear" w:color="auto" w:fill="FFFFFF"/>
        </w:rPr>
        <w:t>建立与深圳市级应急资源的常态化协同保障机制，推动以对口支援、驻点协助、共建基地等形式，共建共享深圳优势应急资源。</w:t>
      </w:r>
    </w:p>
    <w:p>
      <w:pPr>
        <w:ind w:firstLine="640"/>
        <w:rPr>
          <w:shd w:val="clear" w:color="auto" w:fill="FFFFFF"/>
        </w:rPr>
      </w:pPr>
      <w:r>
        <w:rPr>
          <w:shd w:val="clear" w:color="auto" w:fill="FFFFFF"/>
        </w:rPr>
        <w:t>充分发挥“飞地”体制优势，积极争取应急管理体制机制、政策制度、先进装备创新试点，先行探索，打造新时代应急管理改革发展生动范例和创新典范。</w:t>
      </w:r>
    </w:p>
    <w:p>
      <w:pPr>
        <w:ind w:firstLine="643"/>
        <w:rPr>
          <w:b/>
          <w:shd w:val="clear" w:color="auto" w:fill="FFFFFF"/>
        </w:rPr>
      </w:pPr>
      <w:r>
        <w:rPr>
          <w:b/>
          <w:shd w:val="clear" w:color="auto" w:fill="FFFFFF"/>
        </w:rPr>
        <w:t>2.强化区域周边协同保障</w:t>
      </w:r>
    </w:p>
    <w:p>
      <w:pPr>
        <w:ind w:firstLine="640"/>
        <w:rPr>
          <w:shd w:val="clear" w:color="auto" w:fill="FFFFFF"/>
        </w:rPr>
      </w:pPr>
      <w:r>
        <w:rPr>
          <w:shd w:val="clear" w:color="auto" w:fill="FFFFFF"/>
        </w:rPr>
        <w:t>利用区位便利，积极参与粤港澳大湾区应急管理区域合作，主动对接深莞惠、汕潮揭等城市群应急合作机制，提高灾害事故协同防御应对能力。</w:t>
      </w:r>
    </w:p>
    <w:p>
      <w:pPr>
        <w:ind w:firstLine="640"/>
        <w:rPr>
          <w:shd w:val="clear" w:color="auto" w:fill="FFFFFF"/>
        </w:rPr>
      </w:pPr>
      <w:r>
        <w:rPr>
          <w:rFonts w:eastAsia="黑体"/>
          <w:shd w:val="clear" w:color="auto" w:fill="FFFFFF"/>
        </w:rPr>
        <w:t>建立完善与汕尾（海丰）、惠州（惠东）等周边区域应急协调联动机制</w:t>
      </w:r>
      <w:r>
        <w:rPr>
          <w:shd w:val="clear" w:color="auto" w:fill="FFFFFF"/>
        </w:rPr>
        <w:t>，建立健全应急通讯联络、事故灾害会商研判、事故灾害协同处置、应急救援资源共建共享、应急救援队伍联演联训等机制，提升区域协同救援能力。</w:t>
      </w:r>
    </w:p>
    <w:p>
      <w:pPr>
        <w:ind w:firstLine="640"/>
        <w:rPr>
          <w:shd w:val="clear" w:color="auto" w:fill="FFFFFF"/>
        </w:rPr>
      </w:pPr>
      <w:r>
        <w:rPr>
          <w:shd w:val="clear" w:color="auto" w:fill="FFFFFF"/>
        </w:rPr>
        <w:t>推动气象、林业、交通、海上、应急管理等重点行业领域部门建立跨区域联动机制，提升重点行业领域跨区域风险防控、应对处置能力。</w:t>
      </w:r>
    </w:p>
    <w:p>
      <w:pPr>
        <w:pStyle w:val="4"/>
        <w:ind w:firstLine="640"/>
      </w:pPr>
      <w:bookmarkStart w:id="115" w:name="_Toc80221600"/>
      <w:bookmarkStart w:id="116" w:name="_Toc59651205"/>
      <w:r>
        <w:t>四、提升基层基础保障能力</w:t>
      </w:r>
      <w:bookmarkEnd w:id="115"/>
      <w:bookmarkEnd w:id="116"/>
    </w:p>
    <w:p>
      <w:pPr>
        <w:ind w:firstLine="643"/>
        <w:rPr>
          <w:b/>
          <w:shd w:val="clear" w:color="auto" w:fill="FFFFFF"/>
        </w:rPr>
      </w:pPr>
      <w:r>
        <w:rPr>
          <w:b/>
          <w:shd w:val="clear" w:color="auto" w:fill="FFFFFF"/>
        </w:rPr>
        <w:t>1.加强城乡基础能力建设</w:t>
      </w:r>
    </w:p>
    <w:p>
      <w:pPr>
        <w:ind w:firstLine="640"/>
        <w:rPr>
          <w:shd w:val="clear" w:color="auto" w:fill="FFFFFF"/>
        </w:rPr>
      </w:pPr>
      <w:r>
        <w:rPr>
          <w:shd w:val="clear" w:color="auto" w:fill="FFFFFF"/>
        </w:rPr>
        <w:t>加强城乡基础设施防灾抗灾能力建设，提升城乡生命线工程、消防设施、交通、水利、通信、供水、供电、供气、广播电视关键基础设施灾害设防标准。</w:t>
      </w:r>
    </w:p>
    <w:p>
      <w:pPr>
        <w:ind w:firstLine="640"/>
        <w:rPr>
          <w:shd w:val="clear" w:color="auto" w:fill="FFFFFF"/>
        </w:rPr>
      </w:pPr>
      <w:r>
        <w:rPr>
          <w:shd w:val="clear" w:color="auto" w:fill="FFFFFF"/>
        </w:rPr>
        <w:t>强化社区应急能力建设。以防灾减灾救灾“十个有”为主要内容，开展行政村（社区）应急管理能力标准化建设，</w:t>
      </w:r>
      <w:r>
        <w:rPr>
          <w:rFonts w:eastAsia="黑体"/>
          <w:shd w:val="clear" w:color="auto" w:fill="FFFFFF"/>
        </w:rPr>
        <w:t>2023年实现行政村（社区）防灾减灾救灾“十个有”</w:t>
      </w:r>
      <w:r>
        <w:rPr>
          <w:rStyle w:val="48"/>
          <w:rFonts w:eastAsia="黑体"/>
          <w:shd w:val="clear" w:color="auto" w:fill="FFFFFF"/>
        </w:rPr>
        <w:footnoteReference w:id="10"/>
      </w:r>
      <w:r>
        <w:rPr>
          <w:rFonts w:eastAsia="黑体"/>
          <w:shd w:val="clear" w:color="auto" w:fill="FFFFFF"/>
        </w:rPr>
        <w:t>全覆盖。</w:t>
      </w:r>
      <w:r>
        <w:rPr>
          <w:shd w:val="clear" w:color="auto" w:fill="FFFFFF"/>
        </w:rPr>
        <w:t>推动社区开展灾害风险识别与评估，编制社区灾害风险图，加强社区灾害应急预案编制与演练，加强社区救灾物资储备和志愿者队伍建设。</w:t>
      </w:r>
    </w:p>
    <w:p>
      <w:pPr>
        <w:ind w:firstLine="640"/>
        <w:rPr>
          <w:rFonts w:eastAsia="黑体"/>
          <w:shd w:val="clear" w:color="auto" w:fill="FFFFFF"/>
        </w:rPr>
      </w:pPr>
      <w:r>
        <w:rPr>
          <w:shd w:val="clear" w:color="auto" w:fill="FFFFFF"/>
        </w:rPr>
        <w:t>积极开展“全国综合减灾示范社区”创建，</w:t>
      </w:r>
      <w:r>
        <w:rPr>
          <w:rFonts w:eastAsia="黑体"/>
          <w:shd w:val="clear" w:color="auto" w:fill="FFFFFF"/>
        </w:rPr>
        <w:t>争取2025年创建成功5个全国综合减灾示范社区</w:t>
      </w:r>
      <w:r>
        <w:rPr>
          <w:shd w:val="clear" w:color="auto" w:fill="FFFFFF"/>
        </w:rPr>
        <w:t>，其他行政村（社区）基本达到深圳市综合减灾示范社区标准。</w:t>
      </w:r>
    </w:p>
    <w:p>
      <w:pPr>
        <w:ind w:firstLine="640"/>
        <w:rPr>
          <w:shd w:val="clear" w:color="auto" w:fill="FFFFFF"/>
        </w:rPr>
      </w:pPr>
      <w:r>
        <w:rPr>
          <w:shd w:val="clear" w:color="auto" w:fill="FFFFFF"/>
        </w:rPr>
        <w:t>全面推广《深圳市家庭应急物资储备建议清单》，鼓励和支持以家庭为单元灾害应急物品储备，提升家庭和邻里自救互救能力。</w:t>
      </w:r>
    </w:p>
    <w:p>
      <w:pPr>
        <w:ind w:firstLine="643"/>
        <w:rPr>
          <w:b/>
          <w:shd w:val="clear" w:color="auto" w:fill="FFFFFF"/>
        </w:rPr>
      </w:pPr>
      <w:r>
        <w:rPr>
          <w:b/>
          <w:shd w:val="clear" w:color="auto" w:fill="FFFFFF"/>
        </w:rPr>
        <w:t>2.落实企业安全生产全面责任</w:t>
      </w:r>
    </w:p>
    <w:p>
      <w:pPr>
        <w:ind w:firstLine="640"/>
        <w:rPr>
          <w:shd w:val="clear" w:color="auto" w:fill="FFFFFF"/>
        </w:rPr>
      </w:pPr>
      <w:r>
        <w:rPr>
          <w:rFonts w:eastAsia="黑体"/>
          <w:shd w:val="clear" w:color="auto" w:fill="FFFFFF"/>
        </w:rPr>
        <w:t>试点建立企业安全生产全面责任制度</w:t>
      </w:r>
      <w:r>
        <w:rPr>
          <w:shd w:val="clear" w:color="auto" w:fill="FFFFFF"/>
        </w:rPr>
        <w:t>，落实</w:t>
      </w:r>
      <w:r>
        <w:rPr>
          <w:rFonts w:eastAsia="黑体"/>
          <w:shd w:val="clear" w:color="auto" w:fill="FFFFFF"/>
        </w:rPr>
        <w:t>全员安全生产责任制</w:t>
      </w:r>
      <w:r>
        <w:rPr>
          <w:shd w:val="clear" w:color="auto" w:fill="FFFFFF"/>
        </w:rPr>
        <w:t>，督促企业采取一切合理可行措施确保安全生产，推动企业按规定提取和使用安全生产经费，推动企业建立自我约束、持续改进的内生机制。</w:t>
      </w:r>
    </w:p>
    <w:p>
      <w:pPr>
        <w:ind w:firstLine="640"/>
        <w:rPr>
          <w:shd w:val="clear" w:color="auto" w:fill="FFFFFF"/>
        </w:rPr>
      </w:pPr>
      <w:r>
        <w:rPr>
          <w:shd w:val="clear" w:color="auto" w:fill="FFFFFF"/>
        </w:rPr>
        <w:t>大力推行</w:t>
      </w:r>
      <w:r>
        <w:rPr>
          <w:szCs w:val="32"/>
        </w:rPr>
        <w:t>法定代表人、实际控制人、主要负责人</w:t>
      </w:r>
      <w:r>
        <w:rPr>
          <w:rFonts w:eastAsia="黑体"/>
          <w:shd w:val="clear" w:color="auto" w:fill="FFFFFF"/>
        </w:rPr>
        <w:t>安全生产履职抽考机制</w:t>
      </w:r>
      <w:r>
        <w:rPr>
          <w:shd w:val="clear" w:color="auto" w:fill="FFFFFF"/>
        </w:rPr>
        <w:t>，安全生产关键时间节点必须在岗在位，全面落实企业“关键少数”安全管理责任。</w:t>
      </w:r>
    </w:p>
    <w:p>
      <w:pPr>
        <w:ind w:firstLine="640"/>
        <w:rPr>
          <w:rFonts w:eastAsia="黑体"/>
          <w:shd w:val="clear" w:color="auto" w:fill="FFFFFF"/>
        </w:rPr>
      </w:pPr>
      <w:r>
        <w:rPr>
          <w:shd w:val="clear" w:color="auto" w:fill="FFFFFF"/>
        </w:rPr>
        <w:t>提高企业安全管理能力，危险化学品生产、经营、储存单位及金属冶炼企业必须配有注册安全工程师从事安全生产管理工作。推动重点行业领域企业建立安全生产技术和管理团队，设立</w:t>
      </w:r>
      <w:r>
        <w:rPr>
          <w:rFonts w:eastAsia="黑体"/>
          <w:shd w:val="clear" w:color="auto" w:fill="FFFFFF"/>
        </w:rPr>
        <w:t>安全总监制度。</w:t>
      </w:r>
    </w:p>
    <w:p>
      <w:pPr>
        <w:ind w:firstLine="640"/>
        <w:rPr>
          <w:shd w:val="clear" w:color="auto" w:fill="FFFFFF"/>
        </w:rPr>
      </w:pPr>
      <w:r>
        <w:rPr>
          <w:shd w:val="clear" w:color="auto" w:fill="FFFFFF"/>
        </w:rPr>
        <w:t>全面落实企业安全生产和消防安全主体责任公开承诺及事故企业公开道歉制度，主动接受社会监督。企业主要负责人“安全生产承诺制”落实率100%。</w:t>
      </w:r>
    </w:p>
    <w:p>
      <w:pPr>
        <w:ind w:firstLine="640"/>
        <w:rPr>
          <w:shd w:val="clear" w:color="auto" w:fill="FFFFFF"/>
        </w:rPr>
      </w:pPr>
      <w:r>
        <w:rPr>
          <w:shd w:val="clear" w:color="auto" w:fill="FFFFFF"/>
        </w:rPr>
        <w:t>通过示范带动、标杆引领，在建设施工、道路交通、危险化学品、消防安全、工矿商贸、特种设备等重点行业领域全面推进企业安全标准化、“双重预防体系”</w:t>
      </w:r>
      <w:r>
        <w:rPr>
          <w:rStyle w:val="48"/>
          <w:shd w:val="clear" w:color="auto" w:fill="FFFFFF"/>
        </w:rPr>
        <w:footnoteReference w:id="11"/>
      </w:r>
      <w:r>
        <w:rPr>
          <w:shd w:val="clear" w:color="auto" w:fill="FFFFFF"/>
        </w:rPr>
        <w:t>建设。</w:t>
      </w:r>
    </w:p>
    <w:p>
      <w:pPr>
        <w:ind w:firstLine="640"/>
        <w:rPr>
          <w:shd w:val="clear" w:color="auto" w:fill="FFFFFF"/>
        </w:rPr>
      </w:pPr>
      <w:r>
        <w:rPr>
          <w:shd w:val="clear" w:color="auto" w:fill="FFFFFF"/>
        </w:rPr>
        <w:t>加强企业安全文化建设，加强全员覆盖的企业安全教育培训制度建设，督促企业完善三级安全教育培训制度。</w:t>
      </w:r>
    </w:p>
    <w:p>
      <w:pPr>
        <w:ind w:firstLine="640"/>
        <w:rPr>
          <w:shd w:val="clear" w:color="auto" w:fill="FFFFFF"/>
        </w:rPr>
      </w:pPr>
      <w:r>
        <w:rPr>
          <w:shd w:val="clear" w:color="auto" w:fill="FFFFFF"/>
        </w:rPr>
        <w:t>推广</w:t>
      </w:r>
      <w:r>
        <w:rPr>
          <w:rFonts w:eastAsia="黑体"/>
          <w:shd w:val="clear" w:color="auto" w:fill="FFFFFF"/>
        </w:rPr>
        <w:t>企业“一张网”信息化管理系统</w:t>
      </w:r>
      <w:r>
        <w:rPr>
          <w:shd w:val="clear" w:color="auto" w:fill="FFFFFF"/>
        </w:rPr>
        <w:t>，做到自查自改自报，实现动态分析、全过程记录和评价，防止漏管失控。</w:t>
      </w:r>
    </w:p>
    <w:p>
      <w:pPr>
        <w:pStyle w:val="3"/>
      </w:pPr>
      <w:bookmarkStart w:id="117" w:name="_Toc59651206"/>
      <w:bookmarkStart w:id="118" w:name="_Toc80221601"/>
      <w:r>
        <w:t>第六节 健全社会共治体系，提升群防群治能力</w:t>
      </w:r>
      <w:bookmarkEnd w:id="117"/>
      <w:bookmarkEnd w:id="118"/>
    </w:p>
    <w:p>
      <w:pPr>
        <w:pStyle w:val="4"/>
        <w:ind w:firstLine="640"/>
      </w:pPr>
      <w:bookmarkStart w:id="119" w:name="_Toc59651207"/>
      <w:bookmarkStart w:id="120" w:name="_Toc80221602"/>
      <w:r>
        <w:t>一、推动社会协同治理</w:t>
      </w:r>
      <w:bookmarkEnd w:id="119"/>
      <w:bookmarkEnd w:id="120"/>
    </w:p>
    <w:p>
      <w:pPr>
        <w:ind w:firstLine="643"/>
        <w:rPr>
          <w:b/>
          <w:shd w:val="clear" w:color="auto" w:fill="FFFFFF"/>
        </w:rPr>
      </w:pPr>
      <w:r>
        <w:rPr>
          <w:b/>
          <w:shd w:val="clear" w:color="auto" w:fill="FFFFFF"/>
        </w:rPr>
        <w:t>1.健全社会化服务机制</w:t>
      </w:r>
    </w:p>
    <w:p>
      <w:pPr>
        <w:ind w:firstLine="640"/>
        <w:rPr>
          <w:shd w:val="clear" w:color="auto" w:fill="FFFFFF"/>
        </w:rPr>
      </w:pPr>
      <w:r>
        <w:rPr>
          <w:shd w:val="clear" w:color="auto" w:fill="FFFFFF"/>
        </w:rPr>
        <w:t>推动建立社会化服务体系，鼓励企业采取订单式购买服务、安全生产协作互助、行业协会（商会）自治、保险（金融）业参与管理、政府购买服务等社会化服务模式，全面开展应急管理社会化服务。</w:t>
      </w:r>
    </w:p>
    <w:p>
      <w:pPr>
        <w:ind w:firstLine="640"/>
        <w:rPr>
          <w:shd w:val="clear" w:color="auto" w:fill="FFFFFF"/>
        </w:rPr>
      </w:pPr>
      <w:r>
        <w:rPr>
          <w:shd w:val="clear" w:color="auto" w:fill="FFFFFF"/>
        </w:rPr>
        <w:t>完善政府购买应急管理服务制度，</w:t>
      </w:r>
      <w:r>
        <w:rPr>
          <w:rFonts w:eastAsia="黑体"/>
          <w:shd w:val="clear" w:color="auto" w:fill="FFFFFF"/>
        </w:rPr>
        <w:t>制定政府购买应急管理服务指导性目录</w:t>
      </w:r>
      <w:r>
        <w:rPr>
          <w:shd w:val="clear" w:color="auto" w:fill="FFFFFF"/>
        </w:rPr>
        <w:t>，建立统一、规范的购买服务流程及标准，引导并推动社会主体参与提供应急管理技术服务。</w:t>
      </w:r>
    </w:p>
    <w:p>
      <w:pPr>
        <w:ind w:firstLine="640"/>
        <w:rPr>
          <w:shd w:val="clear" w:color="auto" w:fill="FFFFFF"/>
        </w:rPr>
      </w:pPr>
      <w:r>
        <w:rPr>
          <w:shd w:val="clear" w:color="auto" w:fill="FFFFFF"/>
        </w:rPr>
        <w:t>严格社会化服务机构管理，从严约束安全中介机构执业行为，探索建立第三方机构及专业技术人员服务质量星级评价机制，统一向社会公开应急管理中介机构名单。</w:t>
      </w:r>
    </w:p>
    <w:p>
      <w:pPr>
        <w:ind w:firstLine="643"/>
        <w:rPr>
          <w:b/>
          <w:shd w:val="clear" w:color="auto" w:fill="FFFFFF"/>
        </w:rPr>
      </w:pPr>
      <w:r>
        <w:rPr>
          <w:b/>
          <w:shd w:val="clear" w:color="auto" w:fill="FFFFFF"/>
        </w:rPr>
        <w:t>2.建立保险分担机制</w:t>
      </w:r>
    </w:p>
    <w:p>
      <w:pPr>
        <w:ind w:firstLine="640"/>
        <w:rPr>
          <w:shd w:val="clear" w:color="auto" w:fill="FFFFFF"/>
        </w:rPr>
      </w:pPr>
      <w:r>
        <w:rPr>
          <w:shd w:val="clear" w:color="auto" w:fill="FFFFFF"/>
        </w:rPr>
        <w:t>积极推行安全生产责任保险，在危险化学品、烟花爆竹、交通运输、建筑施工、民用爆炸物品、金属冶炼、渔业生产等高危行业领域全面投保安全生产责任保险，</w:t>
      </w:r>
      <w:r>
        <w:rPr>
          <w:rFonts w:eastAsia="黑体"/>
          <w:shd w:val="clear" w:color="auto" w:fill="FFFFFF"/>
        </w:rPr>
        <w:t>到2025年，实现高危行业领域安全生产责任保险全覆盖</w:t>
      </w:r>
      <w:r>
        <w:rPr>
          <w:shd w:val="clear" w:color="auto" w:fill="FFFFFF"/>
        </w:rPr>
        <w:t>。鼓励其他行业领域生产经营单位投保安全生产责任保险，切实发挥保险机构参与风险评估管控和事故预防的作用。推广安责险信息化管理平台，对所有承保安责险的保险机构开展预防技术服务情况实现在线监测，建立第三方评估公示机制。</w:t>
      </w:r>
    </w:p>
    <w:p>
      <w:pPr>
        <w:ind w:firstLine="640"/>
        <w:rPr>
          <w:shd w:val="clear" w:color="auto" w:fill="FFFFFF"/>
        </w:rPr>
      </w:pPr>
      <w:r>
        <w:rPr>
          <w:shd w:val="clear" w:color="auto" w:fill="FFFFFF"/>
        </w:rPr>
        <w:t>对接深圳巨灾保险制度，</w:t>
      </w:r>
      <w:r>
        <w:rPr>
          <w:rFonts w:eastAsia="黑体"/>
          <w:shd w:val="clear" w:color="auto" w:fill="FFFFFF"/>
        </w:rPr>
        <w:t>构建财政支持引导下的多层次巨灾保险机制</w:t>
      </w:r>
      <w:r>
        <w:rPr>
          <w:shd w:val="clear" w:color="auto" w:fill="FFFFFF"/>
        </w:rPr>
        <w:t>。设立巨灾基金，吸收企业、个人等社会捐赠资金，形成一个全社会共同参与的应对巨灾风险的公共平台。</w:t>
      </w:r>
    </w:p>
    <w:p>
      <w:pPr>
        <w:ind w:firstLine="640"/>
        <w:rPr>
          <w:shd w:val="clear" w:color="auto" w:fill="FFFFFF"/>
        </w:rPr>
      </w:pPr>
      <w:r>
        <w:rPr>
          <w:shd w:val="clear" w:color="auto" w:fill="FFFFFF"/>
        </w:rPr>
        <w:t>积极推行农业保险和农村住房保险等惠民保险政策，健全政府财政补贴、农户自愿参加、保费合理分担的涉农保险运作机制。</w:t>
      </w:r>
    </w:p>
    <w:p>
      <w:pPr>
        <w:ind w:firstLine="643"/>
        <w:rPr>
          <w:b/>
          <w:shd w:val="clear" w:color="auto" w:fill="FFFFFF"/>
        </w:rPr>
      </w:pPr>
      <w:r>
        <w:rPr>
          <w:b/>
          <w:shd w:val="clear" w:color="auto" w:fill="FFFFFF"/>
        </w:rPr>
        <w:t>3.建立信用监管体系</w:t>
      </w:r>
    </w:p>
    <w:p>
      <w:pPr>
        <w:ind w:firstLine="640"/>
        <w:rPr>
          <w:shd w:val="clear" w:color="auto" w:fill="FFFFFF"/>
        </w:rPr>
      </w:pPr>
      <w:r>
        <w:rPr>
          <w:rFonts w:eastAsia="黑体"/>
          <w:shd w:val="clear" w:color="auto" w:fill="FFFFFF"/>
        </w:rPr>
        <w:t>建立企业安全生产失信联合惩戒机制</w:t>
      </w:r>
      <w:r>
        <w:rPr>
          <w:shd w:val="clear" w:color="auto" w:fill="FFFFFF"/>
        </w:rPr>
        <w:t>，将企业安全生产信用信息纳入统一、权威、可查询的市场主体信用记录平台，强化跨行业、跨领域、跨部门失信联合惩戒，并定期发布失信联合惩戒信息。</w:t>
      </w:r>
    </w:p>
    <w:p>
      <w:pPr>
        <w:ind w:firstLine="640"/>
        <w:rPr>
          <w:shd w:val="clear" w:color="auto" w:fill="FFFFFF"/>
        </w:rPr>
      </w:pPr>
      <w:r>
        <w:rPr>
          <w:shd w:val="clear" w:color="auto" w:fill="FFFFFF"/>
        </w:rPr>
        <w:t>大力推进信用分级分类监管，探索建立安全生产信用等级与行业准入、项目审批、获得信贷等挂钩制度。创新推行税收优惠、招投标评标信用特别加分等安全生产“红名单”正向激励机制。</w:t>
      </w:r>
    </w:p>
    <w:p>
      <w:pPr>
        <w:ind w:firstLine="640"/>
        <w:rPr>
          <w:shd w:val="clear" w:color="auto" w:fill="FFFFFF"/>
        </w:rPr>
      </w:pPr>
      <w:r>
        <w:rPr>
          <w:shd w:val="clear" w:color="auto" w:fill="FFFFFF"/>
        </w:rPr>
        <w:t>推行“自我声明+信用管理”模式，鼓励企业开展安全信用评级和第三方安全评估，将企业承诺履行情况纳入信用记录。</w:t>
      </w:r>
    </w:p>
    <w:p>
      <w:pPr>
        <w:pStyle w:val="4"/>
        <w:ind w:firstLine="640"/>
      </w:pPr>
      <w:bookmarkStart w:id="121" w:name="_Toc59651208"/>
      <w:bookmarkStart w:id="122" w:name="_Toc80221603"/>
      <w:r>
        <w:t>二、强化社会动员监督</w:t>
      </w:r>
      <w:bookmarkEnd w:id="121"/>
      <w:bookmarkEnd w:id="122"/>
    </w:p>
    <w:p>
      <w:pPr>
        <w:ind w:firstLine="643"/>
        <w:rPr>
          <w:b/>
          <w:shd w:val="clear" w:color="auto" w:fill="FFFFFF"/>
        </w:rPr>
      </w:pPr>
      <w:r>
        <w:rPr>
          <w:b/>
          <w:shd w:val="clear" w:color="auto" w:fill="FFFFFF"/>
        </w:rPr>
        <w:t>1.建立社会动员机制</w:t>
      </w:r>
    </w:p>
    <w:p>
      <w:pPr>
        <w:ind w:firstLine="640"/>
        <w:rPr>
          <w:shd w:val="clear" w:color="auto" w:fill="FFFFFF"/>
        </w:rPr>
      </w:pPr>
      <w:r>
        <w:rPr>
          <w:shd w:val="clear" w:color="auto" w:fill="FFFFFF"/>
        </w:rPr>
        <w:t>鼓励社会公众积极参与和支持应急管理工作，支持社会机构和个人通过设立基金、救助捐赠等形式，参与应急管理公益活动。完善救灾捐赠组织协调、信息公开、需求导向、社会监督等工作机制。</w:t>
      </w:r>
    </w:p>
    <w:p>
      <w:pPr>
        <w:ind w:firstLine="640"/>
        <w:rPr>
          <w:shd w:val="clear" w:color="auto" w:fill="FFFFFF"/>
        </w:rPr>
      </w:pPr>
      <w:r>
        <w:rPr>
          <w:shd w:val="clear" w:color="auto" w:fill="FFFFFF"/>
        </w:rPr>
        <w:t>加强乡村灾害组织动员能力，强化抗旱服务队、森林护林员、抗洪抢险队等乡村基层应急力量建设。</w:t>
      </w:r>
    </w:p>
    <w:p>
      <w:pPr>
        <w:ind w:firstLine="640"/>
        <w:rPr>
          <w:shd w:val="clear" w:color="auto" w:fill="FFFFFF"/>
        </w:rPr>
      </w:pPr>
      <w:r>
        <w:rPr>
          <w:shd w:val="clear" w:color="auto" w:fill="FFFFFF"/>
        </w:rPr>
        <w:t>建立健全应急响应社会动员机制，发挥社会公众在信息报告和辅助救援等方面的作用。</w:t>
      </w:r>
    </w:p>
    <w:p>
      <w:pPr>
        <w:ind w:firstLine="643"/>
        <w:rPr>
          <w:b/>
          <w:shd w:val="clear" w:color="auto" w:fill="FFFFFF"/>
        </w:rPr>
      </w:pPr>
      <w:r>
        <w:rPr>
          <w:b/>
          <w:shd w:val="clear" w:color="auto" w:fill="FFFFFF"/>
        </w:rPr>
        <w:t>2.完善社会监督机制</w:t>
      </w:r>
    </w:p>
    <w:p>
      <w:pPr>
        <w:ind w:firstLine="640"/>
        <w:rPr>
          <w:shd w:val="clear" w:color="auto" w:fill="FFFFFF"/>
        </w:rPr>
      </w:pPr>
      <w:r>
        <w:rPr>
          <w:shd w:val="clear" w:color="auto" w:fill="FFFFFF"/>
        </w:rPr>
        <w:t>建立完善人大、政协对应急管理工作监督机制，充分发挥人大的监督促进作用和政协的民主监督作用。充分发挥工会、妇联、共青团等群团组织监督保障作用，依法维护职工群众的安全权益。</w:t>
      </w:r>
    </w:p>
    <w:p>
      <w:pPr>
        <w:ind w:firstLine="640"/>
        <w:rPr>
          <w:shd w:val="clear" w:color="auto" w:fill="FFFFFF"/>
        </w:rPr>
      </w:pPr>
      <w:r>
        <w:rPr>
          <w:shd w:val="clear" w:color="auto" w:fill="FFFFFF"/>
        </w:rPr>
        <w:t>建立完善“12350”、“吹哨人”、内部举报人等制度，建立事故隐患有奖举报制度，形成“12345”“12350”“96119”热线、“粤省事”小程序、微信公众号线上举报等“多个平台受理、一个后台闭环管理”的工作机制。安全生产举报奖励措施落实率达到100%。</w:t>
      </w:r>
    </w:p>
    <w:p>
      <w:pPr>
        <w:ind w:firstLine="640"/>
        <w:rPr>
          <w:shd w:val="clear" w:color="auto" w:fill="FFFFFF"/>
        </w:rPr>
      </w:pPr>
      <w:r>
        <w:rPr>
          <w:shd w:val="clear" w:color="auto" w:fill="FFFFFF"/>
        </w:rPr>
        <w:t>强化舆论监督，加大曝光重大事故隐患和安全生产违法典型案例力度。</w:t>
      </w:r>
    </w:p>
    <w:p>
      <w:pPr>
        <w:ind w:firstLine="640"/>
        <w:rPr>
          <w:shd w:val="clear" w:color="auto" w:fill="FFFFFF"/>
        </w:rPr>
      </w:pPr>
    </w:p>
    <w:p>
      <w:pPr>
        <w:pStyle w:val="4"/>
        <w:ind w:firstLine="640"/>
      </w:pPr>
      <w:bookmarkStart w:id="123" w:name="_Toc59651209"/>
      <w:bookmarkStart w:id="124" w:name="_Toc80221604"/>
      <w:r>
        <w:t>三、加强安全文化建设</w:t>
      </w:r>
      <w:bookmarkEnd w:id="123"/>
      <w:bookmarkEnd w:id="124"/>
    </w:p>
    <w:p>
      <w:pPr>
        <w:ind w:firstLine="643"/>
        <w:rPr>
          <w:b/>
          <w:shd w:val="clear" w:color="auto" w:fill="FFFFFF"/>
        </w:rPr>
      </w:pPr>
      <w:r>
        <w:rPr>
          <w:b/>
          <w:shd w:val="clear" w:color="auto" w:fill="FFFFFF"/>
        </w:rPr>
        <w:t>1.强化新闻宣传工作</w:t>
      </w:r>
    </w:p>
    <w:p>
      <w:pPr>
        <w:ind w:firstLine="640"/>
        <w:rPr>
          <w:shd w:val="clear" w:color="auto" w:fill="FFFFFF"/>
        </w:rPr>
      </w:pPr>
      <w:r>
        <w:rPr>
          <w:shd w:val="clear" w:color="auto" w:fill="FFFFFF"/>
        </w:rPr>
        <w:t>加强应急管理宣传员、舆情员、新闻发言人等新闻宣传队伍建设，提升灾害事故信息报送、新闻宣传和突发事件舆论引导能力。健全舆情信息发布机制，及时回应社会关切。</w:t>
      </w:r>
    </w:p>
    <w:p>
      <w:pPr>
        <w:ind w:firstLine="640"/>
        <w:rPr>
          <w:shd w:val="clear" w:color="auto" w:fill="FFFFFF"/>
        </w:rPr>
      </w:pPr>
      <w:r>
        <w:rPr>
          <w:shd w:val="clear" w:color="auto" w:fill="FFFFFF"/>
        </w:rPr>
        <w:t>深入开展“安全生产月”“5·12防灾减灾日”“119全国消防日”“12·2全国交通安全日”等公共安全主题活动，推动安全生产、应急避险和职业健康知识进企业、进学校、进乡村、进家庭、进单位活动。</w:t>
      </w:r>
    </w:p>
    <w:p>
      <w:pPr>
        <w:ind w:firstLine="640"/>
        <w:rPr>
          <w:shd w:val="clear" w:color="auto" w:fill="FFFFFF"/>
        </w:rPr>
      </w:pPr>
      <w:r>
        <w:rPr>
          <w:shd w:val="clear" w:color="auto" w:fill="FFFFFF"/>
        </w:rPr>
        <w:t>完善应急（安全）综合宣传教育网络，</w:t>
      </w:r>
      <w:r>
        <w:rPr>
          <w:rFonts w:eastAsia="黑体"/>
          <w:shd w:val="clear" w:color="auto" w:fill="FFFFFF"/>
        </w:rPr>
        <w:t>实施合作区应急（安全）宣传体验馆建设工程</w:t>
      </w:r>
      <w:r>
        <w:rPr>
          <w:shd w:val="clear" w:color="auto" w:fill="FFFFFF"/>
        </w:rPr>
        <w:t>，建设各镇应急（安全）宣传室、农村应急（安全）宣传点。充分利用公共场所设立的电子屏幕、智能音箱、网络、手机短信、媒体等渠道，全方位、多角度地做好安全宣传工作，多方面普及防灾减灾救灾信息、知识和技能，增强人民群众的自我保护意识。</w:t>
      </w:r>
    </w:p>
    <w:tbl>
      <w:tblPr>
        <w:tblStyle w:val="28"/>
        <w:tblW w:w="5000" w:type="pct"/>
        <w:tblInd w:w="0" w:type="dxa"/>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Layout w:type="autofit"/>
        <w:tblCellMar>
          <w:top w:w="0" w:type="dxa"/>
          <w:left w:w="108" w:type="dxa"/>
          <w:bottom w:w="0" w:type="dxa"/>
          <w:right w:w="108" w:type="dxa"/>
        </w:tblCellMar>
      </w:tblPr>
      <w:tblGrid>
        <w:gridCol w:w="8523"/>
      </w:tblGrid>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CellMar>
            <w:top w:w="0" w:type="dxa"/>
            <w:left w:w="108" w:type="dxa"/>
            <w:bottom w:w="0" w:type="dxa"/>
            <w:right w:w="108" w:type="dxa"/>
          </w:tblCellMar>
        </w:tblPrEx>
        <w:trPr>
          <w:trHeight w:val="60" w:hRule="atLeast"/>
        </w:trPr>
        <w:tc>
          <w:tcPr>
            <w:tcW w:w="5000" w:type="pct"/>
            <w:vAlign w:val="center"/>
          </w:tcPr>
          <w:p>
            <w:pPr>
              <w:pStyle w:val="23"/>
              <w:spacing w:line="240" w:lineRule="auto"/>
              <w:ind w:left="0" w:leftChars="0" w:firstLine="0" w:firstLineChars="0"/>
              <w:jc w:val="center"/>
              <w:rPr>
                <w:sz w:val="24"/>
                <w:szCs w:val="24"/>
              </w:rPr>
            </w:pPr>
            <w:r>
              <w:rPr>
                <w:b/>
                <w:sz w:val="24"/>
                <w:szCs w:val="24"/>
              </w:rPr>
              <w:t>专栏8 应急（安全）宣传体验馆建设工程</w:t>
            </w:r>
          </w:p>
        </w:tc>
      </w:tr>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PrEx>
        <w:tc>
          <w:tcPr>
            <w:tcW w:w="5000" w:type="pct"/>
            <w:vAlign w:val="center"/>
          </w:tcPr>
          <w:p>
            <w:pPr>
              <w:pStyle w:val="23"/>
              <w:spacing w:line="240" w:lineRule="auto"/>
              <w:ind w:left="0" w:leftChars="0" w:firstLine="0" w:firstLineChars="0"/>
              <w:rPr>
                <w:sz w:val="24"/>
                <w:szCs w:val="24"/>
              </w:rPr>
            </w:pPr>
            <w:r>
              <w:rPr>
                <w:b/>
                <w:sz w:val="24"/>
                <w:szCs w:val="24"/>
              </w:rPr>
              <w:t>功能模块：</w:t>
            </w:r>
            <w:r>
              <w:rPr>
                <w:sz w:val="24"/>
                <w:szCs w:val="24"/>
              </w:rPr>
              <w:t>由景观休闲庭院、地震避险、消防安全、自然灾害避险以及互动体验馆主题展区支撑。</w:t>
            </w:r>
          </w:p>
          <w:p>
            <w:pPr>
              <w:pStyle w:val="23"/>
              <w:spacing w:line="240" w:lineRule="auto"/>
              <w:ind w:left="0" w:leftChars="0" w:firstLine="0" w:firstLineChars="0"/>
              <w:rPr>
                <w:sz w:val="24"/>
                <w:szCs w:val="24"/>
              </w:rPr>
            </w:pPr>
            <w:r>
              <w:rPr>
                <w:b/>
                <w:sz w:val="24"/>
                <w:szCs w:val="24"/>
              </w:rPr>
              <w:t>建设内容</w:t>
            </w:r>
            <w:r>
              <w:rPr>
                <w:sz w:val="24"/>
                <w:szCs w:val="24"/>
              </w:rPr>
              <w:t>：防灾减灾科普示范学校、地震紧急避险场所、防灾减灾主题公园、消防逃生体验馆。</w:t>
            </w:r>
          </w:p>
        </w:tc>
      </w:tr>
    </w:tbl>
    <w:p>
      <w:pPr>
        <w:ind w:firstLine="643"/>
        <w:rPr>
          <w:b/>
          <w:shd w:val="clear" w:color="auto" w:fill="FFFFFF"/>
        </w:rPr>
      </w:pPr>
      <w:r>
        <w:rPr>
          <w:b/>
          <w:shd w:val="clear" w:color="auto" w:fill="FFFFFF"/>
        </w:rPr>
        <w:t>2.深化全员安全培训</w:t>
      </w:r>
    </w:p>
    <w:p>
      <w:pPr>
        <w:ind w:firstLine="640"/>
        <w:rPr>
          <w:shd w:val="clear" w:color="auto" w:fill="FFFFFF"/>
        </w:rPr>
      </w:pPr>
      <w:r>
        <w:rPr>
          <w:shd w:val="clear" w:color="auto" w:fill="FFFFFF"/>
        </w:rPr>
        <w:t>实施全民公益安全教育计划，将安全教育纳入国民教育、职业教育、农民工技能教育、领导干部培训内容。</w:t>
      </w:r>
    </w:p>
    <w:p>
      <w:pPr>
        <w:ind w:firstLine="640"/>
        <w:rPr>
          <w:shd w:val="clear" w:color="auto" w:fill="FFFFFF"/>
        </w:rPr>
      </w:pPr>
      <w:r>
        <w:rPr>
          <w:shd w:val="clear" w:color="auto" w:fill="FFFFFF"/>
        </w:rPr>
        <w:t>创新教育培训方式，运用“互联网+”推行线上教育培训，依托“学习强安”平台为全体市民提供个性化需求、终身可追溯的教育培训记录服务。</w:t>
      </w:r>
    </w:p>
    <w:p>
      <w:pPr>
        <w:ind w:firstLine="640"/>
        <w:rPr>
          <w:shd w:val="clear" w:color="auto" w:fill="FFFFFF"/>
        </w:rPr>
      </w:pPr>
      <w:r>
        <w:rPr>
          <w:shd w:val="clear" w:color="auto" w:fill="FFFFFF"/>
        </w:rPr>
        <w:t>开展市民普惠性安全教育，</w:t>
      </w:r>
      <w:r>
        <w:rPr>
          <w:rFonts w:eastAsia="黑体"/>
          <w:shd w:val="clear" w:color="auto" w:fill="FFFFFF"/>
        </w:rPr>
        <w:t>设立安全公益课堂，</w:t>
      </w:r>
      <w:r>
        <w:rPr>
          <w:shd w:val="clear" w:color="auto" w:fill="FFFFFF"/>
        </w:rPr>
        <w:t>建立外来务工人员</w:t>
      </w:r>
      <w:r>
        <w:rPr>
          <w:rFonts w:eastAsia="黑体"/>
          <w:shd w:val="clear" w:color="auto" w:fill="FFFFFF"/>
        </w:rPr>
        <w:t>“来深汕安全第一课”</w:t>
      </w:r>
      <w:r>
        <w:rPr>
          <w:shd w:val="clear" w:color="auto" w:fill="FFFFFF"/>
        </w:rPr>
        <w:t>培训模式，提高培训覆盖面。将安全知识普及教育纳入中小学校教学内容，实现中小学校全面开设安全教育课，每学期至少组织3次安全教育课程。</w:t>
      </w:r>
    </w:p>
    <w:p>
      <w:pPr>
        <w:ind w:firstLine="640"/>
        <w:rPr>
          <w:shd w:val="clear" w:color="auto" w:fill="FFFFFF"/>
        </w:rPr>
      </w:pPr>
      <w:r>
        <w:rPr>
          <w:shd w:val="clear" w:color="auto" w:fill="FFFFFF"/>
        </w:rPr>
        <w:t>对领导干部、监管队伍、企业管理人员以及从业人员等特定人员实施“分类定向”培训或“菜单式”培训，推动精准培训。</w:t>
      </w:r>
    </w:p>
    <w:p>
      <w:pPr>
        <w:ind w:firstLine="640"/>
        <w:rPr>
          <w:shd w:val="clear" w:color="auto" w:fill="FFFFFF"/>
        </w:rPr>
      </w:pPr>
      <w:r>
        <w:rPr>
          <w:shd w:val="clear" w:color="auto" w:fill="FFFFFF"/>
        </w:rPr>
        <w:t>大力实施政府应急管理人员全员轮训计划，分批次安排人员到国内外学习城市安全及应急管理先进经验，提升监管专业化水平，实现综合应急业务培训100%、安全生产执法人员复训100%、专业领域业务培训100%。</w:t>
      </w:r>
    </w:p>
    <w:p>
      <w:pPr>
        <w:ind w:firstLine="640"/>
        <w:rPr>
          <w:shd w:val="clear" w:color="auto" w:fill="FFFFFF"/>
        </w:rPr>
      </w:pPr>
      <w:r>
        <w:rPr>
          <w:shd w:val="clear" w:color="auto" w:fill="FFFFFF"/>
        </w:rPr>
        <w:t>建立与市</w:t>
      </w:r>
      <w:r>
        <w:rPr>
          <w:rFonts w:hint="eastAsia"/>
          <w:shd w:val="clear" w:color="auto" w:fill="FFFFFF"/>
        </w:rPr>
        <w:t>级</w:t>
      </w:r>
      <w:r>
        <w:rPr>
          <w:shd w:val="clear" w:color="auto" w:fill="FFFFFF"/>
        </w:rPr>
        <w:t>及各区基层应急管理部门人才干部双向交流机制，学习借鉴先进应急管理经验、理念。</w:t>
      </w:r>
    </w:p>
    <w:p>
      <w:pPr>
        <w:ind w:firstLine="640"/>
        <w:rPr>
          <w:shd w:val="clear" w:color="auto" w:fill="FFFFFF"/>
        </w:rPr>
      </w:pPr>
      <w:r>
        <w:rPr>
          <w:shd w:val="clear" w:color="auto" w:fill="FFFFFF"/>
        </w:rPr>
        <w:t>实施安全技能提升计划，充分利用深圳职业技术学院、深圳信息职业技术学院、广东新安职业技术学校等职业教育资源，</w:t>
      </w:r>
      <w:r>
        <w:rPr>
          <w:rFonts w:eastAsia="黑体"/>
          <w:shd w:val="clear" w:color="auto" w:fill="FFFFFF"/>
        </w:rPr>
        <w:t>建设合作区安全生产和技能实训基地，</w:t>
      </w:r>
      <w:r>
        <w:rPr>
          <w:shd w:val="clear" w:color="auto" w:fill="FFFFFF"/>
        </w:rPr>
        <w:t>提升企业员工安全技能。</w:t>
      </w:r>
    </w:p>
    <w:p>
      <w:pPr>
        <w:ind w:firstLine="640"/>
        <w:rPr>
          <w:shd w:val="clear" w:color="auto" w:fill="FFFFFF"/>
        </w:rPr>
      </w:pPr>
      <w:r>
        <w:rPr>
          <w:rFonts w:eastAsia="黑体"/>
          <w:shd w:val="clear" w:color="auto" w:fill="FFFFFF"/>
        </w:rPr>
        <w:t>推进安全生产培训考核机构网点建设，</w:t>
      </w:r>
      <w:r>
        <w:rPr>
          <w:shd w:val="clear" w:color="auto" w:fill="FFFFFF"/>
        </w:rPr>
        <w:t>强化企业三类人员培训，确保企业三类人员持证上岗率100%。</w:t>
      </w:r>
    </w:p>
    <w:p>
      <w:pPr>
        <w:ind w:firstLine="640"/>
        <w:rPr>
          <w:shd w:val="clear" w:color="auto" w:fill="FFFFFF"/>
        </w:rPr>
      </w:pPr>
      <w:r>
        <w:rPr>
          <w:shd w:val="clear" w:color="auto" w:fill="FFFFFF"/>
        </w:rPr>
        <w:t>鼓励中小企业积极参与社会化培训服务，企业从业人员每年接受一次安全培训。</w:t>
      </w:r>
    </w:p>
    <w:p>
      <w:pPr>
        <w:spacing w:line="560" w:lineRule="exact"/>
        <w:ind w:firstLine="640"/>
        <w:rPr>
          <w:bCs/>
          <w:snapToGrid w:val="0"/>
          <w:color w:val="000000"/>
          <w:sz w:val="24"/>
        </w:rPr>
        <w:sectPr>
          <w:pgSz w:w="11907" w:h="16840"/>
          <w:pgMar w:top="1440" w:right="1800" w:bottom="1440" w:left="1800" w:header="1134" w:footer="1134" w:gutter="0"/>
          <w:cols w:space="720" w:num="1"/>
          <w:docGrid w:linePitch="435" w:charSpace="0"/>
        </w:sectPr>
      </w:pPr>
      <w:r>
        <mc:AlternateContent>
          <mc:Choice Requires="wps">
            <w:drawing>
              <wp:anchor distT="0" distB="0" distL="114300" distR="114300" simplePos="0" relativeHeight="251661312" behindDoc="0" locked="0" layoutInCell="1" allowOverlap="1">
                <wp:simplePos x="0" y="0"/>
                <wp:positionH relativeFrom="column">
                  <wp:posOffset>-4288155</wp:posOffset>
                </wp:positionH>
                <wp:positionV relativeFrom="paragraph">
                  <wp:posOffset>27940</wp:posOffset>
                </wp:positionV>
                <wp:extent cx="4159250" cy="3094355"/>
                <wp:effectExtent l="0" t="0" r="3175" b="4445"/>
                <wp:wrapNone/>
                <wp:docPr id="103" name="Text Box 48"/>
                <wp:cNvGraphicFramePr/>
                <a:graphic xmlns:a="http://schemas.openxmlformats.org/drawingml/2006/main">
                  <a:graphicData uri="http://schemas.microsoft.com/office/word/2010/wordprocessingShape">
                    <wps:wsp>
                      <wps:cNvSpPr txBox="1">
                        <a:spLocks noChangeArrowheads="1"/>
                      </wps:cNvSpPr>
                      <wps:spPr bwMode="auto">
                        <a:xfrm>
                          <a:off x="0" y="0"/>
                          <a:ext cx="4159250" cy="3094355"/>
                        </a:xfrm>
                        <a:prstGeom prst="rect">
                          <a:avLst/>
                        </a:prstGeom>
                        <a:solidFill>
                          <a:srgbClr val="FFFFFF"/>
                        </a:solidFill>
                        <a:ln>
                          <a:noFill/>
                        </a:ln>
                      </wps:spPr>
                      <wps:txbx>
                        <w:txbxContent>
                          <w:p>
                            <w:pPr>
                              <w:ind w:firstLine="640"/>
                            </w:pPr>
                          </w:p>
                        </w:txbxContent>
                      </wps:txbx>
                      <wps:bodyPr rot="0" vert="horz" wrap="square" lIns="91440" tIns="45720" rIns="91440" bIns="45720" anchor="t" anchorCtr="0" upright="1">
                        <a:noAutofit/>
                      </wps:bodyPr>
                    </wps:wsp>
                  </a:graphicData>
                </a:graphic>
              </wp:anchor>
            </w:drawing>
          </mc:Choice>
          <mc:Fallback>
            <w:pict>
              <v:shape id="Text Box 48" o:spid="_x0000_s1026" o:spt="202" type="#_x0000_t202" style="position:absolute;left:0pt;margin-left:-337.65pt;margin-top:2.2pt;height:243.65pt;width:327.5pt;z-index:251661312;mso-width-relative:page;mso-height-relative:page;" fillcolor="#FFFFFF" filled="t" stroked="f" coordsize="21600,21600" o:gfxdata="UEsDBAoAAAAAAIdO4kAAAAAAAAAAAAAAAAAEAAAAZHJzL1BLAwQUAAAACACHTuJArwTmUdcAAAAK&#10;AQAADwAAAGRycy9kb3ducmV2LnhtbE2Py26DMBBF95X6D9ZE6qYiNimBhmAitVKrbvP4gAEmgIpt&#10;hJ2Q/H2nq3Z5NUf3nil2NzOIK02+d1ZDvFQgyNau6W2r4XT8iF5B+IC2wcFZ0nAnD7vy8aHAvHGz&#10;3dP1EFrBJdbnqKELYcyl9HVHBv3SjWT5dnaTwcBxamUz4czlZpArpVJpsLe80OFI7x3V34eL0XD+&#10;mp/Xm7n6DKdsn6Rv2GeVu2v9tIjVFkSgW/iD4Vef1aFkp8pdbOPFoCFKs/ULsxqSBAQD0Upxrjhv&#10;4gxkWcj/L5Q/UEsDBBQAAAAIAIdO4kD27WP+HgIAAEEEAAAOAAAAZHJzL2Uyb0RvYy54bWytU8Fu&#10;2zAMvQ/YPwi6L3YSZ2uMOEWXIMOArhvQ7gMUWbaF2aJGKbGzrx8lp1nWXXqYD4Yoko98j9Tqduha&#10;dlToNJiCTycpZ8pIKLWpC/79affuhjPnhSlFC0YV/KQcv12/fbPqba5m0EBbKmQEYlze24I33ts8&#10;SZxsVCfcBKwy5KwAO+HJxDopUfSE3rXJLE3fJz1gaRGkco5ut6OTnxHxNYBQVVqqLchDp4wfUVG1&#10;whMl12jr+Dp2W1VK+q9V5ZRnbcGJqY9/KkLnffgn65XIaxS20fLcgnhNCy84dUIbKnqB2gov2AH1&#10;P1CdlggOKj+R0CUjkagIsZimL7R5bIRVkQtJ7exFdPf/YOXD8RsyXdImpHPOjOho5E9q8OwjDCy7&#10;CQL11uUU92gp0g90T8GRrLP3IH84ZmDTCFOrO0ToGyVKanAaMpOr1BHHBZB9/wVKqiMOHiLQUGEX&#10;1CM9GKHTcE6X4YReJF1m08VytiCXJN88XWbzxSLWEPlzukXnPynoWDgUHGn6EV4c750P7Yj8OSRU&#10;c9DqcqfbNhpY7zctsqOgTdnF74z+V1hrQrCBkDYihpvIM1AbSfphP5x120N5IsYI4+bRu6NDA/iL&#10;s562ruDu50Gg4qz9bEi15TTLwppGI1t8mJGB1579tUcYSVAF95yNx40fV/tgUdcNVRrnZOCOlK50&#10;1CCMZOzq3DdtVpTm/ArC6l7bMerPy1//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8E5lHXAAAA&#10;CgEAAA8AAAAAAAAAAQAgAAAAIgAAAGRycy9kb3ducmV2LnhtbFBLAQIUABQAAAAIAIdO4kD27WP+&#10;HgIAAEEEAAAOAAAAAAAAAAEAIAAAACYBAABkcnMvZTJvRG9jLnhtbFBLBQYAAAAABgAGAFkBAAC2&#10;BQAAAAA=&#10;">
                <v:fill on="t" focussize="0,0"/>
                <v:stroke on="f"/>
                <v:imagedata o:title=""/>
                <o:lock v:ext="edit" aspectratio="f"/>
                <v:textbox>
                  <w:txbxContent>
                    <w:p>
                      <w:pPr>
                        <w:ind w:firstLine="640"/>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-4095750</wp:posOffset>
                </wp:positionH>
                <wp:positionV relativeFrom="paragraph">
                  <wp:posOffset>340995</wp:posOffset>
                </wp:positionV>
                <wp:extent cx="3524250" cy="2700020"/>
                <wp:effectExtent l="1905" t="0" r="0" b="0"/>
                <wp:wrapNone/>
                <wp:docPr id="102" name="Quad Arrow 236"/>
                <wp:cNvGraphicFramePr/>
                <a:graphic xmlns:a="http://schemas.openxmlformats.org/drawingml/2006/main">
                  <a:graphicData uri="http://schemas.microsoft.com/office/word/2010/wordprocessingShape">
                    <wps:wsp>
                      <wps:cNvSpPr txBox="1">
                        <a:spLocks noChangeArrowheads="1"/>
                      </wps:cNvSpPr>
                      <wps:spPr bwMode="auto">
                        <a:xfrm>
                          <a:off x="0" y="0"/>
                          <a:ext cx="3524250" cy="2700020"/>
                        </a:xfrm>
                        <a:prstGeom prst="rect">
                          <a:avLst/>
                        </a:prstGeom>
                        <a:solidFill>
                          <a:srgbClr val="FFFFFF"/>
                        </a:solidFill>
                        <a:ln>
                          <a:noFill/>
                        </a:ln>
                      </wps:spPr>
                      <wps:txbx>
                        <w:txbxContent>
                          <w:p>
                            <w:pPr>
                              <w:ind w:firstLine="640"/>
                            </w:pPr>
                          </w:p>
                        </w:txbxContent>
                      </wps:txbx>
                      <wps:bodyPr rot="0" vert="horz" wrap="square" lIns="91440" tIns="45720" rIns="91440" bIns="45720" anchor="t" anchorCtr="0" upright="1">
                        <a:noAutofit/>
                      </wps:bodyPr>
                    </wps:wsp>
                  </a:graphicData>
                </a:graphic>
              </wp:anchor>
            </w:drawing>
          </mc:Choice>
          <mc:Fallback>
            <w:pict>
              <v:shape id="Quad Arrow 236" o:spid="_x0000_s1026" o:spt="202" type="#_x0000_t202" style="position:absolute;left:0pt;margin-left:-322.5pt;margin-top:26.85pt;height:212.6pt;width:277.5pt;z-index:251659264;mso-width-relative:page;mso-height-relative:page;" fillcolor="#FFFFFF" filled="t" stroked="f" coordsize="21600,21600" o:gfxdata="UEsDBAoAAAAAAIdO4kAAAAAAAAAAAAAAAAAEAAAAZHJzL1BLAwQUAAAACACHTuJAE2NIO9kAAAAL&#10;AQAADwAAAGRycy9kb3ducmV2LnhtbE2PzU7DMBCE70i8g7VIXFBqF/LThGwqgQTi2p8HcJJtEhGv&#10;o9ht2rfHnOA4O6PZb8rt1YziQrMbLCOsVwoEcWPbgTuE4+Ej2oBwXnOrR8uEcCMH2+r+rtRFaxfe&#10;0WXvOxFK2BUaofd+KqR0TU9Gu5WdiIN3srPRPsi5k+2sl1BuRvmsVCqNHjh86PVE7z013/uzQTh9&#10;LU9JvtSf/pjt4vRND1ltb4iPD2v1CsLT1f+F4Rc/oEMVmGp75taJESFK4ySM8QjJSwYiJKJchUON&#10;EGebHGRVyv8bqh9QSwMEFAAAAAgAh07iQNh3cuMfAgAARAQAAA4AAABkcnMvZTJvRG9jLnhtbK1T&#10;TW/bMAy9D9h/EHRf7LhJuxlxii5BhgHdF7r9AFmWY2G2qFFy7OzXj5LTLMguPcwHQxTJR75HanU/&#10;di07KHQaTMHns5QzZSRU2uwL/uP77s1bzpwXphItGFXwo3L8fv361WqwucqggbZSyAjEuHywBW+8&#10;t3mSONmoTrgZWGXIWQN2wpOJ+6RCMRB61yZZmt4mA2BlEaRyjm63k5OfEPElgFDXWqotyL5Txk+o&#10;qFrhiZJrtHV8HbutayX9l7p2yrO24MTUxz8VoXMZ/sl6JfI9CttoeWpBvKSFK06d0IaKnqG2wgvW&#10;o/4HqtMSwUHtZxK6ZCISFSEW8/RKm6dGWBW5kNTOnkV3/w9Wfj58RaYr2oQ048yIjkb+rRcVe0CE&#10;gWU3t0GjwbqcQp8sBfvxPYwUH/k6+wjyp2MGNo0wexWzGiUq6nEeMpOL1AnHBZBy+AQVlRK9hwg0&#10;1tgFAUkSRug0n+N5Pmr0TNLlzTJbZEtySfJld2maZnGCicif0y06/0FBx8Kh4EgLEOHF4dH50I7I&#10;n0NCNQetrna6baOB+3LTIjsIWpZd/CKDq7DWhGADIW1CDDeRZ6A2kfRjOZ50K6E6EmOEafno6dGh&#10;AfzN2UCLV3D3qxeoOGs/GlLt3XyxCJsajcXyjigyvPSUlx5hJEEV3HM2HTd+2u7eot43VGmak4EH&#10;UrrWUYMwkqmrU9+0XFGa00MI23tpx6i/j3/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NjSDvZ&#10;AAAACwEAAA8AAAAAAAAAAQAgAAAAIgAAAGRycy9kb3ducmV2LnhtbFBLAQIUABQAAAAIAIdO4kDY&#10;d3LjHwIAAEQEAAAOAAAAAAAAAAEAIAAAACgBAABkcnMvZTJvRG9jLnhtbFBLBQYAAAAABgAGAFkB&#10;AAC5BQAAAAA=&#10;">
                <v:fill on="t" focussize="0,0"/>
                <v:stroke on="f"/>
                <v:imagedata o:title=""/>
                <o:lock v:ext="edit" aspectratio="f"/>
                <v:textbox>
                  <w:txbxContent>
                    <w:p>
                      <w:pPr>
                        <w:ind w:firstLine="640"/>
                      </w:pPr>
                    </w:p>
                  </w:txbxContent>
                </v:textbox>
              </v:shape>
            </w:pict>
          </mc:Fallback>
        </mc:AlternateContent>
      </w:r>
      <w:bookmarkEnd w:id="18"/>
      <w:bookmarkEnd w:id="19"/>
      <w:bookmarkEnd w:id="20"/>
    </w:p>
    <w:p>
      <w:pPr>
        <w:pStyle w:val="2"/>
      </w:pPr>
      <w:bookmarkStart w:id="125" w:name="_Toc80221605"/>
      <w:bookmarkStart w:id="126" w:name="_Toc419963430"/>
      <w:r>
        <w:t>第四章 规划投资</w:t>
      </w:r>
      <w:bookmarkEnd w:id="125"/>
      <w:bookmarkEnd w:id="126"/>
    </w:p>
    <w:p>
      <w:pPr>
        <w:ind w:firstLine="640"/>
        <w:rPr>
          <w:shd w:val="clear" w:color="auto" w:fill="FFFFFF"/>
        </w:rPr>
      </w:pPr>
      <w:r>
        <w:rPr>
          <w:shd w:val="clear" w:color="auto" w:fill="FFFFFF"/>
        </w:rPr>
        <w:t>按照统筹规划、远近结合、突出重点、分步实施、分级负责、共同承担的原则，组织规划项目的实施；统筹考虑应急管理与合作区开发建设的协调发展和整体效益，合理安排建设项目和实施步骤。</w:t>
      </w:r>
    </w:p>
    <w:bookmarkEnd w:id="21"/>
    <w:bookmarkEnd w:id="22"/>
    <w:bookmarkEnd w:id="23"/>
    <w:bookmarkEnd w:id="24"/>
    <w:bookmarkEnd w:id="25"/>
    <w:bookmarkEnd w:id="26"/>
    <w:bookmarkEnd w:id="27"/>
    <w:p>
      <w:pPr>
        <w:ind w:firstLine="640"/>
        <w:rPr>
          <w:shd w:val="clear" w:color="auto" w:fill="FFFFFF"/>
        </w:rPr>
      </w:pPr>
      <w:r>
        <w:rPr>
          <w:shd w:val="clear" w:color="auto" w:fill="FFFFFF"/>
        </w:rPr>
        <mc:AlternateContent>
          <mc:Choice Requires="wps">
            <w:drawing>
              <wp:anchor distT="0" distB="0" distL="114300" distR="114300" simplePos="0" relativeHeight="251660288" behindDoc="0" locked="0" layoutInCell="1" allowOverlap="1">
                <wp:simplePos x="0" y="0"/>
                <wp:positionH relativeFrom="column">
                  <wp:posOffset>-4366895</wp:posOffset>
                </wp:positionH>
                <wp:positionV relativeFrom="paragraph">
                  <wp:posOffset>471170</wp:posOffset>
                </wp:positionV>
                <wp:extent cx="3737610" cy="6629400"/>
                <wp:effectExtent l="0" t="0" r="0" b="1270"/>
                <wp:wrapNone/>
                <wp:docPr id="83" name="Text Box 70"/>
                <wp:cNvGraphicFramePr/>
                <a:graphic xmlns:a="http://schemas.openxmlformats.org/drawingml/2006/main">
                  <a:graphicData uri="http://schemas.microsoft.com/office/word/2010/wordprocessingShape">
                    <wps:wsp>
                      <wps:cNvSpPr txBox="1">
                        <a:spLocks noChangeArrowheads="1"/>
                      </wps:cNvSpPr>
                      <wps:spPr bwMode="auto">
                        <a:xfrm>
                          <a:off x="0" y="0"/>
                          <a:ext cx="3737610" cy="6629400"/>
                        </a:xfrm>
                        <a:prstGeom prst="rect">
                          <a:avLst/>
                        </a:prstGeom>
                        <a:solidFill>
                          <a:srgbClr val="FFFFFF"/>
                        </a:solidFill>
                        <a:ln>
                          <a:noFill/>
                        </a:ln>
                      </wps:spPr>
                      <wps:txbx>
                        <w:txbxContent>
                          <w:p>
                            <w:pPr>
                              <w:ind w:firstLine="640"/>
                            </w:pPr>
                          </w:p>
                        </w:txbxContent>
                      </wps:txbx>
                      <wps:bodyPr rot="0" vert="horz" wrap="none" lIns="91440" tIns="45720" rIns="91440" bIns="45720" anchor="t" anchorCtr="0" upright="1">
                        <a:spAutoFit/>
                      </wps:bodyPr>
                    </wps:wsp>
                  </a:graphicData>
                </a:graphic>
              </wp:anchor>
            </w:drawing>
          </mc:Choice>
          <mc:Fallback>
            <w:pict>
              <v:shape id="Text Box 70" o:spid="_x0000_s1026" o:spt="202" type="#_x0000_t202" style="position:absolute;left:0pt;margin-left:-343.85pt;margin-top:37.1pt;height:522pt;width:294.3pt;mso-wrap-style:none;z-index:251660288;mso-width-relative:page;mso-height-relative:page;" fillcolor="#FFFFFF" filled="t" stroked="f" coordsize="21600,21600" o:gfxdata="UEsDBAoAAAAAAIdO4kAAAAAAAAAAAAAAAAAEAAAAZHJzL1BLAwQUAAAACACHTuJAVuYzltoAAAAM&#10;AQAADwAAAGRycy9kb3ducmV2LnhtbE2Py07DMBBF90j8gzVI7FLHAeVFnC5ASCCkSi18gBO7SUQ8&#10;DrbblL9nWMFydI/uPdNsL3ZmZ+PD5FCC2KTADPZOTzhI+Hh/TkpgISrUanZoJHybANv2+qpRtXYr&#10;7s35EAdGJRhqJWGMcak5D/1orAobtxik7Oi8VZFOP3Dt1UrlduZZmubcqglpYVSLeRxN/3k4WQlP&#10;k+++enf3khdvVb/bh+P6uuNS3t6I9AFYNJf4B8OvPqlDS06dO6EObJaQ5GVRECuhuM+AEZFUlQDW&#10;ESpEmQFvG/7/ifYHUEsDBBQAAAAIAIdO4kDguG98GwIAAD4EAAAOAAAAZHJzL2Uyb0RvYy54bWyt&#10;U01v2zAMvQ/YfxB0X5yvJa0Rp+gSZBjQdQPa/QBZlm1htihQSuzs14+SkzTILj3MB0MUqUe+R3L1&#10;0LcNOyh0GkzGJ6MxZ8pIKLSpMv7rdffpjjPnhSlEA0Zl/Kgcf1h//LDqbKqmUENTKGQEYlza2YzX&#10;3ts0SZysVSvcCKwy5CwBW+HJxCopUHSE3jbJdDxeJB1gYRGkco5ut4OTnxDxPYBQllqqLch9q4wf&#10;UFE1whMlV2vr+DpWW5ZK+h9l6ZRnTcaJqY9/SkLnPPyT9UqkFQpba3kqQbynhBtOrdCGkl6gtsIL&#10;tkf9D1SrJYKD0o8ktMlAJCpCLCbjG21eamFV5EJSO3sR3f0/WPl8+IlMFxm/m3FmREsdf1W9Z1+g&#10;Z8uoT2ddSmEvlgJ9T/c0NZGrs08gfztmYFMLU6lHROhqJQqqbxKUTa6eho641AWQvPsOBeURew8R&#10;qC+xDeKRHIzQqTfHS29CLZIuZ8vZcjEhlyTfYjG9n49jdYlIz88tOv9VQcvCIeNIzY/w4vDkfChH&#10;pOeQkM1Bo4udbppoYJVvGmQHQYOyi19kcBPWmBBsIDwbEMNN5BmoDSR9n/fkDHxzKI7EGGEYPFo7&#10;OtSAfzjraOgybmjHOGu+GdLsfjKfhxmNxvzzckoGXnvya48wkoAy7jkbjhs/zPXeoq5qynPu0iPp&#10;vNNRgbeaTlXTWEVhTisQ5vbajlFva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bmM5baAAAA&#10;DAEAAA8AAAAAAAAAAQAgAAAAIgAAAGRycy9kb3ducmV2LnhtbFBLAQIUABQAAAAIAIdO4kDguG98&#10;GwIAAD4EAAAOAAAAAAAAAAEAIAAAACkBAABkcnMvZTJvRG9jLnhtbFBLBQYAAAAABgAGAFkBAAC2&#10;BQAAAAA=&#10;">
                <v:fill on="t" focussize="0,0"/>
                <v:stroke on="f"/>
                <v:imagedata o:title=""/>
                <o:lock v:ext="edit" aspectratio="f"/>
                <v:textbox style="mso-fit-shape-to-text:t;">
                  <w:txbxContent>
                    <w:p>
                      <w:pPr>
                        <w:ind w:firstLine="640"/>
                      </w:pPr>
                    </w:p>
                  </w:txbxContent>
                </v:textbox>
              </v:shape>
            </w:pict>
          </mc:Fallback>
        </mc:AlternateContent>
      </w:r>
      <w:r>
        <w:rPr>
          <w:shd w:val="clear" w:color="auto" w:fill="FFFFFF"/>
        </w:rPr>
        <w:t>“十四五”期间合作区应急管理体系和能力重点建设工程项目20个，投资合计</w:t>
      </w:r>
      <w:r>
        <w:rPr>
          <w:rFonts w:hint="eastAsia"/>
          <w:shd w:val="clear" w:color="auto" w:fill="FFFFFF"/>
        </w:rPr>
        <w:t>约</w:t>
      </w:r>
      <w:r>
        <w:rPr>
          <w:shd w:val="clear" w:color="auto" w:fill="FFFFFF"/>
        </w:rPr>
        <w:t>3.555亿元。</w:t>
      </w:r>
    </w:p>
    <w:tbl>
      <w:tblPr>
        <w:tblStyle w:val="82"/>
        <w:tblW w:w="8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686"/>
        <w:gridCol w:w="1134"/>
        <w:gridCol w:w="1418"/>
        <w:gridCol w:w="1704"/>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6" w:type="dxa"/>
            <w:gridSpan w:val="6"/>
            <w:vAlign w:val="center"/>
          </w:tcPr>
          <w:p>
            <w:pPr>
              <w:spacing w:line="240" w:lineRule="auto"/>
              <w:ind w:firstLine="0" w:firstLineChars="0"/>
              <w:jc w:val="center"/>
              <w:rPr>
                <w:rFonts w:eastAsia="黑体"/>
                <w:kern w:val="0"/>
                <w:sz w:val="24"/>
              </w:rPr>
            </w:pPr>
            <w:r>
              <w:rPr>
                <w:rFonts w:eastAsia="黑体"/>
                <w:kern w:val="0"/>
                <w:sz w:val="24"/>
              </w:rPr>
              <w:t>专栏9 重点建设工程项目基本情况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jc w:val="center"/>
        </w:trPr>
        <w:tc>
          <w:tcPr>
            <w:tcW w:w="704" w:type="dxa"/>
            <w:vAlign w:val="center"/>
          </w:tcPr>
          <w:p>
            <w:pPr>
              <w:spacing w:line="240" w:lineRule="auto"/>
              <w:ind w:firstLine="0" w:firstLineChars="0"/>
              <w:jc w:val="center"/>
              <w:rPr>
                <w:rFonts w:eastAsia="黑体"/>
                <w:kern w:val="0"/>
                <w:sz w:val="24"/>
              </w:rPr>
            </w:pPr>
            <w:r>
              <w:rPr>
                <w:rFonts w:eastAsia="黑体"/>
                <w:kern w:val="0"/>
                <w:sz w:val="24"/>
              </w:rPr>
              <w:t>序号</w:t>
            </w:r>
          </w:p>
        </w:tc>
        <w:tc>
          <w:tcPr>
            <w:tcW w:w="3686" w:type="dxa"/>
            <w:vAlign w:val="center"/>
          </w:tcPr>
          <w:p>
            <w:pPr>
              <w:spacing w:line="240" w:lineRule="auto"/>
              <w:ind w:firstLine="0" w:firstLineChars="0"/>
              <w:jc w:val="center"/>
              <w:rPr>
                <w:rFonts w:eastAsia="黑体"/>
                <w:kern w:val="0"/>
                <w:sz w:val="24"/>
              </w:rPr>
            </w:pPr>
            <w:r>
              <w:rPr>
                <w:rFonts w:eastAsia="黑体"/>
                <w:kern w:val="0"/>
                <w:sz w:val="24"/>
              </w:rPr>
              <w:t>建设项目</w:t>
            </w:r>
          </w:p>
        </w:tc>
        <w:tc>
          <w:tcPr>
            <w:tcW w:w="1134" w:type="dxa"/>
            <w:vAlign w:val="center"/>
          </w:tcPr>
          <w:p>
            <w:pPr>
              <w:spacing w:line="240" w:lineRule="auto"/>
              <w:ind w:firstLine="0" w:firstLineChars="0"/>
              <w:jc w:val="center"/>
              <w:rPr>
                <w:rFonts w:eastAsia="黑体"/>
                <w:kern w:val="0"/>
                <w:sz w:val="24"/>
              </w:rPr>
            </w:pPr>
            <w:r>
              <w:rPr>
                <w:rFonts w:eastAsia="黑体"/>
                <w:kern w:val="0"/>
                <w:sz w:val="24"/>
              </w:rPr>
              <w:t>总投资/万元</w:t>
            </w:r>
          </w:p>
        </w:tc>
        <w:tc>
          <w:tcPr>
            <w:tcW w:w="1418" w:type="dxa"/>
            <w:vAlign w:val="center"/>
          </w:tcPr>
          <w:p>
            <w:pPr>
              <w:spacing w:line="240" w:lineRule="auto"/>
              <w:ind w:firstLine="0" w:firstLineChars="0"/>
              <w:jc w:val="center"/>
              <w:rPr>
                <w:rFonts w:eastAsia="黑体"/>
                <w:kern w:val="0"/>
                <w:sz w:val="24"/>
              </w:rPr>
            </w:pPr>
            <w:r>
              <w:rPr>
                <w:rFonts w:eastAsia="黑体"/>
                <w:kern w:val="0"/>
                <w:sz w:val="24"/>
              </w:rPr>
              <w:t>建设期限</w:t>
            </w:r>
          </w:p>
        </w:tc>
        <w:tc>
          <w:tcPr>
            <w:tcW w:w="1704" w:type="dxa"/>
            <w:vAlign w:val="center"/>
          </w:tcPr>
          <w:p>
            <w:pPr>
              <w:spacing w:line="240" w:lineRule="auto"/>
              <w:ind w:firstLine="0" w:firstLineChars="0"/>
              <w:jc w:val="center"/>
              <w:rPr>
                <w:rFonts w:eastAsia="黑体"/>
                <w:kern w:val="0"/>
                <w:sz w:val="24"/>
              </w:rPr>
            </w:pPr>
            <w:r>
              <w:rPr>
                <w:rFonts w:eastAsia="黑体"/>
                <w:kern w:val="0"/>
                <w:sz w:val="24"/>
              </w:rPr>
              <w:t>建设部门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jc w:val="center"/>
        </w:trPr>
        <w:tc>
          <w:tcPr>
            <w:tcW w:w="704" w:type="dxa"/>
            <w:vAlign w:val="center"/>
          </w:tcPr>
          <w:p>
            <w:pPr>
              <w:pStyle w:val="77"/>
              <w:numPr>
                <w:ilvl w:val="0"/>
                <w:numId w:val="2"/>
              </w:numPr>
              <w:spacing w:line="240" w:lineRule="auto"/>
              <w:ind w:firstLineChars="0"/>
              <w:jc w:val="center"/>
              <w:rPr>
                <w:kern w:val="0"/>
                <w:sz w:val="24"/>
              </w:rPr>
            </w:pPr>
          </w:p>
        </w:tc>
        <w:tc>
          <w:tcPr>
            <w:tcW w:w="3686" w:type="dxa"/>
            <w:vAlign w:val="center"/>
          </w:tcPr>
          <w:p>
            <w:pPr>
              <w:spacing w:line="240" w:lineRule="auto"/>
              <w:ind w:firstLine="0" w:firstLineChars="0"/>
              <w:jc w:val="center"/>
              <w:rPr>
                <w:kern w:val="0"/>
                <w:sz w:val="24"/>
              </w:rPr>
            </w:pPr>
            <w:r>
              <w:rPr>
                <w:kern w:val="0"/>
                <w:sz w:val="24"/>
              </w:rPr>
              <w:t>应急管理机构条件建设工程</w:t>
            </w:r>
          </w:p>
        </w:tc>
        <w:tc>
          <w:tcPr>
            <w:tcW w:w="1134" w:type="dxa"/>
            <w:vAlign w:val="center"/>
          </w:tcPr>
          <w:p>
            <w:pPr>
              <w:spacing w:line="240" w:lineRule="auto"/>
              <w:ind w:firstLine="0" w:firstLineChars="0"/>
              <w:jc w:val="center"/>
              <w:rPr>
                <w:kern w:val="0"/>
                <w:sz w:val="24"/>
              </w:rPr>
            </w:pPr>
            <w:r>
              <w:rPr>
                <w:kern w:val="0"/>
                <w:sz w:val="24"/>
              </w:rPr>
              <w:t>500</w:t>
            </w:r>
          </w:p>
        </w:tc>
        <w:tc>
          <w:tcPr>
            <w:tcW w:w="1418" w:type="dxa"/>
            <w:vAlign w:val="center"/>
          </w:tcPr>
          <w:p>
            <w:pPr>
              <w:spacing w:line="240" w:lineRule="auto"/>
              <w:ind w:firstLine="0" w:firstLineChars="0"/>
              <w:jc w:val="center"/>
              <w:rPr>
                <w:kern w:val="0"/>
                <w:sz w:val="24"/>
              </w:rPr>
            </w:pPr>
            <w:r>
              <w:rPr>
                <w:kern w:val="0"/>
                <w:sz w:val="24"/>
              </w:rPr>
              <w:t>2021-2025</w:t>
            </w:r>
          </w:p>
        </w:tc>
        <w:tc>
          <w:tcPr>
            <w:tcW w:w="1704" w:type="dxa"/>
            <w:vAlign w:val="center"/>
          </w:tcPr>
          <w:p>
            <w:pPr>
              <w:spacing w:line="240" w:lineRule="auto"/>
              <w:ind w:firstLine="0" w:firstLineChars="0"/>
              <w:jc w:val="center"/>
              <w:rPr>
                <w:kern w:val="0"/>
                <w:sz w:val="24"/>
              </w:rPr>
            </w:pPr>
            <w:r>
              <w:rPr>
                <w:kern w:val="0"/>
                <w:sz w:val="24"/>
              </w:rPr>
              <w:t>区应急管理局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jc w:val="center"/>
        </w:trPr>
        <w:tc>
          <w:tcPr>
            <w:tcW w:w="704" w:type="dxa"/>
            <w:vAlign w:val="center"/>
          </w:tcPr>
          <w:p>
            <w:pPr>
              <w:pStyle w:val="77"/>
              <w:numPr>
                <w:ilvl w:val="0"/>
                <w:numId w:val="2"/>
              </w:numPr>
              <w:spacing w:line="240" w:lineRule="auto"/>
              <w:ind w:firstLineChars="0"/>
              <w:jc w:val="center"/>
              <w:rPr>
                <w:kern w:val="0"/>
                <w:sz w:val="24"/>
              </w:rPr>
            </w:pPr>
          </w:p>
        </w:tc>
        <w:tc>
          <w:tcPr>
            <w:tcW w:w="3686" w:type="dxa"/>
            <w:vAlign w:val="center"/>
          </w:tcPr>
          <w:p>
            <w:pPr>
              <w:spacing w:line="240" w:lineRule="auto"/>
              <w:ind w:firstLine="0" w:firstLineChars="0"/>
              <w:jc w:val="center"/>
              <w:rPr>
                <w:kern w:val="0"/>
                <w:sz w:val="24"/>
              </w:rPr>
            </w:pPr>
            <w:r>
              <w:rPr>
                <w:kern w:val="0"/>
                <w:sz w:val="24"/>
              </w:rPr>
              <w:t>网格管理平台建设项目</w:t>
            </w:r>
          </w:p>
        </w:tc>
        <w:tc>
          <w:tcPr>
            <w:tcW w:w="1134" w:type="dxa"/>
            <w:vAlign w:val="center"/>
          </w:tcPr>
          <w:p>
            <w:pPr>
              <w:spacing w:line="240" w:lineRule="auto"/>
              <w:ind w:firstLine="0" w:firstLineChars="0"/>
              <w:jc w:val="center"/>
              <w:rPr>
                <w:kern w:val="0"/>
                <w:sz w:val="24"/>
              </w:rPr>
            </w:pPr>
            <w:r>
              <w:rPr>
                <w:kern w:val="0"/>
                <w:sz w:val="24"/>
              </w:rPr>
              <w:t>200</w:t>
            </w:r>
          </w:p>
        </w:tc>
        <w:tc>
          <w:tcPr>
            <w:tcW w:w="1418" w:type="dxa"/>
            <w:vAlign w:val="center"/>
          </w:tcPr>
          <w:p>
            <w:pPr>
              <w:spacing w:line="240" w:lineRule="auto"/>
              <w:ind w:firstLine="0" w:firstLineChars="0"/>
              <w:jc w:val="center"/>
              <w:rPr>
                <w:kern w:val="0"/>
                <w:sz w:val="24"/>
              </w:rPr>
            </w:pPr>
            <w:r>
              <w:rPr>
                <w:kern w:val="0"/>
                <w:sz w:val="24"/>
              </w:rPr>
              <w:t>2021-2025</w:t>
            </w:r>
          </w:p>
        </w:tc>
        <w:tc>
          <w:tcPr>
            <w:tcW w:w="1704" w:type="dxa"/>
            <w:vAlign w:val="center"/>
          </w:tcPr>
          <w:p>
            <w:pPr>
              <w:spacing w:line="240" w:lineRule="auto"/>
              <w:ind w:firstLine="0" w:firstLineChars="0"/>
              <w:jc w:val="center"/>
              <w:rPr>
                <w:kern w:val="0"/>
                <w:sz w:val="24"/>
              </w:rPr>
            </w:pPr>
            <w:r>
              <w:rPr>
                <w:kern w:val="0"/>
                <w:sz w:val="24"/>
              </w:rPr>
              <w:t>区应急管理局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jc w:val="center"/>
        </w:trPr>
        <w:tc>
          <w:tcPr>
            <w:tcW w:w="704" w:type="dxa"/>
            <w:vAlign w:val="center"/>
          </w:tcPr>
          <w:p>
            <w:pPr>
              <w:pStyle w:val="77"/>
              <w:numPr>
                <w:ilvl w:val="0"/>
                <w:numId w:val="2"/>
              </w:numPr>
              <w:spacing w:line="240" w:lineRule="auto"/>
              <w:ind w:firstLineChars="0"/>
              <w:jc w:val="center"/>
              <w:rPr>
                <w:kern w:val="0"/>
                <w:sz w:val="24"/>
              </w:rPr>
            </w:pPr>
          </w:p>
        </w:tc>
        <w:tc>
          <w:tcPr>
            <w:tcW w:w="3686" w:type="dxa"/>
            <w:vAlign w:val="center"/>
          </w:tcPr>
          <w:p>
            <w:pPr>
              <w:spacing w:line="240" w:lineRule="auto"/>
              <w:ind w:firstLine="0" w:firstLineChars="0"/>
              <w:jc w:val="center"/>
              <w:rPr>
                <w:kern w:val="0"/>
                <w:sz w:val="24"/>
              </w:rPr>
            </w:pPr>
            <w:r>
              <w:rPr>
                <w:kern w:val="0"/>
                <w:sz w:val="24"/>
              </w:rPr>
              <w:t>自然灾害综合风险普查项目</w:t>
            </w:r>
          </w:p>
        </w:tc>
        <w:tc>
          <w:tcPr>
            <w:tcW w:w="1134" w:type="dxa"/>
            <w:vAlign w:val="center"/>
          </w:tcPr>
          <w:p>
            <w:pPr>
              <w:spacing w:line="240" w:lineRule="auto"/>
              <w:ind w:firstLine="0" w:firstLineChars="0"/>
              <w:jc w:val="center"/>
              <w:rPr>
                <w:kern w:val="0"/>
                <w:sz w:val="24"/>
              </w:rPr>
            </w:pPr>
            <w:r>
              <w:rPr>
                <w:kern w:val="0"/>
                <w:sz w:val="24"/>
              </w:rPr>
              <w:t>300</w:t>
            </w:r>
          </w:p>
        </w:tc>
        <w:tc>
          <w:tcPr>
            <w:tcW w:w="1418" w:type="dxa"/>
            <w:vAlign w:val="center"/>
          </w:tcPr>
          <w:p>
            <w:pPr>
              <w:spacing w:line="240" w:lineRule="auto"/>
              <w:ind w:firstLine="0" w:firstLineChars="0"/>
              <w:jc w:val="center"/>
              <w:rPr>
                <w:kern w:val="0"/>
                <w:sz w:val="24"/>
              </w:rPr>
            </w:pPr>
            <w:r>
              <w:rPr>
                <w:kern w:val="0"/>
                <w:sz w:val="24"/>
              </w:rPr>
              <w:t>2021-2025</w:t>
            </w:r>
          </w:p>
        </w:tc>
        <w:tc>
          <w:tcPr>
            <w:tcW w:w="1704" w:type="dxa"/>
            <w:vAlign w:val="center"/>
          </w:tcPr>
          <w:p>
            <w:pPr>
              <w:spacing w:line="240" w:lineRule="auto"/>
              <w:ind w:firstLine="0" w:firstLineChars="0"/>
              <w:jc w:val="center"/>
              <w:rPr>
                <w:kern w:val="0"/>
                <w:sz w:val="24"/>
              </w:rPr>
            </w:pPr>
            <w:r>
              <w:rPr>
                <w:kern w:val="0"/>
                <w:sz w:val="24"/>
              </w:rPr>
              <w:t>区应急管理局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jc w:val="center"/>
        </w:trPr>
        <w:tc>
          <w:tcPr>
            <w:tcW w:w="704" w:type="dxa"/>
            <w:vAlign w:val="center"/>
          </w:tcPr>
          <w:p>
            <w:pPr>
              <w:pStyle w:val="77"/>
              <w:numPr>
                <w:ilvl w:val="0"/>
                <w:numId w:val="2"/>
              </w:numPr>
              <w:spacing w:line="240" w:lineRule="auto"/>
              <w:ind w:firstLineChars="0"/>
              <w:jc w:val="center"/>
              <w:rPr>
                <w:kern w:val="0"/>
                <w:sz w:val="24"/>
              </w:rPr>
            </w:pPr>
          </w:p>
        </w:tc>
        <w:tc>
          <w:tcPr>
            <w:tcW w:w="3686" w:type="dxa"/>
            <w:vAlign w:val="center"/>
          </w:tcPr>
          <w:p>
            <w:pPr>
              <w:spacing w:line="240" w:lineRule="auto"/>
              <w:ind w:firstLine="0" w:firstLineChars="0"/>
              <w:jc w:val="center"/>
              <w:rPr>
                <w:kern w:val="0"/>
                <w:sz w:val="24"/>
              </w:rPr>
            </w:pPr>
            <w:r>
              <w:rPr>
                <w:kern w:val="0"/>
                <w:sz w:val="24"/>
              </w:rPr>
              <w:t>安全风险评估项目</w:t>
            </w:r>
          </w:p>
        </w:tc>
        <w:tc>
          <w:tcPr>
            <w:tcW w:w="1134" w:type="dxa"/>
            <w:vAlign w:val="center"/>
          </w:tcPr>
          <w:p>
            <w:pPr>
              <w:spacing w:line="240" w:lineRule="auto"/>
              <w:ind w:firstLine="0" w:firstLineChars="0"/>
              <w:jc w:val="center"/>
              <w:rPr>
                <w:kern w:val="0"/>
                <w:sz w:val="24"/>
              </w:rPr>
            </w:pPr>
            <w:r>
              <w:rPr>
                <w:kern w:val="0"/>
                <w:sz w:val="24"/>
              </w:rPr>
              <w:t>400</w:t>
            </w:r>
          </w:p>
        </w:tc>
        <w:tc>
          <w:tcPr>
            <w:tcW w:w="1418" w:type="dxa"/>
            <w:vAlign w:val="center"/>
          </w:tcPr>
          <w:p>
            <w:pPr>
              <w:spacing w:line="240" w:lineRule="auto"/>
              <w:ind w:firstLine="0" w:firstLineChars="0"/>
              <w:jc w:val="center"/>
              <w:rPr>
                <w:kern w:val="0"/>
                <w:sz w:val="24"/>
              </w:rPr>
            </w:pPr>
            <w:r>
              <w:rPr>
                <w:kern w:val="0"/>
                <w:sz w:val="24"/>
              </w:rPr>
              <w:t>2021-2025</w:t>
            </w:r>
          </w:p>
        </w:tc>
        <w:tc>
          <w:tcPr>
            <w:tcW w:w="1704" w:type="dxa"/>
            <w:vAlign w:val="center"/>
          </w:tcPr>
          <w:p>
            <w:pPr>
              <w:spacing w:line="240" w:lineRule="auto"/>
              <w:ind w:firstLine="0" w:firstLineChars="0"/>
              <w:jc w:val="center"/>
              <w:rPr>
                <w:kern w:val="0"/>
                <w:sz w:val="24"/>
              </w:rPr>
            </w:pPr>
            <w:r>
              <w:rPr>
                <w:kern w:val="0"/>
                <w:sz w:val="24"/>
              </w:rPr>
              <w:t>区应急管理局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jc w:val="center"/>
        </w:trPr>
        <w:tc>
          <w:tcPr>
            <w:tcW w:w="704" w:type="dxa"/>
            <w:vAlign w:val="center"/>
          </w:tcPr>
          <w:p>
            <w:pPr>
              <w:pStyle w:val="77"/>
              <w:numPr>
                <w:ilvl w:val="0"/>
                <w:numId w:val="2"/>
              </w:numPr>
              <w:spacing w:line="240" w:lineRule="auto"/>
              <w:ind w:firstLineChars="0"/>
              <w:jc w:val="center"/>
              <w:rPr>
                <w:kern w:val="0"/>
                <w:sz w:val="24"/>
              </w:rPr>
            </w:pPr>
          </w:p>
        </w:tc>
        <w:tc>
          <w:tcPr>
            <w:tcW w:w="3686" w:type="dxa"/>
            <w:vAlign w:val="center"/>
          </w:tcPr>
          <w:p>
            <w:pPr>
              <w:spacing w:line="240" w:lineRule="auto"/>
              <w:ind w:firstLine="0" w:firstLineChars="0"/>
              <w:jc w:val="center"/>
              <w:rPr>
                <w:kern w:val="0"/>
                <w:sz w:val="24"/>
              </w:rPr>
            </w:pPr>
            <w:r>
              <w:rPr>
                <w:kern w:val="0"/>
                <w:sz w:val="24"/>
              </w:rPr>
              <w:t>智慧安监信息化系统</w:t>
            </w:r>
          </w:p>
        </w:tc>
        <w:tc>
          <w:tcPr>
            <w:tcW w:w="1134" w:type="dxa"/>
            <w:vAlign w:val="center"/>
          </w:tcPr>
          <w:p>
            <w:pPr>
              <w:spacing w:line="240" w:lineRule="auto"/>
              <w:ind w:firstLine="0" w:firstLineChars="0"/>
              <w:jc w:val="center"/>
              <w:rPr>
                <w:kern w:val="0"/>
                <w:sz w:val="24"/>
              </w:rPr>
            </w:pPr>
            <w:r>
              <w:rPr>
                <w:kern w:val="0"/>
                <w:sz w:val="24"/>
              </w:rPr>
              <w:t>200</w:t>
            </w:r>
          </w:p>
        </w:tc>
        <w:tc>
          <w:tcPr>
            <w:tcW w:w="1418" w:type="dxa"/>
            <w:vAlign w:val="center"/>
          </w:tcPr>
          <w:p>
            <w:pPr>
              <w:spacing w:line="240" w:lineRule="auto"/>
              <w:ind w:firstLine="0" w:firstLineChars="0"/>
              <w:jc w:val="center"/>
              <w:rPr>
                <w:kern w:val="0"/>
                <w:sz w:val="24"/>
              </w:rPr>
            </w:pPr>
            <w:r>
              <w:rPr>
                <w:kern w:val="0"/>
                <w:sz w:val="24"/>
              </w:rPr>
              <w:t>2021-2025</w:t>
            </w:r>
          </w:p>
        </w:tc>
        <w:tc>
          <w:tcPr>
            <w:tcW w:w="1704" w:type="dxa"/>
            <w:vAlign w:val="center"/>
          </w:tcPr>
          <w:p>
            <w:pPr>
              <w:spacing w:line="240" w:lineRule="auto"/>
              <w:ind w:firstLine="0" w:firstLineChars="0"/>
              <w:jc w:val="center"/>
              <w:rPr>
                <w:kern w:val="0"/>
                <w:sz w:val="24"/>
              </w:rPr>
            </w:pPr>
            <w:r>
              <w:rPr>
                <w:kern w:val="0"/>
                <w:sz w:val="24"/>
              </w:rPr>
              <w:t>区应急管理局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jc w:val="center"/>
        </w:trPr>
        <w:tc>
          <w:tcPr>
            <w:tcW w:w="704" w:type="dxa"/>
            <w:vAlign w:val="center"/>
          </w:tcPr>
          <w:p>
            <w:pPr>
              <w:pStyle w:val="77"/>
              <w:numPr>
                <w:ilvl w:val="0"/>
                <w:numId w:val="2"/>
              </w:numPr>
              <w:spacing w:line="240" w:lineRule="auto"/>
              <w:ind w:firstLineChars="0"/>
              <w:jc w:val="center"/>
              <w:rPr>
                <w:kern w:val="0"/>
                <w:sz w:val="24"/>
              </w:rPr>
            </w:pPr>
          </w:p>
        </w:tc>
        <w:tc>
          <w:tcPr>
            <w:tcW w:w="3686" w:type="dxa"/>
            <w:vAlign w:val="center"/>
          </w:tcPr>
          <w:p>
            <w:pPr>
              <w:spacing w:line="240" w:lineRule="auto"/>
              <w:ind w:firstLine="0" w:firstLineChars="0"/>
              <w:jc w:val="center"/>
              <w:rPr>
                <w:kern w:val="0"/>
                <w:sz w:val="24"/>
              </w:rPr>
            </w:pPr>
            <w:r>
              <w:rPr>
                <w:rFonts w:hint="eastAsia"/>
                <w:kern w:val="0"/>
                <w:sz w:val="24"/>
              </w:rPr>
              <w:t>既有建筑安全监测预警系统</w:t>
            </w:r>
          </w:p>
        </w:tc>
        <w:tc>
          <w:tcPr>
            <w:tcW w:w="1134" w:type="dxa"/>
            <w:vAlign w:val="center"/>
          </w:tcPr>
          <w:p>
            <w:pPr>
              <w:spacing w:line="240" w:lineRule="auto"/>
              <w:ind w:firstLine="0" w:firstLineChars="0"/>
              <w:jc w:val="center"/>
              <w:rPr>
                <w:kern w:val="0"/>
                <w:sz w:val="24"/>
              </w:rPr>
            </w:pPr>
            <w:r>
              <w:rPr>
                <w:kern w:val="0"/>
                <w:sz w:val="24"/>
              </w:rPr>
              <w:t>200</w:t>
            </w:r>
          </w:p>
        </w:tc>
        <w:tc>
          <w:tcPr>
            <w:tcW w:w="1418" w:type="dxa"/>
            <w:vAlign w:val="center"/>
          </w:tcPr>
          <w:p>
            <w:pPr>
              <w:spacing w:line="240" w:lineRule="auto"/>
              <w:ind w:firstLine="0" w:firstLineChars="0"/>
              <w:jc w:val="center"/>
              <w:rPr>
                <w:kern w:val="0"/>
                <w:sz w:val="24"/>
              </w:rPr>
            </w:pPr>
            <w:r>
              <w:rPr>
                <w:kern w:val="0"/>
                <w:sz w:val="24"/>
              </w:rPr>
              <w:t>2021-2025</w:t>
            </w:r>
          </w:p>
        </w:tc>
        <w:tc>
          <w:tcPr>
            <w:tcW w:w="1704" w:type="dxa"/>
            <w:vAlign w:val="center"/>
          </w:tcPr>
          <w:p>
            <w:pPr>
              <w:spacing w:line="240" w:lineRule="auto"/>
              <w:ind w:firstLine="0" w:firstLineChars="0"/>
              <w:jc w:val="center"/>
              <w:rPr>
                <w:kern w:val="0"/>
                <w:sz w:val="24"/>
              </w:rPr>
            </w:pPr>
            <w:r>
              <w:rPr>
                <w:rFonts w:hint="eastAsia"/>
                <w:kern w:val="0"/>
                <w:sz w:val="24"/>
              </w:rPr>
              <w:t>区住建水务局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jc w:val="center"/>
        </w:trPr>
        <w:tc>
          <w:tcPr>
            <w:tcW w:w="704" w:type="dxa"/>
            <w:vAlign w:val="center"/>
          </w:tcPr>
          <w:p>
            <w:pPr>
              <w:pStyle w:val="77"/>
              <w:numPr>
                <w:ilvl w:val="0"/>
                <w:numId w:val="2"/>
              </w:numPr>
              <w:spacing w:line="240" w:lineRule="auto"/>
              <w:ind w:firstLineChars="0"/>
              <w:jc w:val="center"/>
              <w:rPr>
                <w:kern w:val="0"/>
                <w:sz w:val="24"/>
              </w:rPr>
            </w:pPr>
          </w:p>
        </w:tc>
        <w:tc>
          <w:tcPr>
            <w:tcW w:w="3686" w:type="dxa"/>
            <w:vAlign w:val="center"/>
          </w:tcPr>
          <w:p>
            <w:pPr>
              <w:spacing w:line="240" w:lineRule="auto"/>
              <w:ind w:firstLine="0" w:firstLineChars="0"/>
              <w:jc w:val="center"/>
              <w:rPr>
                <w:kern w:val="0"/>
                <w:sz w:val="24"/>
              </w:rPr>
            </w:pPr>
            <w:r>
              <w:rPr>
                <w:rFonts w:hint="eastAsia"/>
                <w:kern w:val="0"/>
                <w:sz w:val="24"/>
              </w:rPr>
              <w:t>建筑施工智慧监管信息化平台</w:t>
            </w:r>
            <w:r>
              <w:rPr>
                <w:kern w:val="0"/>
                <w:sz w:val="24"/>
              </w:rPr>
              <w:t>建设项目</w:t>
            </w:r>
          </w:p>
        </w:tc>
        <w:tc>
          <w:tcPr>
            <w:tcW w:w="1134" w:type="dxa"/>
            <w:vAlign w:val="center"/>
          </w:tcPr>
          <w:p>
            <w:pPr>
              <w:spacing w:line="240" w:lineRule="auto"/>
              <w:ind w:firstLine="0" w:firstLineChars="0"/>
              <w:jc w:val="center"/>
              <w:rPr>
                <w:kern w:val="0"/>
                <w:sz w:val="24"/>
              </w:rPr>
            </w:pPr>
            <w:r>
              <w:rPr>
                <w:kern w:val="0"/>
                <w:sz w:val="24"/>
              </w:rPr>
              <w:t>500</w:t>
            </w:r>
          </w:p>
        </w:tc>
        <w:tc>
          <w:tcPr>
            <w:tcW w:w="1418" w:type="dxa"/>
            <w:vAlign w:val="center"/>
          </w:tcPr>
          <w:p>
            <w:pPr>
              <w:spacing w:line="240" w:lineRule="auto"/>
              <w:ind w:firstLine="0" w:firstLineChars="0"/>
              <w:jc w:val="center"/>
              <w:rPr>
                <w:kern w:val="0"/>
                <w:sz w:val="24"/>
              </w:rPr>
            </w:pPr>
            <w:r>
              <w:rPr>
                <w:kern w:val="0"/>
                <w:sz w:val="24"/>
              </w:rPr>
              <w:t>2021-2025</w:t>
            </w:r>
          </w:p>
        </w:tc>
        <w:tc>
          <w:tcPr>
            <w:tcW w:w="1704" w:type="dxa"/>
            <w:vAlign w:val="center"/>
          </w:tcPr>
          <w:p>
            <w:pPr>
              <w:spacing w:line="240" w:lineRule="auto"/>
              <w:ind w:firstLine="0" w:firstLineChars="0"/>
              <w:jc w:val="center"/>
              <w:rPr>
                <w:kern w:val="0"/>
                <w:sz w:val="24"/>
              </w:rPr>
            </w:pPr>
            <w:r>
              <w:rPr>
                <w:rFonts w:hint="eastAsia"/>
                <w:kern w:val="0"/>
                <w:sz w:val="24"/>
              </w:rPr>
              <w:t>区住建水务局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jc w:val="center"/>
        </w:trPr>
        <w:tc>
          <w:tcPr>
            <w:tcW w:w="704" w:type="dxa"/>
            <w:vAlign w:val="center"/>
          </w:tcPr>
          <w:p>
            <w:pPr>
              <w:pStyle w:val="77"/>
              <w:numPr>
                <w:ilvl w:val="0"/>
                <w:numId w:val="2"/>
              </w:numPr>
              <w:spacing w:line="240" w:lineRule="auto"/>
              <w:ind w:firstLineChars="0"/>
              <w:jc w:val="center"/>
              <w:rPr>
                <w:kern w:val="0"/>
                <w:sz w:val="24"/>
              </w:rPr>
            </w:pPr>
          </w:p>
        </w:tc>
        <w:tc>
          <w:tcPr>
            <w:tcW w:w="3686" w:type="dxa"/>
            <w:vAlign w:val="center"/>
          </w:tcPr>
          <w:p>
            <w:pPr>
              <w:spacing w:line="240" w:lineRule="auto"/>
              <w:ind w:firstLine="0" w:firstLineChars="0"/>
              <w:jc w:val="center"/>
              <w:rPr>
                <w:kern w:val="0"/>
                <w:sz w:val="24"/>
              </w:rPr>
            </w:pPr>
            <w:r>
              <w:rPr>
                <w:rFonts w:hint="eastAsia"/>
                <w:kern w:val="0"/>
                <w:sz w:val="24"/>
              </w:rPr>
              <w:t>城市内涝积水点智能监测及标识系统</w:t>
            </w:r>
            <w:r>
              <w:rPr>
                <w:kern w:val="0"/>
                <w:sz w:val="24"/>
              </w:rPr>
              <w:t>建设项目</w:t>
            </w:r>
          </w:p>
        </w:tc>
        <w:tc>
          <w:tcPr>
            <w:tcW w:w="1134" w:type="dxa"/>
            <w:vAlign w:val="center"/>
          </w:tcPr>
          <w:p>
            <w:pPr>
              <w:spacing w:line="240" w:lineRule="auto"/>
              <w:ind w:firstLine="0" w:firstLineChars="0"/>
              <w:jc w:val="center"/>
              <w:rPr>
                <w:kern w:val="0"/>
                <w:sz w:val="24"/>
              </w:rPr>
            </w:pPr>
            <w:r>
              <w:rPr>
                <w:kern w:val="0"/>
                <w:sz w:val="24"/>
              </w:rPr>
              <w:t>500</w:t>
            </w:r>
          </w:p>
        </w:tc>
        <w:tc>
          <w:tcPr>
            <w:tcW w:w="1418" w:type="dxa"/>
            <w:vAlign w:val="center"/>
          </w:tcPr>
          <w:p>
            <w:pPr>
              <w:spacing w:line="240" w:lineRule="auto"/>
              <w:ind w:firstLine="0" w:firstLineChars="0"/>
              <w:jc w:val="center"/>
              <w:rPr>
                <w:kern w:val="0"/>
                <w:sz w:val="24"/>
              </w:rPr>
            </w:pPr>
            <w:r>
              <w:rPr>
                <w:kern w:val="0"/>
                <w:sz w:val="24"/>
              </w:rPr>
              <w:t>2021-2025</w:t>
            </w:r>
          </w:p>
        </w:tc>
        <w:tc>
          <w:tcPr>
            <w:tcW w:w="1704" w:type="dxa"/>
            <w:vAlign w:val="center"/>
          </w:tcPr>
          <w:p>
            <w:pPr>
              <w:spacing w:line="240" w:lineRule="auto"/>
              <w:ind w:firstLine="0" w:firstLineChars="0"/>
              <w:jc w:val="center"/>
              <w:rPr>
                <w:kern w:val="0"/>
                <w:sz w:val="24"/>
              </w:rPr>
            </w:pPr>
            <w:r>
              <w:rPr>
                <w:kern w:val="0"/>
                <w:sz w:val="24"/>
              </w:rPr>
              <w:t>区应急管理局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jc w:val="center"/>
        </w:trPr>
        <w:tc>
          <w:tcPr>
            <w:tcW w:w="704" w:type="dxa"/>
            <w:vAlign w:val="center"/>
          </w:tcPr>
          <w:p>
            <w:pPr>
              <w:pStyle w:val="77"/>
              <w:numPr>
                <w:ilvl w:val="0"/>
                <w:numId w:val="2"/>
              </w:numPr>
              <w:spacing w:line="240" w:lineRule="auto"/>
              <w:ind w:firstLineChars="0"/>
              <w:jc w:val="center"/>
              <w:rPr>
                <w:kern w:val="0"/>
                <w:sz w:val="24"/>
              </w:rPr>
            </w:pPr>
          </w:p>
        </w:tc>
        <w:tc>
          <w:tcPr>
            <w:tcW w:w="3686" w:type="dxa"/>
            <w:vAlign w:val="center"/>
          </w:tcPr>
          <w:p>
            <w:pPr>
              <w:spacing w:line="240" w:lineRule="auto"/>
              <w:ind w:firstLine="0" w:firstLineChars="0"/>
              <w:jc w:val="center"/>
              <w:rPr>
                <w:kern w:val="0"/>
                <w:sz w:val="24"/>
              </w:rPr>
            </w:pPr>
            <w:r>
              <w:rPr>
                <w:rFonts w:hint="eastAsia"/>
                <w:sz w:val="24"/>
              </w:rPr>
              <w:t>边坡监测网络系统</w:t>
            </w:r>
            <w:r>
              <w:rPr>
                <w:kern w:val="0"/>
                <w:sz w:val="24"/>
              </w:rPr>
              <w:t>建设</w:t>
            </w:r>
            <w:r>
              <w:rPr>
                <w:rFonts w:hint="eastAsia"/>
                <w:kern w:val="0"/>
                <w:sz w:val="24"/>
              </w:rPr>
              <w:t>工程</w:t>
            </w:r>
          </w:p>
        </w:tc>
        <w:tc>
          <w:tcPr>
            <w:tcW w:w="1134" w:type="dxa"/>
            <w:vAlign w:val="center"/>
          </w:tcPr>
          <w:p>
            <w:pPr>
              <w:spacing w:line="240" w:lineRule="auto"/>
              <w:ind w:firstLine="0" w:firstLineChars="0"/>
              <w:jc w:val="center"/>
              <w:rPr>
                <w:kern w:val="0"/>
                <w:sz w:val="24"/>
              </w:rPr>
            </w:pPr>
            <w:r>
              <w:rPr>
                <w:rFonts w:hint="eastAsia"/>
                <w:kern w:val="0"/>
                <w:sz w:val="24"/>
              </w:rPr>
              <w:t>1</w:t>
            </w:r>
            <w:r>
              <w:rPr>
                <w:kern w:val="0"/>
                <w:sz w:val="24"/>
              </w:rPr>
              <w:t>000</w:t>
            </w:r>
          </w:p>
        </w:tc>
        <w:tc>
          <w:tcPr>
            <w:tcW w:w="1418" w:type="dxa"/>
            <w:vAlign w:val="center"/>
          </w:tcPr>
          <w:p>
            <w:pPr>
              <w:spacing w:line="240" w:lineRule="auto"/>
              <w:ind w:firstLine="0" w:firstLineChars="0"/>
              <w:jc w:val="center"/>
              <w:rPr>
                <w:kern w:val="0"/>
                <w:sz w:val="24"/>
              </w:rPr>
            </w:pPr>
            <w:r>
              <w:rPr>
                <w:kern w:val="0"/>
                <w:sz w:val="24"/>
              </w:rPr>
              <w:t>2021-2025</w:t>
            </w:r>
          </w:p>
        </w:tc>
        <w:tc>
          <w:tcPr>
            <w:tcW w:w="1704" w:type="dxa"/>
            <w:vAlign w:val="center"/>
          </w:tcPr>
          <w:p>
            <w:pPr>
              <w:spacing w:line="240" w:lineRule="auto"/>
              <w:ind w:firstLine="0" w:firstLineChars="0"/>
              <w:jc w:val="center"/>
              <w:rPr>
                <w:kern w:val="0"/>
                <w:sz w:val="24"/>
              </w:rPr>
            </w:pPr>
            <w:r>
              <w:rPr>
                <w:rFonts w:hint="eastAsia"/>
                <w:kern w:val="0"/>
                <w:sz w:val="24"/>
              </w:rPr>
              <w:t>区住建水务局</w:t>
            </w:r>
          </w:p>
          <w:p>
            <w:pPr>
              <w:spacing w:line="240" w:lineRule="auto"/>
              <w:ind w:firstLine="0" w:firstLineChars="0"/>
              <w:jc w:val="center"/>
              <w:rPr>
                <w:kern w:val="0"/>
                <w:sz w:val="24"/>
              </w:rPr>
            </w:pPr>
            <w:r>
              <w:rPr>
                <w:rFonts w:hint="eastAsia"/>
                <w:kern w:val="0"/>
                <w:sz w:val="24"/>
              </w:rPr>
              <w:t>市规划和自然资源局深汕管理局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jc w:val="center"/>
        </w:trPr>
        <w:tc>
          <w:tcPr>
            <w:tcW w:w="704" w:type="dxa"/>
            <w:vAlign w:val="center"/>
          </w:tcPr>
          <w:p>
            <w:pPr>
              <w:pStyle w:val="77"/>
              <w:numPr>
                <w:ilvl w:val="0"/>
                <w:numId w:val="2"/>
              </w:numPr>
              <w:spacing w:line="240" w:lineRule="auto"/>
              <w:ind w:firstLineChars="0"/>
              <w:jc w:val="center"/>
              <w:rPr>
                <w:kern w:val="0"/>
                <w:sz w:val="24"/>
              </w:rPr>
            </w:pPr>
          </w:p>
        </w:tc>
        <w:tc>
          <w:tcPr>
            <w:tcW w:w="3686" w:type="dxa"/>
            <w:vAlign w:val="center"/>
          </w:tcPr>
          <w:p>
            <w:pPr>
              <w:spacing w:line="240" w:lineRule="auto"/>
              <w:ind w:firstLine="0" w:firstLineChars="0"/>
              <w:jc w:val="center"/>
              <w:rPr>
                <w:sz w:val="24"/>
              </w:rPr>
            </w:pPr>
            <w:r>
              <w:rPr>
                <w:rFonts w:hint="eastAsia"/>
                <w:sz w:val="24"/>
              </w:rPr>
              <w:t>森林防火预警监测和远程监控系统</w:t>
            </w:r>
            <w:r>
              <w:rPr>
                <w:kern w:val="0"/>
                <w:sz w:val="24"/>
              </w:rPr>
              <w:t>建设项目</w:t>
            </w:r>
          </w:p>
        </w:tc>
        <w:tc>
          <w:tcPr>
            <w:tcW w:w="1134" w:type="dxa"/>
            <w:vAlign w:val="center"/>
          </w:tcPr>
          <w:p>
            <w:pPr>
              <w:spacing w:line="240" w:lineRule="auto"/>
              <w:ind w:firstLine="0" w:firstLineChars="0"/>
              <w:jc w:val="center"/>
              <w:rPr>
                <w:kern w:val="0"/>
                <w:sz w:val="24"/>
              </w:rPr>
            </w:pPr>
            <w:r>
              <w:rPr>
                <w:rFonts w:hint="eastAsia"/>
                <w:kern w:val="0"/>
                <w:sz w:val="24"/>
              </w:rPr>
              <w:t>2</w:t>
            </w:r>
            <w:r>
              <w:rPr>
                <w:kern w:val="0"/>
                <w:sz w:val="24"/>
              </w:rPr>
              <w:t>00</w:t>
            </w:r>
          </w:p>
        </w:tc>
        <w:tc>
          <w:tcPr>
            <w:tcW w:w="1418" w:type="dxa"/>
            <w:vAlign w:val="center"/>
          </w:tcPr>
          <w:p>
            <w:pPr>
              <w:spacing w:line="240" w:lineRule="auto"/>
              <w:ind w:firstLine="0" w:firstLineChars="0"/>
              <w:jc w:val="center"/>
              <w:rPr>
                <w:kern w:val="0"/>
                <w:sz w:val="24"/>
              </w:rPr>
            </w:pPr>
            <w:r>
              <w:rPr>
                <w:kern w:val="0"/>
                <w:sz w:val="24"/>
              </w:rPr>
              <w:t>2021-2025</w:t>
            </w:r>
          </w:p>
        </w:tc>
        <w:tc>
          <w:tcPr>
            <w:tcW w:w="1704" w:type="dxa"/>
            <w:vAlign w:val="center"/>
          </w:tcPr>
          <w:p>
            <w:pPr>
              <w:spacing w:line="240" w:lineRule="auto"/>
              <w:ind w:firstLine="0" w:firstLineChars="0"/>
              <w:jc w:val="center"/>
              <w:rPr>
                <w:kern w:val="0"/>
                <w:sz w:val="24"/>
              </w:rPr>
            </w:pPr>
            <w:r>
              <w:rPr>
                <w:kern w:val="0"/>
                <w:sz w:val="24"/>
              </w:rPr>
              <w:t>区应急管理局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jc w:val="center"/>
        </w:trPr>
        <w:tc>
          <w:tcPr>
            <w:tcW w:w="704" w:type="dxa"/>
            <w:vAlign w:val="center"/>
          </w:tcPr>
          <w:p>
            <w:pPr>
              <w:pStyle w:val="77"/>
              <w:numPr>
                <w:ilvl w:val="0"/>
                <w:numId w:val="2"/>
              </w:numPr>
              <w:spacing w:line="240" w:lineRule="auto"/>
              <w:ind w:firstLineChars="0"/>
              <w:jc w:val="center"/>
              <w:rPr>
                <w:kern w:val="0"/>
                <w:sz w:val="24"/>
              </w:rPr>
            </w:pPr>
          </w:p>
        </w:tc>
        <w:tc>
          <w:tcPr>
            <w:tcW w:w="3686" w:type="dxa"/>
            <w:vAlign w:val="center"/>
          </w:tcPr>
          <w:p>
            <w:pPr>
              <w:spacing w:line="240" w:lineRule="auto"/>
              <w:ind w:firstLine="0" w:firstLineChars="0"/>
              <w:jc w:val="center"/>
              <w:rPr>
                <w:kern w:val="0"/>
                <w:sz w:val="24"/>
              </w:rPr>
            </w:pPr>
            <w:r>
              <w:rPr>
                <w:kern w:val="0"/>
                <w:sz w:val="24"/>
              </w:rPr>
              <w:t>深圳国家气候观象台深汕气象观测基地</w:t>
            </w:r>
            <w:r>
              <w:rPr>
                <w:rFonts w:hint="eastAsia"/>
                <w:sz w:val="24"/>
              </w:rPr>
              <w:t>建设工程</w:t>
            </w:r>
          </w:p>
        </w:tc>
        <w:tc>
          <w:tcPr>
            <w:tcW w:w="1134" w:type="dxa"/>
            <w:vAlign w:val="center"/>
          </w:tcPr>
          <w:p>
            <w:pPr>
              <w:spacing w:line="240" w:lineRule="auto"/>
              <w:ind w:firstLine="0" w:firstLineChars="0"/>
              <w:jc w:val="center"/>
              <w:rPr>
                <w:kern w:val="0"/>
                <w:sz w:val="24"/>
              </w:rPr>
            </w:pPr>
            <w:r>
              <w:rPr>
                <w:kern w:val="0"/>
                <w:sz w:val="24"/>
              </w:rPr>
              <w:t>4900</w:t>
            </w:r>
          </w:p>
        </w:tc>
        <w:tc>
          <w:tcPr>
            <w:tcW w:w="1418" w:type="dxa"/>
            <w:vAlign w:val="center"/>
          </w:tcPr>
          <w:p>
            <w:pPr>
              <w:spacing w:line="240" w:lineRule="auto"/>
              <w:ind w:firstLine="0" w:firstLineChars="0"/>
              <w:jc w:val="center"/>
              <w:rPr>
                <w:kern w:val="0"/>
                <w:sz w:val="24"/>
              </w:rPr>
            </w:pPr>
            <w:r>
              <w:rPr>
                <w:kern w:val="0"/>
                <w:sz w:val="24"/>
              </w:rPr>
              <w:t>2021-2025</w:t>
            </w:r>
          </w:p>
        </w:tc>
        <w:tc>
          <w:tcPr>
            <w:tcW w:w="1704" w:type="dxa"/>
            <w:vAlign w:val="center"/>
          </w:tcPr>
          <w:p>
            <w:pPr>
              <w:spacing w:line="240" w:lineRule="auto"/>
              <w:ind w:firstLine="0" w:firstLineChars="0"/>
              <w:jc w:val="center"/>
              <w:rPr>
                <w:kern w:val="0"/>
                <w:sz w:val="24"/>
              </w:rPr>
            </w:pPr>
            <w:r>
              <w:rPr>
                <w:kern w:val="0"/>
                <w:sz w:val="24"/>
              </w:rPr>
              <w:t>深圳市气象局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jc w:val="center"/>
        </w:trPr>
        <w:tc>
          <w:tcPr>
            <w:tcW w:w="704" w:type="dxa"/>
            <w:vAlign w:val="center"/>
          </w:tcPr>
          <w:p>
            <w:pPr>
              <w:pStyle w:val="77"/>
              <w:numPr>
                <w:ilvl w:val="0"/>
                <w:numId w:val="2"/>
              </w:numPr>
              <w:spacing w:line="240" w:lineRule="auto"/>
              <w:ind w:firstLineChars="0"/>
              <w:jc w:val="center"/>
              <w:rPr>
                <w:kern w:val="0"/>
                <w:sz w:val="24"/>
              </w:rPr>
            </w:pPr>
          </w:p>
        </w:tc>
        <w:tc>
          <w:tcPr>
            <w:tcW w:w="3686" w:type="dxa"/>
            <w:vAlign w:val="center"/>
          </w:tcPr>
          <w:p>
            <w:pPr>
              <w:spacing w:line="240" w:lineRule="auto"/>
              <w:ind w:firstLine="0" w:firstLineChars="0"/>
              <w:jc w:val="center"/>
              <w:rPr>
                <w:kern w:val="0"/>
                <w:sz w:val="24"/>
              </w:rPr>
            </w:pPr>
            <w:r>
              <w:rPr>
                <w:kern w:val="0"/>
                <w:sz w:val="24"/>
              </w:rPr>
              <w:t>危险化学品公务仓库</w:t>
            </w:r>
            <w:r>
              <w:rPr>
                <w:rFonts w:hint="eastAsia"/>
                <w:sz w:val="24"/>
              </w:rPr>
              <w:t>建设工程</w:t>
            </w:r>
          </w:p>
        </w:tc>
        <w:tc>
          <w:tcPr>
            <w:tcW w:w="1134" w:type="dxa"/>
            <w:vAlign w:val="center"/>
          </w:tcPr>
          <w:p>
            <w:pPr>
              <w:spacing w:line="240" w:lineRule="auto"/>
              <w:ind w:firstLine="0" w:firstLineChars="0"/>
              <w:jc w:val="center"/>
              <w:rPr>
                <w:kern w:val="0"/>
                <w:sz w:val="24"/>
              </w:rPr>
            </w:pPr>
            <w:r>
              <w:rPr>
                <w:kern w:val="0"/>
                <w:sz w:val="24"/>
              </w:rPr>
              <w:t>1000</w:t>
            </w:r>
          </w:p>
        </w:tc>
        <w:tc>
          <w:tcPr>
            <w:tcW w:w="1418" w:type="dxa"/>
            <w:vAlign w:val="center"/>
          </w:tcPr>
          <w:p>
            <w:pPr>
              <w:spacing w:line="240" w:lineRule="auto"/>
              <w:ind w:firstLine="0" w:firstLineChars="0"/>
              <w:jc w:val="center"/>
              <w:rPr>
                <w:kern w:val="0"/>
                <w:sz w:val="24"/>
              </w:rPr>
            </w:pPr>
            <w:r>
              <w:rPr>
                <w:kern w:val="0"/>
                <w:sz w:val="24"/>
              </w:rPr>
              <w:t>2021-2025</w:t>
            </w:r>
          </w:p>
        </w:tc>
        <w:tc>
          <w:tcPr>
            <w:tcW w:w="1704" w:type="dxa"/>
            <w:vAlign w:val="center"/>
          </w:tcPr>
          <w:p>
            <w:pPr>
              <w:spacing w:line="240" w:lineRule="auto"/>
              <w:ind w:firstLine="0" w:firstLineChars="0"/>
              <w:jc w:val="center"/>
              <w:rPr>
                <w:kern w:val="0"/>
                <w:sz w:val="24"/>
              </w:rPr>
            </w:pPr>
            <w:r>
              <w:rPr>
                <w:kern w:val="0"/>
                <w:sz w:val="24"/>
              </w:rPr>
              <w:t>区应急管理局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jc w:val="center"/>
        </w:trPr>
        <w:tc>
          <w:tcPr>
            <w:tcW w:w="704" w:type="dxa"/>
            <w:vAlign w:val="center"/>
          </w:tcPr>
          <w:p>
            <w:pPr>
              <w:pStyle w:val="77"/>
              <w:numPr>
                <w:ilvl w:val="0"/>
                <w:numId w:val="2"/>
              </w:numPr>
              <w:spacing w:line="240" w:lineRule="auto"/>
              <w:ind w:firstLineChars="0"/>
              <w:jc w:val="center"/>
              <w:rPr>
                <w:kern w:val="0"/>
                <w:sz w:val="24"/>
              </w:rPr>
            </w:pPr>
          </w:p>
        </w:tc>
        <w:tc>
          <w:tcPr>
            <w:tcW w:w="3686" w:type="dxa"/>
            <w:vAlign w:val="center"/>
          </w:tcPr>
          <w:p>
            <w:pPr>
              <w:spacing w:line="240" w:lineRule="auto"/>
              <w:ind w:firstLine="0" w:firstLineChars="0"/>
              <w:jc w:val="center"/>
              <w:rPr>
                <w:kern w:val="0"/>
                <w:sz w:val="24"/>
              </w:rPr>
            </w:pPr>
            <w:r>
              <w:rPr>
                <w:rFonts w:hint="eastAsia"/>
                <w:sz w:val="24"/>
              </w:rPr>
              <w:t>深汕消防救援中心建设工程</w:t>
            </w:r>
          </w:p>
        </w:tc>
        <w:tc>
          <w:tcPr>
            <w:tcW w:w="1134" w:type="dxa"/>
            <w:vAlign w:val="center"/>
          </w:tcPr>
          <w:p>
            <w:pPr>
              <w:spacing w:line="240" w:lineRule="auto"/>
              <w:ind w:firstLine="0" w:firstLineChars="0"/>
              <w:jc w:val="center"/>
              <w:rPr>
                <w:kern w:val="0"/>
                <w:sz w:val="24"/>
              </w:rPr>
            </w:pPr>
            <w:r>
              <w:rPr>
                <w:rFonts w:hint="eastAsia"/>
                <w:kern w:val="0"/>
                <w:sz w:val="24"/>
              </w:rPr>
              <w:t>2</w:t>
            </w:r>
            <w:r>
              <w:rPr>
                <w:kern w:val="0"/>
                <w:sz w:val="24"/>
              </w:rPr>
              <w:t>000</w:t>
            </w:r>
          </w:p>
        </w:tc>
        <w:tc>
          <w:tcPr>
            <w:tcW w:w="1418" w:type="dxa"/>
            <w:vAlign w:val="center"/>
          </w:tcPr>
          <w:p>
            <w:pPr>
              <w:spacing w:line="240" w:lineRule="auto"/>
              <w:ind w:firstLine="0" w:firstLineChars="0"/>
              <w:jc w:val="center"/>
              <w:rPr>
                <w:kern w:val="0"/>
                <w:sz w:val="24"/>
              </w:rPr>
            </w:pPr>
            <w:r>
              <w:rPr>
                <w:kern w:val="0"/>
                <w:sz w:val="24"/>
              </w:rPr>
              <w:t>2021-2025</w:t>
            </w:r>
          </w:p>
        </w:tc>
        <w:tc>
          <w:tcPr>
            <w:tcW w:w="1704" w:type="dxa"/>
            <w:vAlign w:val="center"/>
          </w:tcPr>
          <w:p>
            <w:pPr>
              <w:spacing w:line="240" w:lineRule="auto"/>
              <w:ind w:firstLine="0" w:firstLineChars="0"/>
              <w:jc w:val="center"/>
              <w:rPr>
                <w:kern w:val="0"/>
                <w:sz w:val="24"/>
              </w:rPr>
            </w:pPr>
            <w:r>
              <w:rPr>
                <w:rFonts w:hint="eastAsia"/>
                <w:kern w:val="0"/>
                <w:sz w:val="24"/>
              </w:rPr>
              <w:t>深汕消防救援大队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jc w:val="center"/>
        </w:trPr>
        <w:tc>
          <w:tcPr>
            <w:tcW w:w="704" w:type="dxa"/>
            <w:vAlign w:val="center"/>
          </w:tcPr>
          <w:p>
            <w:pPr>
              <w:pStyle w:val="77"/>
              <w:numPr>
                <w:ilvl w:val="0"/>
                <w:numId w:val="2"/>
              </w:numPr>
              <w:spacing w:line="240" w:lineRule="auto"/>
              <w:ind w:firstLineChars="0"/>
              <w:jc w:val="center"/>
              <w:rPr>
                <w:kern w:val="0"/>
                <w:sz w:val="24"/>
              </w:rPr>
            </w:pPr>
          </w:p>
        </w:tc>
        <w:tc>
          <w:tcPr>
            <w:tcW w:w="3686" w:type="dxa"/>
            <w:vAlign w:val="center"/>
          </w:tcPr>
          <w:p>
            <w:pPr>
              <w:spacing w:line="240" w:lineRule="auto"/>
              <w:ind w:firstLine="0" w:firstLineChars="0"/>
              <w:jc w:val="center"/>
              <w:rPr>
                <w:sz w:val="24"/>
              </w:rPr>
            </w:pPr>
            <w:r>
              <w:rPr>
                <w:rFonts w:hint="eastAsia"/>
                <w:sz w:val="24"/>
              </w:rPr>
              <w:t>森林消防救援站建设工程</w:t>
            </w:r>
          </w:p>
        </w:tc>
        <w:tc>
          <w:tcPr>
            <w:tcW w:w="1134" w:type="dxa"/>
            <w:vAlign w:val="center"/>
          </w:tcPr>
          <w:p>
            <w:pPr>
              <w:spacing w:line="240" w:lineRule="auto"/>
              <w:ind w:firstLine="0" w:firstLineChars="0"/>
              <w:jc w:val="center"/>
              <w:rPr>
                <w:kern w:val="0"/>
                <w:sz w:val="24"/>
              </w:rPr>
            </w:pPr>
            <w:r>
              <w:rPr>
                <w:rFonts w:hint="eastAsia"/>
                <w:kern w:val="0"/>
                <w:sz w:val="24"/>
              </w:rPr>
              <w:t>2</w:t>
            </w:r>
            <w:r>
              <w:rPr>
                <w:kern w:val="0"/>
                <w:sz w:val="24"/>
              </w:rPr>
              <w:t>000</w:t>
            </w:r>
          </w:p>
        </w:tc>
        <w:tc>
          <w:tcPr>
            <w:tcW w:w="1418" w:type="dxa"/>
            <w:vAlign w:val="center"/>
          </w:tcPr>
          <w:p>
            <w:pPr>
              <w:spacing w:line="240" w:lineRule="auto"/>
              <w:ind w:firstLine="0" w:firstLineChars="0"/>
              <w:jc w:val="center"/>
              <w:rPr>
                <w:kern w:val="0"/>
                <w:sz w:val="24"/>
              </w:rPr>
            </w:pPr>
            <w:r>
              <w:rPr>
                <w:kern w:val="0"/>
                <w:sz w:val="24"/>
              </w:rPr>
              <w:t>2021-2025</w:t>
            </w:r>
          </w:p>
        </w:tc>
        <w:tc>
          <w:tcPr>
            <w:tcW w:w="1704" w:type="dxa"/>
            <w:vAlign w:val="center"/>
          </w:tcPr>
          <w:p>
            <w:pPr>
              <w:spacing w:line="240" w:lineRule="auto"/>
              <w:ind w:firstLine="0" w:firstLineChars="0"/>
              <w:jc w:val="center"/>
              <w:rPr>
                <w:kern w:val="0"/>
                <w:sz w:val="24"/>
              </w:rPr>
            </w:pPr>
            <w:r>
              <w:rPr>
                <w:rFonts w:hint="eastAsia"/>
                <w:kern w:val="0"/>
                <w:sz w:val="24"/>
              </w:rPr>
              <w:t>深汕消防救援大队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jc w:val="center"/>
        </w:trPr>
        <w:tc>
          <w:tcPr>
            <w:tcW w:w="704" w:type="dxa"/>
            <w:vAlign w:val="center"/>
          </w:tcPr>
          <w:p>
            <w:pPr>
              <w:pStyle w:val="77"/>
              <w:numPr>
                <w:ilvl w:val="0"/>
                <w:numId w:val="2"/>
              </w:numPr>
              <w:spacing w:line="240" w:lineRule="auto"/>
              <w:ind w:firstLineChars="0"/>
              <w:jc w:val="center"/>
              <w:rPr>
                <w:kern w:val="0"/>
                <w:sz w:val="24"/>
              </w:rPr>
            </w:pPr>
          </w:p>
        </w:tc>
        <w:tc>
          <w:tcPr>
            <w:tcW w:w="3686" w:type="dxa"/>
            <w:vAlign w:val="center"/>
          </w:tcPr>
          <w:p>
            <w:pPr>
              <w:spacing w:line="240" w:lineRule="auto"/>
              <w:ind w:firstLine="0" w:firstLineChars="0"/>
              <w:jc w:val="center"/>
              <w:rPr>
                <w:sz w:val="24"/>
              </w:rPr>
            </w:pPr>
            <w:r>
              <w:rPr>
                <w:rFonts w:hint="eastAsia"/>
                <w:sz w:val="24"/>
              </w:rPr>
              <w:t>消防站点新建工程（4个特勤+3个一级+3个小型消防站）</w:t>
            </w:r>
          </w:p>
        </w:tc>
        <w:tc>
          <w:tcPr>
            <w:tcW w:w="1134" w:type="dxa"/>
            <w:vAlign w:val="center"/>
          </w:tcPr>
          <w:p>
            <w:pPr>
              <w:spacing w:line="240" w:lineRule="auto"/>
              <w:ind w:firstLine="0" w:firstLineChars="0"/>
              <w:jc w:val="center"/>
              <w:rPr>
                <w:kern w:val="0"/>
                <w:sz w:val="24"/>
              </w:rPr>
            </w:pPr>
            <w:r>
              <w:rPr>
                <w:rFonts w:hint="eastAsia"/>
                <w:kern w:val="0"/>
                <w:sz w:val="24"/>
              </w:rPr>
              <w:t>1</w:t>
            </w:r>
            <w:r>
              <w:rPr>
                <w:kern w:val="0"/>
                <w:sz w:val="24"/>
              </w:rPr>
              <w:t>5000</w:t>
            </w:r>
          </w:p>
        </w:tc>
        <w:tc>
          <w:tcPr>
            <w:tcW w:w="1418" w:type="dxa"/>
            <w:vAlign w:val="center"/>
          </w:tcPr>
          <w:p>
            <w:pPr>
              <w:spacing w:line="240" w:lineRule="auto"/>
              <w:ind w:firstLine="0" w:firstLineChars="0"/>
              <w:jc w:val="center"/>
              <w:rPr>
                <w:kern w:val="0"/>
                <w:sz w:val="24"/>
              </w:rPr>
            </w:pPr>
            <w:r>
              <w:rPr>
                <w:kern w:val="0"/>
                <w:sz w:val="24"/>
              </w:rPr>
              <w:t>2021-2025</w:t>
            </w:r>
          </w:p>
        </w:tc>
        <w:tc>
          <w:tcPr>
            <w:tcW w:w="1704" w:type="dxa"/>
            <w:vAlign w:val="center"/>
          </w:tcPr>
          <w:p>
            <w:pPr>
              <w:spacing w:line="240" w:lineRule="auto"/>
              <w:ind w:firstLine="0" w:firstLineChars="0"/>
              <w:jc w:val="center"/>
              <w:rPr>
                <w:kern w:val="0"/>
                <w:sz w:val="24"/>
              </w:rPr>
            </w:pPr>
            <w:r>
              <w:rPr>
                <w:rFonts w:hint="eastAsia"/>
                <w:kern w:val="0"/>
                <w:sz w:val="24"/>
              </w:rPr>
              <w:t>深汕消防救援大队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jc w:val="center"/>
        </w:trPr>
        <w:tc>
          <w:tcPr>
            <w:tcW w:w="704" w:type="dxa"/>
            <w:vAlign w:val="center"/>
          </w:tcPr>
          <w:p>
            <w:pPr>
              <w:pStyle w:val="77"/>
              <w:numPr>
                <w:ilvl w:val="0"/>
                <w:numId w:val="2"/>
              </w:numPr>
              <w:spacing w:line="240" w:lineRule="auto"/>
              <w:ind w:firstLineChars="0"/>
              <w:jc w:val="center"/>
              <w:rPr>
                <w:kern w:val="0"/>
                <w:sz w:val="24"/>
              </w:rPr>
            </w:pPr>
          </w:p>
        </w:tc>
        <w:tc>
          <w:tcPr>
            <w:tcW w:w="3686" w:type="dxa"/>
            <w:vAlign w:val="center"/>
          </w:tcPr>
          <w:p>
            <w:pPr>
              <w:spacing w:line="240" w:lineRule="auto"/>
              <w:ind w:firstLine="0" w:firstLineChars="0"/>
              <w:jc w:val="center"/>
              <w:rPr>
                <w:kern w:val="0"/>
                <w:sz w:val="24"/>
              </w:rPr>
            </w:pPr>
            <w:r>
              <w:rPr>
                <w:kern w:val="0"/>
                <w:sz w:val="24"/>
              </w:rPr>
              <w:t>区应急指挥中心</w:t>
            </w:r>
            <w:r>
              <w:rPr>
                <w:sz w:val="24"/>
              </w:rPr>
              <w:t>建设</w:t>
            </w:r>
            <w:r>
              <w:rPr>
                <w:rFonts w:hint="eastAsia"/>
                <w:sz w:val="24"/>
              </w:rPr>
              <w:t>工程</w:t>
            </w:r>
          </w:p>
        </w:tc>
        <w:tc>
          <w:tcPr>
            <w:tcW w:w="1134" w:type="dxa"/>
            <w:vAlign w:val="center"/>
          </w:tcPr>
          <w:p>
            <w:pPr>
              <w:spacing w:line="240" w:lineRule="auto"/>
              <w:ind w:firstLine="0" w:firstLineChars="0"/>
              <w:jc w:val="center"/>
              <w:rPr>
                <w:kern w:val="0"/>
                <w:sz w:val="24"/>
              </w:rPr>
            </w:pPr>
            <w:r>
              <w:rPr>
                <w:kern w:val="0"/>
                <w:sz w:val="24"/>
              </w:rPr>
              <w:t>200</w:t>
            </w:r>
          </w:p>
        </w:tc>
        <w:tc>
          <w:tcPr>
            <w:tcW w:w="1418" w:type="dxa"/>
            <w:vAlign w:val="center"/>
          </w:tcPr>
          <w:p>
            <w:pPr>
              <w:spacing w:line="240" w:lineRule="auto"/>
              <w:ind w:firstLine="0" w:firstLineChars="0"/>
              <w:jc w:val="center"/>
              <w:rPr>
                <w:kern w:val="0"/>
                <w:sz w:val="24"/>
              </w:rPr>
            </w:pPr>
            <w:r>
              <w:rPr>
                <w:kern w:val="0"/>
                <w:sz w:val="24"/>
              </w:rPr>
              <w:t>2021-2025</w:t>
            </w:r>
          </w:p>
        </w:tc>
        <w:tc>
          <w:tcPr>
            <w:tcW w:w="1704" w:type="dxa"/>
            <w:vAlign w:val="center"/>
          </w:tcPr>
          <w:p>
            <w:pPr>
              <w:spacing w:line="240" w:lineRule="auto"/>
              <w:ind w:firstLine="0" w:firstLineChars="0"/>
              <w:jc w:val="center"/>
              <w:rPr>
                <w:kern w:val="0"/>
                <w:sz w:val="24"/>
              </w:rPr>
            </w:pPr>
            <w:r>
              <w:rPr>
                <w:kern w:val="0"/>
                <w:sz w:val="24"/>
              </w:rPr>
              <w:t>区党政办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jc w:val="center"/>
        </w:trPr>
        <w:tc>
          <w:tcPr>
            <w:tcW w:w="704" w:type="dxa"/>
            <w:vAlign w:val="center"/>
          </w:tcPr>
          <w:p>
            <w:pPr>
              <w:pStyle w:val="77"/>
              <w:numPr>
                <w:ilvl w:val="0"/>
                <w:numId w:val="2"/>
              </w:numPr>
              <w:spacing w:line="240" w:lineRule="auto"/>
              <w:ind w:firstLineChars="0"/>
              <w:jc w:val="center"/>
              <w:rPr>
                <w:kern w:val="0"/>
                <w:sz w:val="24"/>
              </w:rPr>
            </w:pPr>
          </w:p>
        </w:tc>
        <w:tc>
          <w:tcPr>
            <w:tcW w:w="3686" w:type="dxa"/>
            <w:vAlign w:val="center"/>
          </w:tcPr>
          <w:p>
            <w:pPr>
              <w:spacing w:line="240" w:lineRule="auto"/>
              <w:ind w:firstLine="0" w:firstLineChars="0"/>
              <w:jc w:val="center"/>
              <w:rPr>
                <w:kern w:val="0"/>
                <w:sz w:val="24"/>
              </w:rPr>
            </w:pPr>
            <w:r>
              <w:rPr>
                <w:kern w:val="0"/>
                <w:sz w:val="24"/>
              </w:rPr>
              <w:t>智慧深汕应急指挥平台建设项目</w:t>
            </w:r>
          </w:p>
        </w:tc>
        <w:tc>
          <w:tcPr>
            <w:tcW w:w="1134" w:type="dxa"/>
            <w:vAlign w:val="center"/>
          </w:tcPr>
          <w:p>
            <w:pPr>
              <w:spacing w:line="240" w:lineRule="auto"/>
              <w:ind w:firstLine="0" w:firstLineChars="0"/>
              <w:jc w:val="center"/>
              <w:rPr>
                <w:kern w:val="0"/>
                <w:sz w:val="24"/>
              </w:rPr>
            </w:pPr>
            <w:r>
              <w:rPr>
                <w:kern w:val="0"/>
                <w:sz w:val="24"/>
              </w:rPr>
              <w:t>200</w:t>
            </w:r>
          </w:p>
        </w:tc>
        <w:tc>
          <w:tcPr>
            <w:tcW w:w="1418" w:type="dxa"/>
            <w:vAlign w:val="center"/>
          </w:tcPr>
          <w:p>
            <w:pPr>
              <w:spacing w:line="240" w:lineRule="auto"/>
              <w:ind w:firstLine="0" w:firstLineChars="0"/>
              <w:jc w:val="center"/>
              <w:rPr>
                <w:kern w:val="0"/>
                <w:sz w:val="24"/>
              </w:rPr>
            </w:pPr>
            <w:r>
              <w:rPr>
                <w:kern w:val="0"/>
                <w:sz w:val="24"/>
              </w:rPr>
              <w:t>2021-2025</w:t>
            </w:r>
          </w:p>
        </w:tc>
        <w:tc>
          <w:tcPr>
            <w:tcW w:w="1704" w:type="dxa"/>
            <w:vAlign w:val="center"/>
          </w:tcPr>
          <w:p>
            <w:pPr>
              <w:spacing w:line="240" w:lineRule="auto"/>
              <w:ind w:firstLine="0" w:firstLineChars="0"/>
              <w:jc w:val="center"/>
              <w:rPr>
                <w:kern w:val="0"/>
                <w:sz w:val="24"/>
              </w:rPr>
            </w:pPr>
            <w:r>
              <w:rPr>
                <w:kern w:val="0"/>
                <w:sz w:val="24"/>
              </w:rPr>
              <w:t>区应急管理局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jc w:val="center"/>
        </w:trPr>
        <w:tc>
          <w:tcPr>
            <w:tcW w:w="704" w:type="dxa"/>
            <w:vAlign w:val="center"/>
          </w:tcPr>
          <w:p>
            <w:pPr>
              <w:pStyle w:val="77"/>
              <w:numPr>
                <w:ilvl w:val="0"/>
                <w:numId w:val="2"/>
              </w:numPr>
              <w:spacing w:line="240" w:lineRule="auto"/>
              <w:ind w:firstLineChars="0"/>
              <w:jc w:val="center"/>
              <w:rPr>
                <w:kern w:val="0"/>
                <w:sz w:val="24"/>
              </w:rPr>
            </w:pPr>
          </w:p>
        </w:tc>
        <w:tc>
          <w:tcPr>
            <w:tcW w:w="3686" w:type="dxa"/>
            <w:vAlign w:val="center"/>
          </w:tcPr>
          <w:p>
            <w:pPr>
              <w:spacing w:line="240" w:lineRule="auto"/>
              <w:ind w:firstLine="0" w:firstLineChars="0"/>
              <w:jc w:val="center"/>
              <w:rPr>
                <w:kern w:val="0"/>
                <w:sz w:val="24"/>
              </w:rPr>
            </w:pPr>
            <w:r>
              <w:rPr>
                <w:kern w:val="0"/>
                <w:sz w:val="24"/>
              </w:rPr>
              <w:t>应急物资储备仓库</w:t>
            </w:r>
          </w:p>
        </w:tc>
        <w:tc>
          <w:tcPr>
            <w:tcW w:w="1134" w:type="dxa"/>
            <w:vAlign w:val="center"/>
          </w:tcPr>
          <w:p>
            <w:pPr>
              <w:spacing w:line="240" w:lineRule="auto"/>
              <w:ind w:firstLine="0" w:firstLineChars="0"/>
              <w:jc w:val="center"/>
              <w:rPr>
                <w:kern w:val="0"/>
                <w:sz w:val="24"/>
              </w:rPr>
            </w:pPr>
            <w:r>
              <w:rPr>
                <w:kern w:val="0"/>
                <w:sz w:val="24"/>
              </w:rPr>
              <w:t>1000</w:t>
            </w:r>
          </w:p>
        </w:tc>
        <w:tc>
          <w:tcPr>
            <w:tcW w:w="1418" w:type="dxa"/>
            <w:vAlign w:val="center"/>
          </w:tcPr>
          <w:p>
            <w:pPr>
              <w:spacing w:line="240" w:lineRule="auto"/>
              <w:ind w:firstLine="0" w:firstLineChars="0"/>
              <w:jc w:val="center"/>
              <w:rPr>
                <w:kern w:val="0"/>
                <w:sz w:val="24"/>
              </w:rPr>
            </w:pPr>
            <w:r>
              <w:rPr>
                <w:kern w:val="0"/>
                <w:sz w:val="24"/>
              </w:rPr>
              <w:t>2021-2025</w:t>
            </w:r>
          </w:p>
        </w:tc>
        <w:tc>
          <w:tcPr>
            <w:tcW w:w="1704" w:type="dxa"/>
            <w:vAlign w:val="center"/>
          </w:tcPr>
          <w:p>
            <w:pPr>
              <w:spacing w:line="240" w:lineRule="auto"/>
              <w:ind w:firstLine="0" w:firstLineChars="0"/>
              <w:jc w:val="center"/>
              <w:rPr>
                <w:kern w:val="0"/>
                <w:sz w:val="24"/>
              </w:rPr>
            </w:pPr>
            <w:r>
              <w:rPr>
                <w:kern w:val="0"/>
                <w:sz w:val="24"/>
              </w:rPr>
              <w:t>区应急管理局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jc w:val="center"/>
        </w:trPr>
        <w:tc>
          <w:tcPr>
            <w:tcW w:w="704" w:type="dxa"/>
            <w:vAlign w:val="center"/>
          </w:tcPr>
          <w:p>
            <w:pPr>
              <w:pStyle w:val="77"/>
              <w:numPr>
                <w:ilvl w:val="0"/>
                <w:numId w:val="2"/>
              </w:numPr>
              <w:spacing w:line="240" w:lineRule="auto"/>
              <w:ind w:firstLineChars="0"/>
              <w:jc w:val="center"/>
              <w:rPr>
                <w:kern w:val="0"/>
                <w:sz w:val="24"/>
              </w:rPr>
            </w:pPr>
          </w:p>
        </w:tc>
        <w:tc>
          <w:tcPr>
            <w:tcW w:w="3686" w:type="dxa"/>
            <w:vAlign w:val="center"/>
          </w:tcPr>
          <w:p>
            <w:pPr>
              <w:spacing w:line="240" w:lineRule="auto"/>
              <w:ind w:firstLine="0" w:firstLineChars="0"/>
              <w:jc w:val="center"/>
              <w:rPr>
                <w:kern w:val="0"/>
                <w:sz w:val="24"/>
              </w:rPr>
            </w:pPr>
            <w:r>
              <w:rPr>
                <w:kern w:val="0"/>
                <w:sz w:val="24"/>
              </w:rPr>
              <w:t>全国综合减灾示范社区创建</w:t>
            </w:r>
            <w:r>
              <w:rPr>
                <w:rFonts w:hint="eastAsia"/>
                <w:sz w:val="24"/>
              </w:rPr>
              <w:t>项目</w:t>
            </w:r>
          </w:p>
        </w:tc>
        <w:tc>
          <w:tcPr>
            <w:tcW w:w="1134" w:type="dxa"/>
            <w:vAlign w:val="center"/>
          </w:tcPr>
          <w:p>
            <w:pPr>
              <w:spacing w:line="240" w:lineRule="auto"/>
              <w:ind w:firstLine="0" w:firstLineChars="0"/>
              <w:jc w:val="center"/>
              <w:rPr>
                <w:kern w:val="0"/>
                <w:sz w:val="24"/>
              </w:rPr>
            </w:pPr>
            <w:r>
              <w:rPr>
                <w:kern w:val="0"/>
                <w:sz w:val="24"/>
              </w:rPr>
              <w:t>250</w:t>
            </w:r>
          </w:p>
        </w:tc>
        <w:tc>
          <w:tcPr>
            <w:tcW w:w="1418" w:type="dxa"/>
            <w:vAlign w:val="center"/>
          </w:tcPr>
          <w:p>
            <w:pPr>
              <w:spacing w:line="240" w:lineRule="auto"/>
              <w:ind w:firstLine="0" w:firstLineChars="0"/>
              <w:jc w:val="center"/>
              <w:rPr>
                <w:kern w:val="0"/>
                <w:sz w:val="24"/>
              </w:rPr>
            </w:pPr>
            <w:r>
              <w:rPr>
                <w:kern w:val="0"/>
                <w:sz w:val="24"/>
              </w:rPr>
              <w:t>2021-2025</w:t>
            </w:r>
          </w:p>
        </w:tc>
        <w:tc>
          <w:tcPr>
            <w:tcW w:w="1704" w:type="dxa"/>
            <w:vAlign w:val="center"/>
          </w:tcPr>
          <w:p>
            <w:pPr>
              <w:spacing w:line="240" w:lineRule="auto"/>
              <w:ind w:firstLine="0" w:firstLineChars="0"/>
              <w:jc w:val="center"/>
              <w:rPr>
                <w:kern w:val="0"/>
                <w:sz w:val="24"/>
              </w:rPr>
            </w:pPr>
            <w:r>
              <w:rPr>
                <w:kern w:val="0"/>
                <w:sz w:val="24"/>
              </w:rPr>
              <w:t>区应急管理局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jc w:val="center"/>
        </w:trPr>
        <w:tc>
          <w:tcPr>
            <w:tcW w:w="704" w:type="dxa"/>
            <w:vAlign w:val="center"/>
          </w:tcPr>
          <w:p>
            <w:pPr>
              <w:pStyle w:val="77"/>
              <w:numPr>
                <w:ilvl w:val="0"/>
                <w:numId w:val="2"/>
              </w:numPr>
              <w:spacing w:line="240" w:lineRule="auto"/>
              <w:ind w:firstLineChars="0"/>
              <w:jc w:val="center"/>
              <w:rPr>
                <w:kern w:val="0"/>
                <w:sz w:val="24"/>
              </w:rPr>
            </w:pPr>
          </w:p>
        </w:tc>
        <w:tc>
          <w:tcPr>
            <w:tcW w:w="3686" w:type="dxa"/>
            <w:vAlign w:val="center"/>
          </w:tcPr>
          <w:p>
            <w:pPr>
              <w:spacing w:line="240" w:lineRule="auto"/>
              <w:ind w:firstLine="0" w:firstLineChars="0"/>
              <w:jc w:val="center"/>
              <w:rPr>
                <w:kern w:val="0"/>
                <w:sz w:val="24"/>
              </w:rPr>
            </w:pPr>
            <w:r>
              <w:rPr>
                <w:kern w:val="0"/>
                <w:sz w:val="24"/>
              </w:rPr>
              <w:t>应急（安全）宣传体验馆</w:t>
            </w:r>
          </w:p>
          <w:p>
            <w:pPr>
              <w:spacing w:line="240" w:lineRule="auto"/>
              <w:ind w:firstLine="0" w:firstLineChars="0"/>
              <w:jc w:val="center"/>
              <w:rPr>
                <w:kern w:val="0"/>
                <w:sz w:val="24"/>
              </w:rPr>
            </w:pPr>
            <w:r>
              <w:rPr>
                <w:kern w:val="0"/>
                <w:sz w:val="24"/>
              </w:rPr>
              <w:t>建设</w:t>
            </w:r>
            <w:r>
              <w:rPr>
                <w:rFonts w:hint="eastAsia"/>
                <w:sz w:val="24"/>
              </w:rPr>
              <w:t>工程</w:t>
            </w:r>
          </w:p>
        </w:tc>
        <w:tc>
          <w:tcPr>
            <w:tcW w:w="1134" w:type="dxa"/>
            <w:vAlign w:val="center"/>
          </w:tcPr>
          <w:p>
            <w:pPr>
              <w:spacing w:line="240" w:lineRule="auto"/>
              <w:ind w:firstLine="0" w:firstLineChars="0"/>
              <w:jc w:val="center"/>
              <w:rPr>
                <w:kern w:val="0"/>
                <w:sz w:val="24"/>
              </w:rPr>
            </w:pPr>
            <w:r>
              <w:rPr>
                <w:kern w:val="0"/>
                <w:sz w:val="24"/>
              </w:rPr>
              <w:t>5000</w:t>
            </w:r>
          </w:p>
        </w:tc>
        <w:tc>
          <w:tcPr>
            <w:tcW w:w="1418" w:type="dxa"/>
            <w:vAlign w:val="center"/>
          </w:tcPr>
          <w:p>
            <w:pPr>
              <w:spacing w:line="240" w:lineRule="auto"/>
              <w:ind w:firstLine="0" w:firstLineChars="0"/>
              <w:jc w:val="center"/>
              <w:rPr>
                <w:kern w:val="0"/>
                <w:sz w:val="24"/>
              </w:rPr>
            </w:pPr>
            <w:r>
              <w:rPr>
                <w:kern w:val="0"/>
                <w:sz w:val="24"/>
              </w:rPr>
              <w:t>2021-2025</w:t>
            </w:r>
          </w:p>
        </w:tc>
        <w:tc>
          <w:tcPr>
            <w:tcW w:w="1704" w:type="dxa"/>
            <w:vAlign w:val="center"/>
          </w:tcPr>
          <w:p>
            <w:pPr>
              <w:spacing w:line="240" w:lineRule="auto"/>
              <w:ind w:firstLine="0" w:firstLineChars="0"/>
              <w:jc w:val="center"/>
              <w:rPr>
                <w:kern w:val="0"/>
                <w:sz w:val="24"/>
              </w:rPr>
            </w:pPr>
            <w:r>
              <w:rPr>
                <w:kern w:val="0"/>
                <w:sz w:val="24"/>
              </w:rPr>
              <w:t>区应急管理局</w:t>
            </w:r>
          </w:p>
        </w:tc>
      </w:tr>
    </w:tbl>
    <w:p>
      <w:pPr>
        <w:ind w:firstLine="0" w:firstLineChars="0"/>
        <w:rPr>
          <w:shd w:val="clear" w:color="auto" w:fill="FFFFFF"/>
        </w:rPr>
      </w:pPr>
    </w:p>
    <w:p>
      <w:pPr>
        <w:ind w:firstLine="0" w:firstLineChars="0"/>
        <w:rPr>
          <w:shd w:val="clear" w:color="auto" w:fill="FFFFFF"/>
        </w:rPr>
      </w:pPr>
    </w:p>
    <w:p>
      <w:pPr>
        <w:ind w:firstLine="0" w:firstLineChars="0"/>
        <w:jc w:val="center"/>
        <w:rPr>
          <w:b/>
        </w:rPr>
      </w:pPr>
    </w:p>
    <w:p>
      <w:pPr>
        <w:ind w:firstLine="640"/>
        <w:rPr>
          <w:color w:val="000000"/>
        </w:rPr>
        <w:sectPr>
          <w:pgSz w:w="11907" w:h="16840"/>
          <w:pgMar w:top="1440" w:right="1800" w:bottom="1440" w:left="1800" w:header="1134" w:footer="1134" w:gutter="0"/>
          <w:cols w:space="720" w:num="1"/>
          <w:docGrid w:linePitch="435" w:charSpace="0"/>
        </w:sectPr>
      </w:pPr>
    </w:p>
    <w:p>
      <w:pPr>
        <w:pStyle w:val="2"/>
      </w:pPr>
      <w:bookmarkStart w:id="127" w:name="_Toc269270814"/>
      <w:bookmarkStart w:id="128" w:name="_Toc275349716"/>
      <w:bookmarkStart w:id="129" w:name="_Toc419963434"/>
      <w:bookmarkStart w:id="130" w:name="_Toc279407522"/>
      <w:bookmarkStart w:id="131" w:name="_Toc265562526"/>
      <w:bookmarkStart w:id="132" w:name="_Toc80221606"/>
      <w:bookmarkStart w:id="133" w:name="_Toc265398809"/>
      <w:r>
        <w:t>第五章 保障措施</w:t>
      </w:r>
      <w:bookmarkEnd w:id="127"/>
      <w:bookmarkEnd w:id="128"/>
      <w:bookmarkEnd w:id="129"/>
      <w:bookmarkEnd w:id="130"/>
      <w:bookmarkEnd w:id="131"/>
      <w:bookmarkEnd w:id="132"/>
      <w:bookmarkEnd w:id="133"/>
    </w:p>
    <w:p>
      <w:pPr>
        <w:pStyle w:val="3"/>
      </w:pPr>
      <w:bookmarkStart w:id="134" w:name="_Toc419963435"/>
      <w:bookmarkStart w:id="135" w:name="_Toc80221607"/>
      <w:r>
        <mc:AlternateContent>
          <mc:Choice Requires="wps">
            <w:drawing>
              <wp:anchor distT="0" distB="0" distL="114300" distR="114300" simplePos="0" relativeHeight="251662336" behindDoc="0" locked="0" layoutInCell="1" allowOverlap="1">
                <wp:simplePos x="0" y="0"/>
                <wp:positionH relativeFrom="column">
                  <wp:posOffset>-4244975</wp:posOffset>
                </wp:positionH>
                <wp:positionV relativeFrom="paragraph">
                  <wp:posOffset>280035</wp:posOffset>
                </wp:positionV>
                <wp:extent cx="4028440" cy="7204710"/>
                <wp:effectExtent l="0" t="1270" r="0" b="4445"/>
                <wp:wrapNone/>
                <wp:docPr id="22" name="Quad Arrow 245"/>
                <wp:cNvGraphicFramePr/>
                <a:graphic xmlns:a="http://schemas.openxmlformats.org/drawingml/2006/main">
                  <a:graphicData uri="http://schemas.microsoft.com/office/word/2010/wordprocessingShape">
                    <wps:wsp>
                      <wps:cNvSpPr txBox="1">
                        <a:spLocks noChangeArrowheads="1"/>
                      </wps:cNvSpPr>
                      <wps:spPr bwMode="auto">
                        <a:xfrm>
                          <a:off x="0" y="0"/>
                          <a:ext cx="4028440" cy="7204710"/>
                        </a:xfrm>
                        <a:prstGeom prst="rect">
                          <a:avLst/>
                        </a:prstGeom>
                        <a:solidFill>
                          <a:srgbClr val="FFFFFF"/>
                        </a:solidFill>
                        <a:ln>
                          <a:noFill/>
                        </a:ln>
                      </wps:spPr>
                      <wps:txbx>
                        <w:txbxContent>
                          <w:p>
                            <w:pPr>
                              <w:ind w:firstLine="640"/>
                            </w:pPr>
                          </w:p>
                        </w:txbxContent>
                      </wps:txbx>
                      <wps:bodyPr rot="0" vert="horz" wrap="square" lIns="91440" tIns="45720" rIns="91440" bIns="45720" anchor="t" anchorCtr="0" upright="1">
                        <a:noAutofit/>
                      </wps:bodyPr>
                    </wps:wsp>
                  </a:graphicData>
                </a:graphic>
              </wp:anchor>
            </w:drawing>
          </mc:Choice>
          <mc:Fallback>
            <w:pict>
              <v:shape id="Quad Arrow 245" o:spid="_x0000_s1026" o:spt="202" type="#_x0000_t202" style="position:absolute;left:0pt;margin-left:-334.25pt;margin-top:22.05pt;height:567.3pt;width:317.2pt;z-index:251662336;mso-width-relative:page;mso-height-relative:page;" fillcolor="#FFFFFF" filled="t" stroked="f" coordsize="21600,21600" o:gfxdata="UEsDBAoAAAAAAIdO4kAAAAAAAAAAAAAAAAAEAAAAZHJzL1BLAwQUAAAACACHTuJAXuxdItkAAAAM&#10;AQAADwAAAGRycy9kb3ducmV2LnhtbE2P3U6DQBBG7018h82YeGPoglJAZGmiicbb/jzAwE6ByO4S&#10;dlvat3d6pXczmZNvzldtLmYUZ5r94KyCZBWDINs6PdhOwWH/GRUgfECrcXSWFFzJw6a+v6uw1G6x&#10;WzrvQic4xPoSFfQhTKWUvu3JoF+5iSzfjm42GHidO6lnXDjcjPI5jjNpcLD8oceJPnpqf3Yno+D4&#10;vTytX5fmKxzybZq945A37qrU40MSv4EIdAl/MNz0WR1qdmrcyWovRgVRlhVrZhWkaQKCiejlNjSM&#10;JnmRg6wr+b9E/QtQSwMEFAAAAAgAh07iQJRtM0IdAgAAQwQAAA4AAABkcnMvZTJvRG9jLnhtbK1T&#10;TW/bMAy9D9h/EHRf7Bju2hlxii5BhgHdF7r9AFmWbWG2qFFK7OzXj5LTLMguPcwHQxTJR75HanU/&#10;DT07KHQaTMmXi5QzZSTU2rQl//F99+aOM+eFqUUPRpX8qBy/X79+tRptoTLooK8VMgIxrhhtyTvv&#10;bZEkTnZqEG4BVhlyNoCD8GRim9QoRkIf+iRL07fJCFhbBKmco9vt7OQnRHwJIDSNlmoLcj8o42dU&#10;VL3wRMl12jq+jt02jZL+S9M45VlfcmLq45+K0LkK/2S9EkWLwnZanloQL2nhitMgtKGiZ6it8ILt&#10;Uf8DNWiJ4KDxCwlDMhOJihCLZXqlzVMnrIpcSGpnz6K7/wcrPx++ItN1ybOMMyMGmvi3vajZAyKM&#10;LMtvgkSjdQVFPlmK9dN7mGhxIl1nH0H+dMzAphOmVTGrU6KmFpchM7lInXFcAKnGT1BTKbH3EIGm&#10;BoegHynCCJ3GczyPR02eSbrM0+wuz8klyXebpfntMg4wEcVzukXnPygYWDiUHGn+EV4cHp0P7Yji&#10;OSRUc9Dreqf7PhrYVpse2UHQruziFxlchfUmBBsIaTNiuIk8A7WZpJ+q6aRbBfWRGCPMu0cvjw4d&#10;4G/ORtq7krtfe4GKs/6jIdXeLSNFH438hmhyhpee6tIjjCSoknvO5uPGz8u9t6jbjirNczLwQEo3&#10;OmoQRjJ3deqbditKc3oHYXkv7Rj19+2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e7F0i2QAA&#10;AAwBAAAPAAAAAAAAAAEAIAAAACIAAABkcnMvZG93bnJldi54bWxQSwECFAAUAAAACACHTuJAlG0z&#10;Qh0CAABDBAAADgAAAAAAAAABACAAAAAoAQAAZHJzL2Uyb0RvYy54bWxQSwUGAAAAAAYABgBZAQAA&#10;twUAAAAA&#10;">
                <v:fill on="t" focussize="0,0"/>
                <v:stroke on="f"/>
                <v:imagedata o:title=""/>
                <o:lock v:ext="edit" aspectratio="f"/>
                <v:textbox>
                  <w:txbxContent>
                    <w:p>
                      <w:pPr>
                        <w:ind w:firstLine="640"/>
                      </w:pPr>
                    </w:p>
                  </w:txbxContent>
                </v:textbox>
              </v:shape>
            </w:pict>
          </mc:Fallback>
        </mc:AlternateContent>
      </w:r>
      <w:r>
        <w:t>第一节 加强组织领导，落实政府保障</w:t>
      </w:r>
      <w:bookmarkEnd w:id="134"/>
      <w:bookmarkEnd w:id="135"/>
    </w:p>
    <w:bookmarkEnd w:id="28"/>
    <w:bookmarkEnd w:id="29"/>
    <w:bookmarkEnd w:id="30"/>
    <w:p>
      <w:pPr>
        <w:ind w:firstLine="640"/>
        <w:rPr>
          <w:shd w:val="clear" w:color="auto" w:fill="FFFFFF"/>
        </w:rPr>
      </w:pPr>
      <w:r>
        <w:rPr>
          <w:shd w:val="clear" w:color="auto" w:fill="FFFFFF"/>
        </w:rPr>
        <w:t>加强组织领导</w:t>
      </w:r>
      <w:r>
        <w:rPr>
          <w:rFonts w:hint="eastAsia"/>
          <w:shd w:val="clear" w:color="auto" w:fill="FFFFFF"/>
        </w:rPr>
        <w:t>，</w:t>
      </w:r>
      <w:r>
        <w:rPr>
          <w:shd w:val="clear" w:color="auto" w:fill="FFFFFF"/>
        </w:rPr>
        <w:t>根据全区经济社会发展目标，落实工作责任，加强协商、密切配合、联动实施，积极解决应急管理事业改革发展中存在的问题。</w:t>
      </w:r>
    </w:p>
    <w:p>
      <w:pPr>
        <w:ind w:firstLine="640"/>
        <w:rPr>
          <w:shd w:val="clear" w:color="auto" w:fill="FFFFFF"/>
        </w:rPr>
      </w:pPr>
      <w:r>
        <w:rPr>
          <w:shd w:val="clear" w:color="auto" w:fill="FFFFFF"/>
        </w:rPr>
        <w:t>强化责任落实</w:t>
      </w:r>
      <w:r>
        <w:rPr>
          <w:rFonts w:hint="eastAsia"/>
          <w:shd w:val="clear" w:color="auto" w:fill="FFFFFF"/>
        </w:rPr>
        <w:t>。</w:t>
      </w:r>
      <w:r>
        <w:rPr>
          <w:shd w:val="clear" w:color="auto" w:fill="FFFFFF"/>
        </w:rPr>
        <w:t>一是将本规划主要内容纳入合作区国民经济和社会发展“十四五”规划中，统筹协调，同步推进。二是将本规划实施工作纳入政府、部门的目标考核系统。三是加强对重大和难点问题的协调，明确节点，抓推进、抓协调、抓落实。</w:t>
      </w:r>
    </w:p>
    <w:p>
      <w:pPr>
        <w:ind w:firstLine="640"/>
        <w:rPr>
          <w:shd w:val="clear" w:color="auto" w:fill="FFFFFF"/>
        </w:rPr>
      </w:pPr>
      <w:r>
        <w:rPr>
          <w:shd w:val="clear" w:color="auto" w:fill="FFFFFF"/>
        </w:rPr>
        <w:t>强化监督检查</w:t>
      </w:r>
      <w:r>
        <w:rPr>
          <w:rFonts w:hint="eastAsia"/>
          <w:shd w:val="clear" w:color="auto" w:fill="FFFFFF"/>
        </w:rPr>
        <w:t>。</w:t>
      </w:r>
      <w:r>
        <w:rPr>
          <w:shd w:val="clear" w:color="auto" w:fill="FFFFFF"/>
        </w:rPr>
        <w:t>一是强化规划项目计划编制，明确任务目标、时间节点、责任单位和责任人。二是强化推进督查考核，区应急管理局要组织督查任务落实情况。</w:t>
      </w:r>
    </w:p>
    <w:p>
      <w:pPr>
        <w:ind w:firstLine="640"/>
        <w:rPr>
          <w:shd w:val="clear" w:color="auto" w:fill="FFFFFF"/>
        </w:rPr>
      </w:pPr>
      <w:r>
        <w:rPr>
          <w:shd w:val="clear" w:color="auto" w:fill="FFFFFF"/>
        </w:rPr>
        <w:t>强化合力共治</w:t>
      </w:r>
      <w:r>
        <w:rPr>
          <w:rFonts w:hint="eastAsia"/>
          <w:shd w:val="clear" w:color="auto" w:fill="FFFFFF"/>
        </w:rPr>
        <w:t>。</w:t>
      </w:r>
      <w:r>
        <w:rPr>
          <w:shd w:val="clear" w:color="auto" w:fill="FFFFFF"/>
        </w:rPr>
        <w:t>应急管理工作需要多个职能部门的协作和监督管理，区应急管理部门要继续主动加强与公安、消防、城管、交通、规资、住建等部门保持良好的合作关系，为做好应急管理工作创造良好的外部环境。</w:t>
      </w:r>
    </w:p>
    <w:p>
      <w:pPr>
        <w:pStyle w:val="3"/>
      </w:pPr>
      <w:bookmarkStart w:id="136" w:name="_Toc419963436"/>
      <w:bookmarkStart w:id="137" w:name="_Toc80221608"/>
      <w:r>
        <w:t>第二节 强化人才队伍，适应发展需求</w:t>
      </w:r>
      <w:bookmarkEnd w:id="136"/>
      <w:bookmarkEnd w:id="137"/>
    </w:p>
    <w:p>
      <w:pPr>
        <w:ind w:firstLine="640"/>
        <w:rPr>
          <w:shd w:val="clear" w:color="auto" w:fill="FFFFFF"/>
        </w:rPr>
      </w:pPr>
      <w:r>
        <w:rPr>
          <w:shd w:val="clear" w:color="auto" w:fill="FFFFFF"/>
        </w:rPr>
        <w:t>进一步加大干部培养和人才引进力度，不断完善应急管理人才支撑体系，营造吸引人才、重用人才、培养人才的良好环境。</w:t>
      </w:r>
    </w:p>
    <w:p>
      <w:pPr>
        <w:ind w:firstLine="640"/>
        <w:rPr>
          <w:shd w:val="clear" w:color="auto" w:fill="FFFFFF"/>
        </w:rPr>
      </w:pPr>
      <w:r>
        <w:rPr>
          <w:shd w:val="clear" w:color="auto" w:fill="FFFFFF"/>
        </w:rPr>
        <w:t>一是培养选拔德才兼备的管理型人才。坚持德才兼备，以德为先的用人标准，努力提高人才队伍的政治素质、文化素质、技术素质和管理素质。</w:t>
      </w:r>
    </w:p>
    <w:p>
      <w:pPr>
        <w:ind w:firstLine="640"/>
        <w:rPr>
          <w:shd w:val="clear" w:color="auto" w:fill="FFFFFF"/>
        </w:rPr>
      </w:pPr>
      <w:r>
        <w:rPr>
          <w:shd w:val="clear" w:color="auto" w:fill="FFFFFF"/>
        </w:rPr>
        <w:t>二是培养造就开拓创新的专业型人才。加大应急管理监管执法队伍专业技术教育培训力度，推动现有监管执法人员专业化发展，努力改善现有人才队伍结构，提高现有人才业务素质和创新能力。</w:t>
      </w:r>
    </w:p>
    <w:p>
      <w:pPr>
        <w:pStyle w:val="3"/>
      </w:pPr>
      <w:bookmarkStart w:id="138" w:name="_Toc80221609"/>
      <w:bookmarkStart w:id="139" w:name="_Toc419963437"/>
      <w:r>
        <w:t>第三节 拓宽融资渠道，确保资金投入</w:t>
      </w:r>
      <w:bookmarkEnd w:id="138"/>
      <w:bookmarkEnd w:id="139"/>
    </w:p>
    <w:p>
      <w:pPr>
        <w:ind w:firstLine="640"/>
        <w:rPr>
          <w:shd w:val="clear" w:color="auto" w:fill="FFFFFF"/>
        </w:rPr>
      </w:pPr>
      <w:r>
        <w:rPr>
          <w:shd w:val="clear" w:color="auto" w:fill="FFFFFF"/>
        </w:rPr>
        <w:t>基于应急管理工作的重要性、基础性、战略性、公益性，要建立健全稳定应急管理长效资金投入机制，加大对重大应急和安全基础设施建设的支持力度，要充分发挥财政资金的引导作用，鼓励和吸引社会资本参与应急管理。创新投融资体制机制，在加大政府财政资金投入的同时，加大市场融资力度，拓展多元化投融资渠道。</w:t>
      </w:r>
    </w:p>
    <w:p>
      <w:pPr>
        <w:pStyle w:val="3"/>
      </w:pPr>
      <w:bookmarkStart w:id="140" w:name="_Toc80221610"/>
      <w:r>
        <mc:AlternateContent>
          <mc:Choice Requires="wps">
            <w:drawing>
              <wp:anchor distT="0" distB="0" distL="114300" distR="114300" simplePos="0" relativeHeight="251663360" behindDoc="0" locked="0" layoutInCell="1" allowOverlap="1">
                <wp:simplePos x="0" y="0"/>
                <wp:positionH relativeFrom="column">
                  <wp:posOffset>-4264660</wp:posOffset>
                </wp:positionH>
                <wp:positionV relativeFrom="paragraph">
                  <wp:posOffset>-385445</wp:posOffset>
                </wp:positionV>
                <wp:extent cx="4017010" cy="6449695"/>
                <wp:effectExtent l="4445" t="0" r="0" b="0"/>
                <wp:wrapNone/>
                <wp:docPr id="39" name="Quad Arrow 246"/>
                <wp:cNvGraphicFramePr/>
                <a:graphic xmlns:a="http://schemas.openxmlformats.org/drawingml/2006/main">
                  <a:graphicData uri="http://schemas.microsoft.com/office/word/2010/wordprocessingShape">
                    <wps:wsp>
                      <wps:cNvSpPr txBox="1">
                        <a:spLocks noChangeArrowheads="1"/>
                      </wps:cNvSpPr>
                      <wps:spPr bwMode="auto">
                        <a:xfrm>
                          <a:off x="0" y="0"/>
                          <a:ext cx="4017010" cy="6449695"/>
                        </a:xfrm>
                        <a:prstGeom prst="rect">
                          <a:avLst/>
                        </a:prstGeom>
                        <a:solidFill>
                          <a:srgbClr val="FFFFFF"/>
                        </a:solidFill>
                        <a:ln>
                          <a:noFill/>
                        </a:ln>
                      </wps:spPr>
                      <wps:txbx>
                        <w:txbxContent>
                          <w:p>
                            <w:pPr>
                              <w:ind w:firstLine="640"/>
                            </w:pPr>
                          </w:p>
                        </w:txbxContent>
                      </wps:txbx>
                      <wps:bodyPr rot="0" vert="horz" wrap="square" lIns="91440" tIns="45720" rIns="91440" bIns="45720" anchor="t" anchorCtr="0" upright="1">
                        <a:noAutofit/>
                      </wps:bodyPr>
                    </wps:wsp>
                  </a:graphicData>
                </a:graphic>
              </wp:anchor>
            </w:drawing>
          </mc:Choice>
          <mc:Fallback>
            <w:pict>
              <v:shape id="Quad Arrow 246" o:spid="_x0000_s1026" o:spt="202" type="#_x0000_t202" style="position:absolute;left:0pt;margin-left:-335.8pt;margin-top:-30.35pt;height:507.85pt;width:316.3pt;z-index:251663360;mso-width-relative:page;mso-height-relative:page;" fillcolor="#FFFFFF" filled="t" stroked="f" coordsize="21600,21600" o:gfxdata="UEsDBAoAAAAAAIdO4kAAAAAAAAAAAAAAAAAEAAAAZHJzL1BLAwQUAAAACACHTuJAVZz6q9kAAAAM&#10;AQAADwAAAGRycy9kb3ducmV2LnhtbE2PwU6DQBCG7ya+w2ZMvBi6iwoIsjTRpMZrax9ggC0Q2VnC&#10;bkv79p2e9DaT+fLP95frsx3Fycx+cKQhXikQhhrXDtRp2P9sojcQPiC1ODoyGi7Gw7q6vyuxaN1C&#10;W3PahU5wCPkCNfQhTIWUvumNRb9ykyG+HdxsMfA6d7KdceFwO8pnpVJpcSD+0ONkPnvT/O6OVsPh&#10;e3lK8qX+Cvts+5p+4JDV7qL140Os3kEEcw5/MNz0WR0qdqrdkVovRg1RmsUps7dJZSAYiV5yrldr&#10;yJNEgaxK+b9EdQVQSwMEFAAAAAgAh07iQAksNbMfAgAAQwQAAA4AAABkcnMvZTJvRG9jLnhtbK1T&#10;TW/bMAy9D9h/EHRfnGRuuhhxii5BhgHdF7r9AFmWY2G2qFFy7O7Xl5LdLOsuPcwHQxTJR75HanMz&#10;tA07KXQaTM4XszlnykgotTnm/Mf3w5t3nDkvTCkaMCrnD8rxm+3rV5veZmoJNTSlQkYgxmW9zXnt&#10;vc2SxMlatcLNwCpDzgqwFZ5MPCYlip7Q2yZZzuerpAcsLYJUztHtfnTyCRFfAghVpaXag+xaZfyI&#10;iqoRnii5WlvHt7HbqlLSf6kqpzxrck5MffxTEToX4Z9sNyI7orC1llML4iUtPOPUCm2o6BlqL7xg&#10;Hep/oFotERxUfiahTUYiURFisZg/0+a+FlZFLiS1s2fR3f+DlZ9PX5HpMudv15wZ0dLEv3WiZLeI&#10;0LNlugoS9dZlFHlvKdYP72GgxYl0nb0D+dMxA7tamKOKWbUSJbW4CJnJReqI4wJI0X+CkkqJzkME&#10;Gipsg36kCCN0Gs/DeTxq8EzSZTpfXJNInEnyrdJ0vVpfxRoie0q36PwHBS0Lh5wjzT/Ci9Od86Ed&#10;kT2FhGoOGl0edNNEA4/FrkF2ErQrh/hN6H+FNSYEGwhpI2K4iTwDtZGkH4ph0q2A8oEYI4y7Ry+P&#10;DjXgb8562rucu1+dQMVZ89GQautFmoZFjUZ6db0kAy89xaVHGElQOfecjcedH5e7s6iPNVUa52Tg&#10;lpSudNQgjGTsauqbditKM72DsLyXdoz68/a3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Wc+qvZ&#10;AAAADAEAAA8AAAAAAAAAAQAgAAAAIgAAAGRycy9kb3ducmV2LnhtbFBLAQIUABQAAAAIAIdO4kAJ&#10;LDWzHwIAAEMEAAAOAAAAAAAAAAEAIAAAACgBAABkcnMvZTJvRG9jLnhtbFBLBQYAAAAABgAGAFkB&#10;AAC5BQAAAAA=&#10;">
                <v:fill on="t" focussize="0,0"/>
                <v:stroke on="f"/>
                <v:imagedata o:title=""/>
                <o:lock v:ext="edit" aspectratio="f"/>
                <v:textbox>
                  <w:txbxContent>
                    <w:p>
                      <w:pPr>
                        <w:ind w:firstLine="640"/>
                      </w:pPr>
                    </w:p>
                  </w:txbxContent>
                </v:textbox>
              </v:shape>
            </w:pict>
          </mc:Fallback>
        </mc:AlternateContent>
      </w:r>
      <w:bookmarkEnd w:id="31"/>
      <w:r>
        <w:t>第四节 加强考核评估，强化规划管理</w:t>
      </w:r>
      <w:bookmarkEnd w:id="140"/>
    </w:p>
    <w:p>
      <w:pPr>
        <w:ind w:firstLine="640"/>
        <w:rPr>
          <w:shd w:val="clear" w:color="auto" w:fill="FFFFFF"/>
        </w:rPr>
      </w:pPr>
      <w:r>
        <w:rPr>
          <w:shd w:val="clear" w:color="auto" w:fill="FFFFFF"/>
        </w:rPr>
        <w:t>合作区应急管理局</w:t>
      </w:r>
      <w:r>
        <w:rPr>
          <w:rFonts w:hint="eastAsia"/>
          <w:shd w:val="clear" w:color="auto" w:fill="FFFFFF"/>
        </w:rPr>
        <w:t>要</w:t>
      </w:r>
      <w:r>
        <w:rPr>
          <w:shd w:val="clear" w:color="auto" w:fill="FFFFFF"/>
        </w:rPr>
        <w:t>建立规划实施跟踪评估和考核制度，每年对规划主要任务和重点项目实施情况进行检查，并纳入年度应急管理工作考核，考核评估细则另行规定。在2023年底和2025年底分别对规划的实施情况进行中期和终期评估，对规划实施进度严重滞后的责任单位和责任人进行通报，并督促责任单位和责任人提出整改措施并落实，确保规划相关任务工程高质量完成。</w:t>
      </w:r>
    </w:p>
    <w:p>
      <w:pPr>
        <w:widowControl/>
        <w:spacing w:line="240" w:lineRule="auto"/>
        <w:ind w:firstLine="0" w:firstLineChars="0"/>
        <w:jc w:val="left"/>
        <w:rPr>
          <w:shd w:val="clear" w:color="auto" w:fill="FFFFFF"/>
        </w:rPr>
      </w:pPr>
      <w:r>
        <w:rPr>
          <w:shd w:val="clear" w:color="auto" w:fill="FFFFFF"/>
        </w:rPr>
        <w:br w:type="page"/>
      </w:r>
    </w:p>
    <w:p>
      <w:pPr>
        <w:pStyle w:val="2"/>
        <w:rPr>
          <w:shd w:val="clear" w:color="auto" w:fill="FFFFFF"/>
        </w:rPr>
      </w:pPr>
      <w:bookmarkStart w:id="141" w:name="_Toc80221611"/>
      <w:r>
        <w:rPr>
          <w:shd w:val="clear" w:color="auto" w:fill="FFFFFF"/>
        </w:rPr>
        <w:t>附件一：区域概述</w:t>
      </w:r>
      <w:bookmarkEnd w:id="141"/>
    </w:p>
    <w:p>
      <w:pPr>
        <w:pStyle w:val="3"/>
      </w:pPr>
      <w:bookmarkStart w:id="142" w:name="_Toc80221612"/>
      <w:r>
        <w:t>第一节 自然地理</w:t>
      </w:r>
      <w:bookmarkEnd w:id="142"/>
    </w:p>
    <w:p>
      <w:pPr>
        <w:pStyle w:val="4"/>
        <w:ind w:firstLine="640"/>
      </w:pPr>
      <w:bookmarkStart w:id="143" w:name="_Toc80221613"/>
      <w:r>
        <w:t>一、地理位置</w:t>
      </w:r>
      <w:bookmarkEnd w:id="143"/>
    </w:p>
    <w:p>
      <w:pPr>
        <w:ind w:firstLine="640"/>
        <w:rPr>
          <w:snapToGrid w:val="0"/>
        </w:rPr>
      </w:pPr>
      <w:r>
        <w:rPr>
          <w:snapToGrid w:val="0"/>
        </w:rPr>
        <w:t>合作区位于广东省汕尾市西南部，粤港澳大湾区最东端，西北与惠州市惠东县接壤，东与汕尾市海丰县相连，南临红海湾，处于广惠高速、深汕高速、324国道、厦深铁路交汇点。总面积468.3平方公里，海域面积1152平方公里。距广州200km、深圳100km、汕头200km，距太平洋国际航道12km，距汕尾港35km，距小漠深水码头5km，距盐田港80km，驱车至深圳市中心区仅1个半小时车程。地处珠三角经济圈和海峡西岸经济圈结合部，是珠三角通往粤东的桥头堡，是粤港澳大湾区向粤东沿海经济带辐射的重要战略增长极，区位优势显著。</w:t>
      </w:r>
    </w:p>
    <w:p>
      <w:pPr>
        <w:ind w:firstLine="640"/>
        <w:rPr>
          <w:snapToGrid w:val="0"/>
        </w:rPr>
      </w:pPr>
    </w:p>
    <w:p>
      <w:pPr>
        <w:pStyle w:val="75"/>
        <w:rPr>
          <w:rFonts w:ascii="Times New Roman" w:hAnsi="Times New Roman" w:cs="Times New Roman"/>
          <w:snapToGrid w:val="0"/>
          <w:color w:val="000000"/>
          <w:szCs w:val="32"/>
        </w:rPr>
      </w:pPr>
      <w:r>
        <w:rPr>
          <w:rFonts w:ascii="Times New Roman" w:hAnsi="Times New Roman" w:cs="Times New Roman"/>
        </w:rPr>
        <w:drawing>
          <wp:inline distT="0" distB="0" distL="0" distR="0">
            <wp:extent cx="3453130" cy="263080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453130" cy="2630805"/>
                    </a:xfrm>
                    <a:prstGeom prst="rect">
                      <a:avLst/>
                    </a:prstGeom>
                  </pic:spPr>
                </pic:pic>
              </a:graphicData>
            </a:graphic>
          </wp:inline>
        </w:drawing>
      </w:r>
    </w:p>
    <w:p>
      <w:pPr>
        <w:pStyle w:val="75"/>
        <w:rPr>
          <w:rFonts w:ascii="Times New Roman" w:hAnsi="Times New Roman" w:cs="Times New Roman"/>
          <w:snapToGrid w:val="0"/>
          <w:color w:val="000000"/>
          <w:szCs w:val="32"/>
        </w:rPr>
      </w:pPr>
    </w:p>
    <w:p>
      <w:pPr>
        <w:pStyle w:val="75"/>
        <w:rPr>
          <w:rFonts w:ascii="Times New Roman" w:hAnsi="Times New Roman" w:cs="Times New Roman"/>
          <w:snapToGrid w:val="0"/>
          <w:color w:val="000000"/>
          <w:szCs w:val="32"/>
        </w:rPr>
      </w:pPr>
      <w:r>
        <w:rPr>
          <w:rFonts w:ascii="Times New Roman" w:hAnsi="Times New Roman" w:cs="Times New Roman"/>
        </w:rPr>
        <mc:AlternateContent>
          <mc:Choice Requires="wps">
            <w:drawing>
              <wp:anchor distT="0" distB="0" distL="114300" distR="114300" simplePos="0" relativeHeight="251670528" behindDoc="0" locked="0" layoutInCell="1" allowOverlap="1">
                <wp:simplePos x="0" y="0"/>
                <wp:positionH relativeFrom="margin">
                  <wp:posOffset>1170940</wp:posOffset>
                </wp:positionH>
                <wp:positionV relativeFrom="paragraph">
                  <wp:posOffset>4445</wp:posOffset>
                </wp:positionV>
                <wp:extent cx="2924175" cy="516255"/>
                <wp:effectExtent l="0" t="0" r="9525" b="0"/>
                <wp:wrapNone/>
                <wp:docPr id="15" name="文本框 15"/>
                <wp:cNvGraphicFramePr/>
                <a:graphic xmlns:a="http://schemas.openxmlformats.org/drawingml/2006/main">
                  <a:graphicData uri="http://schemas.microsoft.com/office/word/2010/wordprocessingShape">
                    <wps:wsp>
                      <wps:cNvSpPr txBox="1"/>
                      <wps:spPr>
                        <a:xfrm>
                          <a:off x="0" y="0"/>
                          <a:ext cx="2924270" cy="516048"/>
                        </a:xfrm>
                        <a:prstGeom prst="rect">
                          <a:avLst/>
                        </a:prstGeom>
                        <a:solidFill>
                          <a:schemeClr val="lt1"/>
                        </a:solidFill>
                        <a:ln w="6350">
                          <a:noFill/>
                        </a:ln>
                      </wps:spPr>
                      <wps:txbx>
                        <w:txbxContent>
                          <w:p>
                            <w:pPr>
                              <w:spacing w:line="240" w:lineRule="auto"/>
                              <w:ind w:firstLine="0" w:firstLineChars="0"/>
                              <w:jc w:val="center"/>
                              <w:rPr>
                                <w:sz w:val="28"/>
                                <w:szCs w:val="28"/>
                              </w:rPr>
                            </w:pPr>
                            <w:r>
                              <w:rPr>
                                <w:rFonts w:hint="eastAsia"/>
                                <w:sz w:val="28"/>
                                <w:szCs w:val="28"/>
                              </w:rPr>
                              <w:t>图</w:t>
                            </w:r>
                            <w:r>
                              <w:rPr>
                                <w:sz w:val="28"/>
                                <w:szCs w:val="28"/>
                              </w:rPr>
                              <w:t xml:space="preserve">1 </w:t>
                            </w:r>
                            <w:r>
                              <w:rPr>
                                <w:rFonts w:hint="eastAsia"/>
                                <w:sz w:val="28"/>
                                <w:szCs w:val="28"/>
                              </w:rPr>
                              <w:t>区域</w:t>
                            </w:r>
                            <w:r>
                              <w:rPr>
                                <w:sz w:val="28"/>
                                <w:szCs w:val="28"/>
                              </w:rPr>
                              <w:t>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2pt;margin-top:0.35pt;height:40.65pt;width:230.25pt;mso-position-horizontal-relative:margin;z-index:251670528;mso-width-relative:page;mso-height-relative:page;" fillcolor="#FFFFFF [3201]" filled="t" stroked="f" coordsize="21600,21600" o:gfxdata="UEsDBAoAAAAAAIdO4kAAAAAAAAAAAAAAAAAEAAAAZHJzL1BLAwQUAAAACACHTuJAVHDTINIAAAAH&#10;AQAADwAAAGRycy9kb3ducmV2LnhtbE2Oy07DMBRE90j8g3UrsaN2KqukIU4XSGyRaEvXbmziqPZ1&#10;ZLvPr+eyguVoRmdOu74Gz8425TGigmougFnsoxlxULDbvj/XwHLRaLSPaBXcbIZ19/jQ6sbEC37a&#10;86YMjCCYG63AlTI1nOfe2aDzPE4WqfuOKehCMQ3cJH0hePB8IcSSBz0iPTg92Tdn++PmFBTsh3Df&#10;f1VTciZ4iR/323YXR6WeZpV4BVbstfyN4Vef1KEjp0M8ocnMU66lpKmCF2BUL6VcATsoqBcCeNfy&#10;//7dD1BLAwQUAAAACACHTuJAfehC8VACAACRBAAADgAAAGRycy9lMm9Eb2MueG1srVTNbhMxEL4j&#10;8Q6W72Q3IelP1E0VGgUhVbRSQZwdr521ZHuM7WS3PAC8AScu3HmuPgdj76YthUMP5LAZz8x+4++b&#10;mT0774wme+GDAlvR8aikRFgOtbLbin78sH51QkmIzNZMgxUVvRWBni9evjhr3VxMoAFdC08QxIZ5&#10;6yraxOjmRRF4IwwLI3DCYlCCNyzi0W+L2rMW0Y0uJmV5VLTga+eBixDQu+qDdED0zwEEKRUXK+A7&#10;I2zsUb3QLCKl0CgX6CLfVkrB45WUQUSiK4pMY35iEbQ36Vkszth865lrFB+uwJ5zhSecDFMWi95D&#10;rVhkZOfVX1BGcQ8BZBxxMEVPJCuCLMblE21uGuZE5oJSB3cvevh/sPz9/toTVeMkzCixzGDH775/&#10;u/vx6+7nV4I+FKh1YY55Nw4zY/cGOkw++AM6E+9OepP+kRHBOMp7ey+v6CLh6JycTqaTYwxxjM3G&#10;R+X0JMEUD287H+JbAYYko6Ie25dVZfvLEPvUQ0oqFkCreq20zge/3VxoT/YMW73OvwH9jzRtSVvR&#10;o9ezMiNbSO/30NriZRLZnlSyYrfpBgU2UN+iAB76GQqOrxXe8pKFeM08Dg0Sw7WKV/iQGrAIDBYl&#10;Dfgv//KnfOwlRilpcQgrGj7vmBeU6HcWu3w6nk4RNubDdHY8wYN/HNk8jtiduQAkP8YFdjybKT/q&#10;gyk9mE+4fctUFUPMcqxd0XgwL2K/Gri9XCyXOQnn1LF4aW8cT9BJagvLXQSpckuSTL02g3o4qbmp&#10;w1alVXh8zlkPX5LF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Rw0yDSAAAABwEAAA8AAAAAAAAA&#10;AQAgAAAAIgAAAGRycy9kb3ducmV2LnhtbFBLAQIUABQAAAAIAIdO4kB96ELxUAIAAJEEAAAOAAAA&#10;AAAAAAEAIAAAACEBAABkcnMvZTJvRG9jLnhtbFBLBQYAAAAABgAGAFkBAADjBQAAAAA=&#10;">
                <v:fill on="t" focussize="0,0"/>
                <v:stroke on="f" weight="0.5pt"/>
                <v:imagedata o:title=""/>
                <o:lock v:ext="edit" aspectratio="f"/>
                <v:textbox>
                  <w:txbxContent>
                    <w:p>
                      <w:pPr>
                        <w:spacing w:line="240" w:lineRule="auto"/>
                        <w:ind w:firstLine="0" w:firstLineChars="0"/>
                        <w:jc w:val="center"/>
                        <w:rPr>
                          <w:sz w:val="28"/>
                          <w:szCs w:val="28"/>
                        </w:rPr>
                      </w:pPr>
                      <w:r>
                        <w:rPr>
                          <w:rFonts w:hint="eastAsia"/>
                          <w:sz w:val="28"/>
                          <w:szCs w:val="28"/>
                        </w:rPr>
                        <w:t>图</w:t>
                      </w:r>
                      <w:r>
                        <w:rPr>
                          <w:sz w:val="28"/>
                          <w:szCs w:val="28"/>
                        </w:rPr>
                        <w:t xml:space="preserve">1 </w:t>
                      </w:r>
                      <w:r>
                        <w:rPr>
                          <w:rFonts w:hint="eastAsia"/>
                          <w:sz w:val="28"/>
                          <w:szCs w:val="28"/>
                        </w:rPr>
                        <w:t>区域</w:t>
                      </w:r>
                      <w:r>
                        <w:rPr>
                          <w:sz w:val="28"/>
                          <w:szCs w:val="28"/>
                        </w:rPr>
                        <w:t>位置图</w:t>
                      </w:r>
                    </w:p>
                  </w:txbxContent>
                </v:textbox>
              </v:shape>
            </w:pict>
          </mc:Fallback>
        </mc:AlternateContent>
      </w:r>
    </w:p>
    <w:p>
      <w:pPr>
        <w:pStyle w:val="75"/>
        <w:rPr>
          <w:rFonts w:ascii="Times New Roman" w:hAnsi="Times New Roman" w:cs="Times New Roman"/>
          <w:snapToGrid w:val="0"/>
          <w:color w:val="000000"/>
          <w:szCs w:val="32"/>
        </w:rPr>
      </w:pPr>
    </w:p>
    <w:p>
      <w:pPr>
        <w:pStyle w:val="75"/>
      </w:pPr>
      <w:bookmarkStart w:id="144" w:name="_Toc80221614"/>
      <w:r>
        <w:drawing>
          <wp:inline distT="0" distB="0" distL="0" distR="0">
            <wp:extent cx="3385820" cy="3998595"/>
            <wp:effectExtent l="0" t="0" r="5080" b="1905"/>
            <wp:docPr id="93" name="图片 93" descr="F:\【安全规划】\各地市十四五规划\深汕特别合作区\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F:\【安全规划】\各地市十四五规划\深汕特别合作区\p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404995" cy="4021410"/>
                    </a:xfrm>
                    <a:prstGeom prst="rect">
                      <a:avLst/>
                    </a:prstGeom>
                    <a:noFill/>
                    <a:ln>
                      <a:noFill/>
                    </a:ln>
                  </pic:spPr>
                </pic:pic>
              </a:graphicData>
            </a:graphic>
          </wp:inline>
        </w:drawing>
      </w:r>
    </w:p>
    <w:p>
      <w:pPr>
        <w:pStyle w:val="75"/>
      </w:pPr>
      <w:r>
        <w:rPr>
          <w:rFonts w:ascii="Times New Roman" w:hAnsi="Times New Roman" w:cs="Times New Roman"/>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100330</wp:posOffset>
                </wp:positionV>
                <wp:extent cx="3014345" cy="470535"/>
                <wp:effectExtent l="0" t="0" r="0" b="5715"/>
                <wp:wrapNone/>
                <wp:docPr id="2" name="文本框 2"/>
                <wp:cNvGraphicFramePr/>
                <a:graphic xmlns:a="http://schemas.openxmlformats.org/drawingml/2006/main">
                  <a:graphicData uri="http://schemas.microsoft.com/office/word/2010/wordprocessingShape">
                    <wps:wsp>
                      <wps:cNvSpPr txBox="1"/>
                      <wps:spPr>
                        <a:xfrm>
                          <a:off x="0" y="0"/>
                          <a:ext cx="3014345" cy="470780"/>
                        </a:xfrm>
                        <a:prstGeom prst="rect">
                          <a:avLst/>
                        </a:prstGeom>
                        <a:solidFill>
                          <a:schemeClr val="lt1"/>
                        </a:solidFill>
                        <a:ln w="6350">
                          <a:noFill/>
                        </a:ln>
                      </wps:spPr>
                      <wps:txbx>
                        <w:txbxContent>
                          <w:p>
                            <w:pPr>
                              <w:spacing w:line="240" w:lineRule="auto"/>
                              <w:ind w:firstLine="0" w:firstLineChars="0"/>
                              <w:jc w:val="center"/>
                              <w:rPr>
                                <w:sz w:val="28"/>
                                <w:szCs w:val="28"/>
                              </w:rPr>
                            </w:pPr>
                            <w:r>
                              <w:rPr>
                                <w:rFonts w:hint="eastAsia"/>
                                <w:sz w:val="28"/>
                                <w:szCs w:val="28"/>
                              </w:rPr>
                              <w:t>图</w:t>
                            </w:r>
                            <w:r>
                              <w:rPr>
                                <w:sz w:val="28"/>
                                <w:szCs w:val="28"/>
                              </w:rPr>
                              <w:t xml:space="preserve">2 </w:t>
                            </w:r>
                            <w:r>
                              <w:rPr>
                                <w:rFonts w:hint="eastAsia"/>
                                <w:sz w:val="28"/>
                                <w:szCs w:val="28"/>
                              </w:rPr>
                              <w:t>区域范围</w:t>
                            </w:r>
                            <w:r>
                              <w:rPr>
                                <w:sz w:val="28"/>
                                <w:szCs w:val="28"/>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7.9pt;height:37.05pt;width:237.35pt;mso-position-horizontal:center;mso-position-horizontal-relative:margin;z-index:251673600;mso-width-relative:page;mso-height-relative:page;" fillcolor="#FFFFFF [3201]" filled="t" stroked="f" coordsize="21600,21600" o:gfxdata="UEsDBAoAAAAAAIdO4kAAAAAAAAAAAAAAAAAEAAAAZHJzL1BLAwQUAAAACACHTuJAfQ2vz9MAAAAG&#10;AQAADwAAAGRycy9kb3ducmV2LnhtbE2PS0/DMBCE70j9D9ZW6o06QYG2IU4PSFyR+qBnN17iCHsd&#10;2e7z17Oc4Lgzo5lvm/XVO3HGmIZACsp5AQKpC2agXsF+9/64BJGyJqNdIFRwwwTrdvLQ6NqEC23w&#10;vM294BJKtVZgcx5rKVNn0es0DyMSe18hep35jL00UV+43Dv5VBQv0uuBeMHqEd8sdt/bk1dw6P39&#10;8FmO0RrvKvq433b7MCg1m5bFK4iM1/wXhl98RoeWmY7hRCYJp4Afyaw+Mz+71aJagDgqWK5WINtG&#10;/sdvfwBQSwMEFAAAAAgAh07iQG7eF8VTAgAAjwQAAA4AAABkcnMvZTJvRG9jLnhtbK1UwW7bMAy9&#10;D9g/CLqvdlKn6YI6RdYgw4BgLdANOyuyHAuQRE1SYncfsP3BTrvsvu/Kd4ySnbbrduhhOSikSJF8&#10;j6QvLjutyF44L8GUdHSSUyIMh0qabUk/fli9OqfEB2YqpsCIkt4JTy/nL19ctHYmxtCAqoQjGMT4&#10;WWtL2oRgZ1nmeSM08ydghUFjDU6zgKrbZpVjLUbXKhvn+VnWgqusAy68x9tlb6RDRPecgFDXkosl&#10;8J0WJvRRnVAsICTfSOvpPFVb14KH67r2IhBVUkQa0olJUN7EM5tfsNnWMdtIPpTAnlPCE0yaSYNJ&#10;70MtWWBk5+RfobTkDjzU4YSDznogiRFEMcqfcHPbMCsSFqTa23vS/f8Ly9/vbxyRVUnHlBimseGH&#10;798OP34dfn4l40hPa/0MvW4t+oXuDXQ4NMd7j5cRdVc7Hf8RD0E7knt3T67oAuF4eZqPitNiQglH&#10;WzHNp+eJ/ezhtXU+vBWgSRRK6rB5iVO2X/uAlaDr0SUm86BktZJKJcVtN1fKkT3DRq/SLxaJT/5w&#10;U4a0JT07neQpsoH4vvdTBt0j2B5UlEK36QYGNlDdIQEO+gnylq8kVrlmPtwwhyODmHGpwjUetQJM&#10;AoNESQPuy7/uoz92Eq2UtDiCJfWfd8wJStQ7gz1+PSqKOLNJKSbTMSrusWXz2GJ2+goQ/AjX1/Ik&#10;Rv+gjmLtQH/C3VvErGhihmPukoajeBX6xcDd5WKxSE44pZaFtbm1PIaOVBtY7ALUMrUk0tRzM7CH&#10;c5poH3YqLsJjPXk9fEf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9Da/P0wAAAAYBAAAPAAAA&#10;AAAAAAEAIAAAACIAAABkcnMvZG93bnJldi54bWxQSwECFAAUAAAACACHTuJAbt4XxVMCAACPBAAA&#10;DgAAAAAAAAABACAAAAAiAQAAZHJzL2Uyb0RvYy54bWxQSwUGAAAAAAYABgBZAQAA5wUAAAAA&#10;">
                <v:fill on="t" focussize="0,0"/>
                <v:stroke on="f" weight="0.5pt"/>
                <v:imagedata o:title=""/>
                <o:lock v:ext="edit" aspectratio="f"/>
                <v:textbox>
                  <w:txbxContent>
                    <w:p>
                      <w:pPr>
                        <w:spacing w:line="240" w:lineRule="auto"/>
                        <w:ind w:firstLine="0" w:firstLineChars="0"/>
                        <w:jc w:val="center"/>
                        <w:rPr>
                          <w:sz w:val="28"/>
                          <w:szCs w:val="28"/>
                        </w:rPr>
                      </w:pPr>
                      <w:r>
                        <w:rPr>
                          <w:rFonts w:hint="eastAsia"/>
                          <w:sz w:val="28"/>
                          <w:szCs w:val="28"/>
                        </w:rPr>
                        <w:t>图</w:t>
                      </w:r>
                      <w:r>
                        <w:rPr>
                          <w:sz w:val="28"/>
                          <w:szCs w:val="28"/>
                        </w:rPr>
                        <w:t xml:space="preserve">2 </w:t>
                      </w:r>
                      <w:r>
                        <w:rPr>
                          <w:rFonts w:hint="eastAsia"/>
                          <w:sz w:val="28"/>
                          <w:szCs w:val="28"/>
                        </w:rPr>
                        <w:t>区域范围</w:t>
                      </w:r>
                      <w:r>
                        <w:rPr>
                          <w:sz w:val="28"/>
                          <w:szCs w:val="28"/>
                        </w:rPr>
                        <w:t>图</w:t>
                      </w:r>
                    </w:p>
                  </w:txbxContent>
                </v:textbox>
              </v:shape>
            </w:pict>
          </mc:Fallback>
        </mc:AlternateContent>
      </w:r>
    </w:p>
    <w:p>
      <w:pPr>
        <w:pStyle w:val="75"/>
      </w:pPr>
    </w:p>
    <w:p>
      <w:pPr>
        <w:ind w:firstLine="640"/>
      </w:pPr>
    </w:p>
    <w:p>
      <w:pPr>
        <w:pStyle w:val="4"/>
        <w:ind w:firstLine="640"/>
      </w:pPr>
      <w:r>
        <w:t>二、地形地貌</w:t>
      </w:r>
      <w:bookmarkEnd w:id="144"/>
    </w:p>
    <w:p>
      <w:pPr>
        <w:ind w:firstLine="640"/>
        <w:rPr>
          <w:snapToGrid w:val="0"/>
        </w:rPr>
      </w:pPr>
      <w:r>
        <w:rPr>
          <w:snapToGrid w:val="0"/>
        </w:rPr>
        <w:t>合作区地处粤东山区，地势北高南低，北部为山脉，南部为红海湾畔，背山面海，以丘陵和台地地形为主。</w:t>
      </w:r>
    </w:p>
    <w:p>
      <w:pPr>
        <w:pStyle w:val="75"/>
        <w:rPr>
          <w:rFonts w:ascii="Times New Roman" w:hAnsi="Times New Roman" w:cs="Times New Roman"/>
          <w:snapToGrid w:val="0"/>
          <w:color w:val="000000"/>
          <w:szCs w:val="32"/>
        </w:rPr>
      </w:pPr>
      <w:r>
        <w:rPr>
          <w:rFonts w:ascii="Times New Roman" w:hAnsi="Times New Roman" w:cs="Times New Roman"/>
        </w:rPr>
        <w:drawing>
          <wp:inline distT="0" distB="0" distL="0" distR="0">
            <wp:extent cx="3355340" cy="25755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3355340" cy="2575560"/>
                    </a:xfrm>
                    <a:prstGeom prst="rect">
                      <a:avLst/>
                    </a:prstGeom>
                  </pic:spPr>
                </pic:pic>
              </a:graphicData>
            </a:graphic>
          </wp:inline>
        </w:drawing>
      </w:r>
    </w:p>
    <w:p>
      <w:pPr>
        <w:ind w:firstLine="0" w:firstLineChars="0"/>
        <w:rPr>
          <w:snapToGrid w:val="0"/>
          <w:color w:val="000000"/>
          <w:kern w:val="0"/>
          <w:szCs w:val="3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11430</wp:posOffset>
                </wp:positionV>
                <wp:extent cx="3014345" cy="470535"/>
                <wp:effectExtent l="0" t="0" r="0" b="5715"/>
                <wp:wrapNone/>
                <wp:docPr id="16" name="文本框 16"/>
                <wp:cNvGraphicFramePr/>
                <a:graphic xmlns:a="http://schemas.openxmlformats.org/drawingml/2006/main">
                  <a:graphicData uri="http://schemas.microsoft.com/office/word/2010/wordprocessingShape">
                    <wps:wsp>
                      <wps:cNvSpPr txBox="1"/>
                      <wps:spPr>
                        <a:xfrm>
                          <a:off x="0" y="0"/>
                          <a:ext cx="3014345" cy="470780"/>
                        </a:xfrm>
                        <a:prstGeom prst="rect">
                          <a:avLst/>
                        </a:prstGeom>
                        <a:solidFill>
                          <a:schemeClr val="lt1"/>
                        </a:solidFill>
                        <a:ln w="6350">
                          <a:noFill/>
                        </a:ln>
                      </wps:spPr>
                      <wps:txbx>
                        <w:txbxContent>
                          <w:p>
                            <w:pPr>
                              <w:spacing w:line="240" w:lineRule="auto"/>
                              <w:ind w:firstLine="0" w:firstLineChars="0"/>
                              <w:jc w:val="center"/>
                              <w:rPr>
                                <w:sz w:val="28"/>
                                <w:szCs w:val="28"/>
                              </w:rPr>
                            </w:pPr>
                            <w:r>
                              <w:rPr>
                                <w:rFonts w:hint="eastAsia"/>
                                <w:sz w:val="28"/>
                                <w:szCs w:val="28"/>
                              </w:rPr>
                              <w:t>图</w:t>
                            </w:r>
                            <w:r>
                              <w:rPr>
                                <w:sz w:val="28"/>
                                <w:szCs w:val="28"/>
                              </w:rPr>
                              <w:t xml:space="preserve">3 </w:t>
                            </w:r>
                            <w:r>
                              <w:rPr>
                                <w:rFonts w:hint="eastAsia"/>
                                <w:sz w:val="28"/>
                                <w:szCs w:val="28"/>
                              </w:rPr>
                              <w:t>区域</w:t>
                            </w:r>
                            <w:r>
                              <w:rPr>
                                <w:sz w:val="28"/>
                                <w:szCs w:val="28"/>
                              </w:rPr>
                              <w:t>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0.9pt;height:37.05pt;width:237.35pt;mso-position-horizontal:center;mso-position-horizontal-relative:margin;z-index:251668480;mso-width-relative:page;mso-height-relative:page;" fillcolor="#FFFFFF [3201]" filled="t" stroked="f" coordsize="21600,21600" o:gfxdata="UEsDBAoAAAAAAIdO4kAAAAAAAAAAAAAAAAAEAAAAZHJzL1BLAwQUAAAACACHTuJA+n9fONEAAAAF&#10;AQAADwAAAGRycy9kb3ducmV2LnhtbE2PzU7DMBCE70h9B2srcaNOqkAgxOmhElck2tKzGy9xhL2O&#10;bPf36VlOcNyZ0cy37erinThhTGMgBeWiAIHUBzPSoGC3fXt4BpGyJqNdIFRwxQSrbnbX6saEM33g&#10;aZMHwSWUGq3A5jw1UqbeotdpESYk9r5C9DrzGQdpoj5zuXdyWRRP0uuReMHqCdcW++/N0SvYD/62&#10;/yynaI13Fb3frttdGJW6n5fFK4iMl/wXhl98RoeOmQ7hSCYJp4AfyawyPptVXdUgDgrqxxeQXSv/&#10;03c/UEsDBBQAAAAIAIdO4kDhhPyFUwIAAJEEAAAOAAAAZHJzL2Uyb0RvYy54bWytVM1uEzEQviPx&#10;DpbvdDdp+kOUTRVaBSFVtFJBnB2vN7uS12NsJ7vlAeANOHHhznP1OfjsTdpSOPRADs545vP8fDOz&#10;s7O+1WyrnG/IFHx0kHOmjKSyMeuCf/ywfHXKmQ/ClEKTUQW/VZ6fzV++mHV2qsZUky6VY3Bi/LSz&#10;Ba9DsNMs87JWrfAHZJWBsSLXioCrW2elEx28tzob5/lx1pErrSOpvIf2YjDynUf3HIdUVY1UFyQ3&#10;rTJh8OqUFgEl+bqxns9TtlWlZLiqKq8C0wVHpSGdCAJ5Fc9sPhPTtRO2buQuBfGcFJ7U1IrGIOi9&#10;qwsRBNu45i9XbSMdearCgaQ2GwpJjKCKUf6Em5taWJVqAdXe3pPu/59b+X577VhTYhKOOTOiRcfv&#10;vn+7+/Hr7udXBh0I6qyfAndjgQz9G+oB3us9lLHuvnJt/EdFDHbQe3tPr+oDk1Ae5qPJ4eSIMwnb&#10;5CQ/OU38Zw+vrfPhraKWRaHgDu1LrIrtpQ/IBNA9JAbzpJty2WidLm69OteObQVavUy/mCSe/AHT&#10;hnUFPz48ypNnQ/H9gNMG8FjsUFSUQr/qdwysqLwFAY6GGfJWLhtkeSl8uBYOQ4OasVbhCkelCUFo&#10;J3FWk/vyL33Eo5ewctZhCAvuP2+EU5zpdwZdfj2aTOLUpsvk6GSMi3tsWT22mE17Tih+hAW2MokR&#10;H/RerBy1n7B9ixgVJmEkYhc87MXzMKwGtleqxSKBMKdWhEtzY2V0Hak2tNgEqprUkkjTwM2OPUxq&#10;on23VXEVHt8T6uFLMv8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n9fONEAAAAFAQAADwAAAAAA&#10;AAABACAAAAAiAAAAZHJzL2Rvd25yZXYueG1sUEsBAhQAFAAAAAgAh07iQOGE/IVTAgAAkQQAAA4A&#10;AAAAAAAAAQAgAAAAIAEAAGRycy9lMm9Eb2MueG1sUEsFBgAAAAAGAAYAWQEAAOUFAAAAAA==&#10;">
                <v:fill on="t" focussize="0,0"/>
                <v:stroke on="f" weight="0.5pt"/>
                <v:imagedata o:title=""/>
                <o:lock v:ext="edit" aspectratio="f"/>
                <v:textbox>
                  <w:txbxContent>
                    <w:p>
                      <w:pPr>
                        <w:spacing w:line="240" w:lineRule="auto"/>
                        <w:ind w:firstLine="0" w:firstLineChars="0"/>
                        <w:jc w:val="center"/>
                        <w:rPr>
                          <w:sz w:val="28"/>
                          <w:szCs w:val="28"/>
                        </w:rPr>
                      </w:pPr>
                      <w:r>
                        <w:rPr>
                          <w:rFonts w:hint="eastAsia"/>
                          <w:sz w:val="28"/>
                          <w:szCs w:val="28"/>
                        </w:rPr>
                        <w:t>图</w:t>
                      </w:r>
                      <w:r>
                        <w:rPr>
                          <w:sz w:val="28"/>
                          <w:szCs w:val="28"/>
                        </w:rPr>
                        <w:t xml:space="preserve">3 </w:t>
                      </w:r>
                      <w:r>
                        <w:rPr>
                          <w:rFonts w:hint="eastAsia"/>
                          <w:sz w:val="28"/>
                          <w:szCs w:val="28"/>
                        </w:rPr>
                        <w:t>区域</w:t>
                      </w:r>
                      <w:r>
                        <w:rPr>
                          <w:sz w:val="28"/>
                          <w:szCs w:val="28"/>
                        </w:rPr>
                        <w:t>地势图</w:t>
                      </w:r>
                    </w:p>
                  </w:txbxContent>
                </v:textbox>
              </v:shape>
            </w:pict>
          </mc:Fallback>
        </mc:AlternateContent>
      </w:r>
    </w:p>
    <w:p>
      <w:pPr>
        <w:pStyle w:val="4"/>
        <w:ind w:firstLine="640"/>
      </w:pPr>
      <w:bookmarkStart w:id="145" w:name="_Toc80221615"/>
      <w:r>
        <w:t>三、气候气象</w:t>
      </w:r>
      <w:bookmarkEnd w:id="145"/>
    </w:p>
    <w:p>
      <w:pPr>
        <w:ind w:firstLine="640"/>
        <w:rPr>
          <w:snapToGrid w:val="0"/>
        </w:rPr>
      </w:pPr>
      <w:r>
        <w:rPr>
          <w:snapToGrid w:val="0"/>
        </w:rPr>
        <w:t>合作区位于北回归线以南，地处亚热带，属于亚热带海洋性季风气候。由于受海陆分面、地形及海洋季风影响，气候为冬暖偶有阵寒，相对干燥少雨；夏长温热多雨而不酷热特点等。雨量充沛，但季节分配不均，干湿季节明显。春秋季是季风转换季节，夏秋季节有台风。</w:t>
      </w:r>
    </w:p>
    <w:p>
      <w:pPr>
        <w:ind w:firstLine="640"/>
        <w:rPr>
          <w:snapToGrid w:val="0"/>
        </w:rPr>
      </w:pPr>
      <w:r>
        <w:rPr>
          <w:snapToGrid w:val="0"/>
        </w:rPr>
        <w:t>区域多年平均气温为21.9℃，月平均最低气温14℃（1月），月平均最高气温28℃（7月），极端最高气温37.4℃。</w:t>
      </w:r>
    </w:p>
    <w:p>
      <w:pPr>
        <w:pStyle w:val="4"/>
        <w:ind w:firstLine="640"/>
      </w:pPr>
      <w:bookmarkStart w:id="146" w:name="_Toc80221616"/>
      <w:r>
        <w:t>四、水文条件</w:t>
      </w:r>
      <w:bookmarkEnd w:id="146"/>
    </w:p>
    <w:p>
      <w:pPr>
        <w:ind w:firstLine="640"/>
        <w:rPr>
          <w:snapToGrid w:val="0"/>
        </w:rPr>
      </w:pPr>
      <w:r>
        <w:rPr>
          <w:snapToGrid w:val="0"/>
        </w:rPr>
        <w:t>合作区内部主要有52条河流，主要水域为赤石河流域，流域面积占合作区面积的81.6%；还有一部分为独立入海的沿海小河，流域面积仅占合作区面积的18.4%。其中面积在50平方公里以上的主要河流为赤石河及其两条支流，分别为明热河和南门河。</w:t>
      </w:r>
    </w:p>
    <w:p>
      <w:pPr>
        <w:pStyle w:val="75"/>
        <w:rPr>
          <w:rFonts w:ascii="Times New Roman" w:hAnsi="Times New Roman" w:cs="Times New Roman"/>
          <w:snapToGrid w:val="0"/>
          <w:color w:val="000000"/>
          <w:szCs w:val="32"/>
        </w:rPr>
      </w:pPr>
      <w:r>
        <w:rPr>
          <w:rFonts w:ascii="Times New Roman" w:hAnsi="Times New Roman" w:cs="Times New Roman"/>
        </w:rPr>
        <w:drawing>
          <wp:inline distT="0" distB="0" distL="0" distR="0">
            <wp:extent cx="3649980" cy="2858135"/>
            <wp:effectExtent l="0" t="0" r="762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8"/>
                    <a:stretch>
                      <a:fillRect/>
                    </a:stretch>
                  </pic:blipFill>
                  <pic:spPr>
                    <a:xfrm>
                      <a:off x="0" y="0"/>
                      <a:ext cx="3666250" cy="2870414"/>
                    </a:xfrm>
                    <a:prstGeom prst="rect">
                      <a:avLst/>
                    </a:prstGeom>
                  </pic:spPr>
                </pic:pic>
              </a:graphicData>
            </a:graphic>
          </wp:inline>
        </w:drawing>
      </w:r>
    </w:p>
    <w:p>
      <w:pPr>
        <w:ind w:firstLine="640"/>
        <w:rPr>
          <w:snapToGrid w:val="0"/>
        </w:rPr>
      </w:pPr>
      <w:r>
        <w:rPr>
          <w:snapToGrid w:val="0"/>
        </w:rPr>
        <mc:AlternateContent>
          <mc:Choice Requires="wps">
            <w:drawing>
              <wp:anchor distT="0" distB="0" distL="114300" distR="114300" simplePos="0" relativeHeight="251667456" behindDoc="0" locked="0" layoutInCell="1" allowOverlap="1">
                <wp:simplePos x="0" y="0"/>
                <wp:positionH relativeFrom="margin">
                  <wp:posOffset>838835</wp:posOffset>
                </wp:positionH>
                <wp:positionV relativeFrom="paragraph">
                  <wp:posOffset>9525</wp:posOffset>
                </wp:positionV>
                <wp:extent cx="3666490" cy="3063240"/>
                <wp:effectExtent l="0" t="0" r="0" b="635"/>
                <wp:wrapNone/>
                <wp:docPr id="132" name="Quad Arrow 127"/>
                <wp:cNvGraphicFramePr/>
                <a:graphic xmlns:a="http://schemas.openxmlformats.org/drawingml/2006/main">
                  <a:graphicData uri="http://schemas.microsoft.com/office/word/2010/wordprocessingShape">
                    <wps:wsp>
                      <wps:cNvSpPr txBox="1">
                        <a:spLocks noChangeArrowheads="1"/>
                      </wps:cNvSpPr>
                      <wps:spPr bwMode="auto">
                        <a:xfrm>
                          <a:off x="0" y="0"/>
                          <a:ext cx="3666490" cy="3063240"/>
                        </a:xfrm>
                        <a:prstGeom prst="rect">
                          <a:avLst/>
                        </a:prstGeom>
                        <a:solidFill>
                          <a:srgbClr val="FFFFFF"/>
                        </a:solidFill>
                        <a:ln>
                          <a:noFill/>
                        </a:ln>
                      </wps:spPr>
                      <wps:txbx>
                        <w:txbxContent>
                          <w:p>
                            <w:pPr>
                              <w:ind w:firstLine="0" w:firstLineChars="0"/>
                              <w:jc w:val="center"/>
                              <w:rPr>
                                <w:sz w:val="28"/>
                                <w:szCs w:val="28"/>
                              </w:rPr>
                            </w:pPr>
                            <w:r>
                              <w:rPr>
                                <w:rFonts w:hint="eastAsia"/>
                                <w:sz w:val="28"/>
                                <w:szCs w:val="28"/>
                              </w:rPr>
                              <w:t>图</w:t>
                            </w:r>
                            <w:r>
                              <w:rPr>
                                <w:sz w:val="28"/>
                                <w:szCs w:val="28"/>
                              </w:rPr>
                              <w:t xml:space="preserve">4 </w:t>
                            </w:r>
                            <w:r>
                              <w:rPr>
                                <w:rFonts w:hint="eastAsia"/>
                                <w:sz w:val="28"/>
                                <w:szCs w:val="28"/>
                              </w:rPr>
                              <w:t>区域</w:t>
                            </w:r>
                            <w:r>
                              <w:rPr>
                                <w:sz w:val="28"/>
                                <w:szCs w:val="28"/>
                              </w:rPr>
                              <w:t>水系图</w:t>
                            </w:r>
                          </w:p>
                        </w:txbxContent>
                      </wps:txbx>
                      <wps:bodyPr rot="0" vert="horz" wrap="square" lIns="91440" tIns="45720" rIns="91440" bIns="45720" anchor="t" anchorCtr="0" upright="1">
                        <a:spAutoFit/>
                      </wps:bodyPr>
                    </wps:wsp>
                  </a:graphicData>
                </a:graphic>
              </wp:anchor>
            </w:drawing>
          </mc:Choice>
          <mc:Fallback>
            <w:pict>
              <v:shape id="Quad Arrow 127" o:spid="_x0000_s1026" o:spt="202" type="#_x0000_t202" style="position:absolute;left:0pt;margin-left:66.05pt;margin-top:0.75pt;height:241.2pt;width:288.7pt;mso-position-horizontal-relative:margin;z-index:251667456;mso-width-relative:page;mso-height-relative:page;" fillcolor="#FFFFFF" filled="t" stroked="f" coordsize="21600,21600" o:gfxdata="UEsDBAoAAAAAAIdO4kAAAAAAAAAAAAAAAAAEAAAAZHJzL1BLAwQUAAAACACHTuJALeXf+9UAAAAJ&#10;AQAADwAAAGRycy9kb3ducmV2LnhtbE1PPU/DMBTckfgP1kNio3ZaWto0TgckFtSBFgbG1/g1Dont&#10;EDtt+fc8Jrrd6U73UWwurhMnGmITvIZsokCQr4JpfK3h4/3lYQkiJvQGu+BJww9F2JS3NwXmJpz9&#10;jk77VAsO8TFHDTalPpcyVpYcxknoybN2DIPDxHSopRnwzOGuk1OlFtJh47nBYk/Plqp2Pzou2cZq&#10;3IXvr2zbyk/bLnD+Zl+1vr/L1BpEokv6N8PffJ4OJW86hNGbKDrms2nGVgZzEKw/qRWDg4bH5WwF&#10;sizk9YPyF1BLAwQUAAAACACHTuJA7/y/Xh8CAABEBAAADgAAAGRycy9lMm9Eb2MueG1srVNNj9ow&#10;EL1X6n+wfC+BQNluRFhtQVSVtl/a9gc4jpNYTTzu2JDQX9+xAxTRyx6aQ+TxzLyZ92a8ehi6lh0U&#10;Og0m57PJlDNlJJTa1Dn/8X335h1nzgtTihaMyvlROf6wfv1q1dtMpdBAWypkBGJc1tucN97bLEmc&#10;bFQn3ASsMuSsADvhycQ6KVH0hN61STqdLpMesLQIUjlHt9vRyU+I+BJAqCot1RbkvlPGj6ioWuGJ&#10;kmu0dXwdu60qJf2XqnLKszbnxNTHPxWhcxH+yXolshqFbbQ8tSBe0sINp05oQ0UvUFvhBduj/geq&#10;0xLBQeUnErpkJBIVIRaz6Y02z42wKnIhqZ29iO7+H6z8fPiKTJe0CfOUMyM6Gvm3vSjZIyL0bJbe&#10;BY166zIKfbYU7If3MFB85OvsE8ifjhnYNMLUKmY1SpTU4yxkJlepI44LIEX/CUoqJfYeItBQYRcE&#10;JEkYodN8jpf5qMEzSZfz5XK5uCeXJN98upynizjBRGTndIvOf1DQsXDIOdICRHhxeHI+tCOyc0io&#10;5qDV5U63bTSwLjYtsoOgZdnFLzK4CWtNCDYQ0kbEcBN5BmojST8Uw0m3AsojMUYYl4+eHh0awN+c&#10;9bR4OXe/9gIVZ+1HQ6rdzxbEivloLN7epWTgtae49ggjCSrnnrPxuPHjdu8t6rqhSuc5PZLSOx01&#10;CCMZuzr1TcsVpTk9hLC913aM+vv41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eXf+9UAAAAJ&#10;AQAADwAAAAAAAAABACAAAAAiAAAAZHJzL2Rvd25yZXYueG1sUEsBAhQAFAAAAAgAh07iQO/8v14f&#10;AgAARAQAAA4AAAAAAAAAAQAgAAAAJAEAAGRycy9lMm9Eb2MueG1sUEsFBgAAAAAGAAYAWQEAALUF&#10;AAAAAA==&#10;">
                <v:fill on="t" focussize="0,0"/>
                <v:stroke on="f"/>
                <v:imagedata o:title=""/>
                <o:lock v:ext="edit" aspectratio="f"/>
                <v:textbox style="mso-fit-shape-to-text:t;">
                  <w:txbxContent>
                    <w:p>
                      <w:pPr>
                        <w:ind w:firstLine="0" w:firstLineChars="0"/>
                        <w:jc w:val="center"/>
                        <w:rPr>
                          <w:sz w:val="28"/>
                          <w:szCs w:val="28"/>
                        </w:rPr>
                      </w:pPr>
                      <w:r>
                        <w:rPr>
                          <w:rFonts w:hint="eastAsia"/>
                          <w:sz w:val="28"/>
                          <w:szCs w:val="28"/>
                        </w:rPr>
                        <w:t>图</w:t>
                      </w:r>
                      <w:r>
                        <w:rPr>
                          <w:sz w:val="28"/>
                          <w:szCs w:val="28"/>
                        </w:rPr>
                        <w:t xml:space="preserve">4 </w:t>
                      </w:r>
                      <w:r>
                        <w:rPr>
                          <w:rFonts w:hint="eastAsia"/>
                          <w:sz w:val="28"/>
                          <w:szCs w:val="28"/>
                        </w:rPr>
                        <w:t>区域</w:t>
                      </w:r>
                      <w:r>
                        <w:rPr>
                          <w:sz w:val="28"/>
                          <w:szCs w:val="28"/>
                        </w:rPr>
                        <w:t>水系图</w:t>
                      </w:r>
                    </w:p>
                  </w:txbxContent>
                </v:textbox>
              </v:shape>
            </w:pict>
          </mc:Fallback>
        </mc:AlternateContent>
      </w:r>
    </w:p>
    <w:p>
      <w:pPr>
        <w:ind w:firstLine="640"/>
        <w:rPr>
          <w:snapToGrid w:val="0"/>
        </w:rPr>
      </w:pPr>
    </w:p>
    <w:p>
      <w:pPr>
        <w:ind w:firstLine="640"/>
        <w:rPr>
          <w:snapToGrid w:val="0"/>
        </w:rPr>
      </w:pPr>
      <w:r>
        <w:rPr>
          <w:snapToGrid w:val="0"/>
        </w:rPr>
        <w:t>合作区多年平均降雨量2425mm，最大降雨量为3727.8 mm（1997年），年最小降雨量为1425.3mm（1963年），年地表径流量7亿立方米（含独立入海河流），合作区远期实际水资源可利用量约1亿立方米/年。</w:t>
      </w:r>
    </w:p>
    <w:p>
      <w:pPr>
        <w:ind w:firstLine="640"/>
        <w:rPr>
          <w:snapToGrid w:val="0"/>
        </w:rPr>
      </w:pPr>
      <w:r>
        <w:rPr>
          <w:snapToGrid w:val="0"/>
        </w:rPr>
        <w:t>合作区现有28座小型水库，其中小（1）型水库6座，小（2）型水库22座，总库容2422.5万立方米。</w:t>
      </w:r>
    </w:p>
    <w:p>
      <w:pPr>
        <w:ind w:firstLine="640"/>
        <w:rPr>
          <w:snapToGrid w:val="0"/>
        </w:rPr>
      </w:pPr>
      <w:r>
        <w:rPr>
          <w:snapToGrid w:val="0"/>
        </w:rPr>
        <w:t>合作区海岸线全长50.9km，现状海堤约有4处，分别为：小漠渔港海堤，长约2.8km；赤石河入海口海堤，长约5.0km；</w:t>
      </w:r>
      <w:r>
        <w:rPr>
          <w:rFonts w:eastAsia="仿宋"/>
          <w:snapToGrid w:val="0"/>
        </w:rPr>
        <w:t>鲘</w:t>
      </w:r>
      <w:r>
        <w:rPr>
          <w:snapToGrid w:val="0"/>
        </w:rPr>
        <w:t>门海堤，长约4.43km；百安村海堤，长约1.74km。</w:t>
      </w:r>
    </w:p>
    <w:p>
      <w:pPr>
        <w:pStyle w:val="3"/>
      </w:pPr>
      <w:bookmarkStart w:id="147" w:name="_Toc80221617"/>
      <w:r>
        <w:t>第二节 社会经济</w:t>
      </w:r>
      <w:bookmarkEnd w:id="147"/>
    </w:p>
    <w:p>
      <w:pPr>
        <w:pStyle w:val="4"/>
        <w:ind w:firstLine="640"/>
      </w:pPr>
      <w:bookmarkStart w:id="148" w:name="_Toc80221618"/>
      <w:r>
        <w:t>一、总体概述</w:t>
      </w:r>
      <w:bookmarkEnd w:id="148"/>
    </w:p>
    <w:p>
      <w:pPr>
        <w:ind w:firstLine="640"/>
        <w:rPr>
          <w:snapToGrid w:val="0"/>
        </w:rPr>
      </w:pPr>
      <w:r>
        <w:rPr>
          <w:snapToGrid w:val="0"/>
        </w:rPr>
        <w:t>深汕特别合作区自2018年12月体制机制调整以来，认真贯彻省委省政府、市委市政府的战略意图，立足创新管理体制机制、促进区域协调发展的使命定位，全面提升履职能力。2020年，全区地区生产总值为54.04亿元，增速为5%。社会消费品零售总额为28.16亿元。</w:t>
      </w:r>
    </w:p>
    <w:p>
      <w:pPr>
        <w:ind w:firstLine="640"/>
        <w:rPr>
          <w:snapToGrid w:val="0"/>
        </w:rPr>
      </w:pPr>
      <w:r>
        <w:rPr>
          <w:snapToGrid w:val="0"/>
        </w:rPr>
        <w:t>合作区由鹅埠、小漠、赤石、</w:t>
      </w:r>
      <w:r>
        <w:rPr>
          <w:rFonts w:eastAsia="仿宋"/>
          <w:snapToGrid w:val="0"/>
        </w:rPr>
        <w:t>鲘</w:t>
      </w:r>
      <w:r>
        <w:rPr>
          <w:snapToGrid w:val="0"/>
        </w:rPr>
        <w:t>门四镇组成，常住人口约13万人。</w:t>
      </w:r>
    </w:p>
    <w:p>
      <w:pPr>
        <w:pStyle w:val="4"/>
        <w:ind w:firstLine="640"/>
      </w:pPr>
      <w:bookmarkStart w:id="149" w:name="_Toc80221619"/>
      <w:r>
        <w:t>二、产业基础</w:t>
      </w:r>
      <w:bookmarkEnd w:id="149"/>
    </w:p>
    <w:p>
      <w:pPr>
        <w:ind w:firstLine="640"/>
        <w:rPr>
          <w:snapToGrid w:val="0"/>
        </w:rPr>
      </w:pPr>
      <w:r>
        <w:rPr>
          <w:snapToGrid w:val="0"/>
        </w:rPr>
        <w:t>合作区总体规划明确“一心、两轴、三带、四组团”总体空间布局，其中“四组团”即是合作区产业发展的指导性布局。东部组团打造科教研发区和未来产业区，重点发展高教科研、教育服务、机器人、海洋科技产业等；南部组团打造新兴海港商贸区和滨海生态旅游区，重点发展临港产业、邮轮游艇、滨海旅游、文化创意等；西部组团打造先进制造集聚区，重点发展新一代信息技术、新能源、新材料、智能装备制造等；北部组团打造康养度假区，重点发展康养度假、医疗保健、生物科技、生态休闲等；中心组团将打造高端商务区和政务区，重点发展商务金融、政务、公共文化和科技孵化服务业等。</w:t>
      </w:r>
    </w:p>
    <w:p>
      <w:pPr>
        <w:ind w:firstLine="640"/>
        <w:rPr>
          <w:snapToGrid w:val="0"/>
        </w:rPr>
      </w:pPr>
      <w:r>
        <w:rPr>
          <w:snapToGrid w:val="0"/>
        </w:rPr>
        <w:t>先进制造业包括鑫美安防机器人、万泽航空发动机特种材料生产基地、冠恒氟硅新材料产业园、力劲科技智能压铸装备产业项目、浩能智能高端装备产业园、华润海丰电厂、金科纳米材料等。</w:t>
      </w:r>
    </w:p>
    <w:p>
      <w:pPr>
        <w:ind w:firstLine="640"/>
        <w:rPr>
          <w:snapToGrid w:val="0"/>
        </w:rPr>
      </w:pPr>
      <w:r>
        <w:rPr>
          <w:snapToGrid w:val="0"/>
        </w:rPr>
        <w:t>现代旅游业包括南方澳度假村、日月湖生态园、水底山温泉庄园、小漠文化旅游创新小镇等。</w:t>
      </w:r>
    </w:p>
    <w:p>
      <w:pPr>
        <w:pStyle w:val="4"/>
        <w:ind w:firstLine="640"/>
      </w:pPr>
      <w:bookmarkStart w:id="150" w:name="_Toc80221620"/>
      <w:r>
        <w:t>三、道路交通</w:t>
      </w:r>
      <w:bookmarkEnd w:id="150"/>
    </w:p>
    <w:p>
      <w:pPr>
        <w:ind w:firstLine="640"/>
        <w:rPr>
          <w:snapToGrid w:val="0"/>
        </w:rPr>
      </w:pPr>
      <w:r>
        <w:rPr>
          <w:snapToGrid w:val="0"/>
        </w:rPr>
        <w:t xml:space="preserve">合作区利用东部沿海高速、深汕高速、潮莞高速、324国道以及深惠汕轻轨、厦深高铁，形成与珠三角和粤东多通道、多方式，便捷、高效的交通体系。合作区距离深圳市中心区1个半小时车程，距盐田港45分钟车程，距巽寮湾国际休闲度假区和十里银滩等均在半小时车程。 </w:t>
      </w:r>
    </w:p>
    <w:p>
      <w:pPr>
        <w:ind w:firstLine="640"/>
        <w:rPr>
          <w:snapToGrid w:val="0"/>
        </w:rPr>
      </w:pPr>
      <w:r>
        <w:rPr>
          <w:snapToGrid w:val="0"/>
        </w:rPr>
        <w:t>目前合作区正在加紧打造“三港四站”交通枢纽配套设施、“四铁五高”外联路网、“五横六纵”内部骨架路网海陆空铁立体交通体系，全面推动深汕合作区与深圳一体化发展步伐。</w:t>
      </w:r>
    </w:p>
    <w:p>
      <w:pPr>
        <w:pStyle w:val="75"/>
        <w:rPr>
          <w:rFonts w:ascii="Times New Roman" w:hAnsi="Times New Roman" w:cs="Times New Roman"/>
          <w:snapToGrid w:val="0"/>
          <w:color w:val="000000"/>
          <w:szCs w:val="32"/>
        </w:rPr>
      </w:pPr>
      <w:r>
        <w:rPr>
          <w:rFonts w:ascii="Times New Roman" w:hAnsi="Times New Roman" w:cs="Times New Roman"/>
        </w:rPr>
        <w:drawing>
          <wp:inline distT="0" distB="0" distL="0" distR="0">
            <wp:extent cx="3442970" cy="2103120"/>
            <wp:effectExtent l="0" t="0" r="508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9"/>
                    <a:stretch>
                      <a:fillRect/>
                    </a:stretch>
                  </pic:blipFill>
                  <pic:spPr>
                    <a:xfrm>
                      <a:off x="0" y="0"/>
                      <a:ext cx="3457566" cy="2112619"/>
                    </a:xfrm>
                    <a:prstGeom prst="rect">
                      <a:avLst/>
                    </a:prstGeom>
                  </pic:spPr>
                </pic:pic>
              </a:graphicData>
            </a:graphic>
          </wp:inline>
        </w:drawing>
      </w:r>
    </w:p>
    <w:p>
      <w:pPr>
        <w:ind w:firstLine="0" w:firstLineChars="0"/>
        <w:rPr>
          <w:snapToGrid w:val="0"/>
          <w:color w:val="000000"/>
          <w:kern w:val="0"/>
          <w:szCs w:val="3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26670</wp:posOffset>
                </wp:positionV>
                <wp:extent cx="2453640" cy="443865"/>
                <wp:effectExtent l="0" t="0" r="4445" b="0"/>
                <wp:wrapNone/>
                <wp:docPr id="21" name="文本框 21"/>
                <wp:cNvGraphicFramePr/>
                <a:graphic xmlns:a="http://schemas.openxmlformats.org/drawingml/2006/main">
                  <a:graphicData uri="http://schemas.microsoft.com/office/word/2010/wordprocessingShape">
                    <wps:wsp>
                      <wps:cNvSpPr txBox="1"/>
                      <wps:spPr>
                        <a:xfrm>
                          <a:off x="0" y="0"/>
                          <a:ext cx="2453489" cy="443620"/>
                        </a:xfrm>
                        <a:prstGeom prst="rect">
                          <a:avLst/>
                        </a:prstGeom>
                        <a:solidFill>
                          <a:schemeClr val="lt1"/>
                        </a:solidFill>
                        <a:ln w="6350">
                          <a:noFill/>
                        </a:ln>
                      </wps:spPr>
                      <wps:txbx>
                        <w:txbxContent>
                          <w:p>
                            <w:pPr>
                              <w:ind w:firstLine="0" w:firstLineChars="0"/>
                              <w:jc w:val="center"/>
                              <w:rPr>
                                <w:sz w:val="28"/>
                                <w:szCs w:val="28"/>
                              </w:rPr>
                            </w:pPr>
                            <w:r>
                              <w:rPr>
                                <w:rFonts w:hint="eastAsia"/>
                                <w:sz w:val="28"/>
                                <w:szCs w:val="28"/>
                              </w:rPr>
                              <w:t>图</w:t>
                            </w:r>
                            <w:r>
                              <w:rPr>
                                <w:sz w:val="28"/>
                                <w:szCs w:val="28"/>
                              </w:rPr>
                              <w:t xml:space="preserve">5 </w:t>
                            </w:r>
                            <w:r>
                              <w:rPr>
                                <w:rFonts w:hint="eastAsia"/>
                                <w:sz w:val="28"/>
                                <w:szCs w:val="28"/>
                              </w:rPr>
                              <w:t>区域</w:t>
                            </w:r>
                            <w:r>
                              <w:rPr>
                                <w:sz w:val="28"/>
                                <w:szCs w:val="28"/>
                              </w:rPr>
                              <w:t>交通</w:t>
                            </w:r>
                            <w:r>
                              <w:rPr>
                                <w:rFonts w:hint="eastAsia"/>
                                <w:sz w:val="28"/>
                                <w:szCs w:val="28"/>
                              </w:rPr>
                              <w:t>规划</w:t>
                            </w:r>
                            <w:r>
                              <w:rPr>
                                <w:sz w:val="28"/>
                                <w:szCs w:val="28"/>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2.1pt;height:34.95pt;width:193.2pt;mso-position-horizontal:center;mso-position-horizontal-relative:margin;z-index:251669504;mso-width-relative:page;mso-height-relative:page;" fillcolor="#FFFFFF [3201]" filled="t" stroked="f" coordsize="21600,21600" o:gfxdata="UEsDBAoAAAAAAIdO4kAAAAAAAAAAAAAAAAAEAAAAZHJzL1BLAwQUAAAACACHTuJAArRtYtIAAAAF&#10;AQAADwAAAGRycy9kb3ducmV2LnhtbE2PzW7CMBCE75X6DtYicStOaAQozYZDpV4rFShnE2/jCHsd&#10;2eb36XFP7XE0o5lvmvXVWXGmEAfPCOWsAEHceT1wj7DbfrysQMSkWCvrmRBuFGHdPj81qtb+wl90&#10;3qRe5BKOtUIwKY21lLEz5FSc+ZE4ez8+OJWyDL3UQV1yubNyXhQL6dTAecGokd4NdcfNySHse3ff&#10;f5djMNrZij/vt+3OD4jTSVm8gUh0TX9h+MXP6NBmpoM/sY7CIuQjCaGag8jm62pRgTggLKsSZNvI&#10;//TtA1BLAwQUAAAACACHTuJAAx0fE1MCAACRBAAADgAAAGRycy9lMm9Eb2MueG1srVTBbhMxEL0j&#10;8Q+W73STdFvaqJsqtApCqmilgjg7Xm92Ja/H2E52ywfAH3Diwp3vynfw7E3aUjj0QA7OeGY8M+/N&#10;zJ6d961mG+V8Q6bg44MRZ8pIKhuzKvjHD4tXJ5z5IEwpNBlV8Dvl+fns5Yuzzk7VhGrSpXIMQYyf&#10;drbgdQh2mmVe1qoV/oCsMjBW5FoRcHWrrHSiQ/RWZ5PR6DjryJXWkVTeQ3s5GPkuontOQKqqRqpL&#10;kutWmTBEdUqLAEi+bqzns1RtVSkZrqvKq8B0wYE0pBNJIC/jmc3OxHTlhK0buStBPKeEJ5ha0Rgk&#10;vQ91KYJga9f8FaptpCNPVTiQ1GYDkMQIUIxHT7i5rYVVCQuo9vaedP//wsr3mxvHmrLgkzFnRrTo&#10;+Pb7t+2PX9ufXxl0IKizfgq/WwvP0L+hHmOz13soI+6+cm38ByIGO+i9u6dX9YFJKCf50WF+csqZ&#10;hC3PD48nif/s4bV1PrxV1LIoFNyhfYlVsbnyAZXAde8Sk3nSTblotE4Xt1peaMc2Aq1epF8sEk/+&#10;cNOGdQU/PjwapciG4vvBTxu4R7ADqCiFftnvGFhSeQcCHA0z5K1cNKjySvhwIxyGBpixVuEaR6UJ&#10;SWgncVaT+/IvffRHL2HlrMMQFtx/XgunONPvDLp8Os7zOLXpkh+9BmHMPbYsH1vMur0ggEcjUV0S&#10;o3/Qe7Fy1H7C9s1jVpiEkchd8LAXL8KwGtheqebz5IQ5tSJcmVsrY+hItaH5OlDVpJZEmgZuduxh&#10;UhPtu62Kq/D4nrweviS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K0bWLSAAAABQEAAA8AAAAA&#10;AAAAAQAgAAAAIgAAAGRycy9kb3ducmV2LnhtbFBLAQIUABQAAAAIAIdO4kADHR8TUwIAAJEEAAAO&#10;AAAAAAAAAAEAIAAAACEBAABkcnMvZTJvRG9jLnhtbFBLBQYAAAAABgAGAFkBAADmBQAAAAA=&#10;">
                <v:fill on="t" focussize="0,0"/>
                <v:stroke on="f" weight="0.5pt"/>
                <v:imagedata o:title=""/>
                <o:lock v:ext="edit" aspectratio="f"/>
                <v:textbox>
                  <w:txbxContent>
                    <w:p>
                      <w:pPr>
                        <w:ind w:firstLine="0" w:firstLineChars="0"/>
                        <w:jc w:val="center"/>
                        <w:rPr>
                          <w:sz w:val="28"/>
                          <w:szCs w:val="28"/>
                        </w:rPr>
                      </w:pPr>
                      <w:r>
                        <w:rPr>
                          <w:rFonts w:hint="eastAsia"/>
                          <w:sz w:val="28"/>
                          <w:szCs w:val="28"/>
                        </w:rPr>
                        <w:t>图</w:t>
                      </w:r>
                      <w:r>
                        <w:rPr>
                          <w:sz w:val="28"/>
                          <w:szCs w:val="28"/>
                        </w:rPr>
                        <w:t xml:space="preserve">5 </w:t>
                      </w:r>
                      <w:r>
                        <w:rPr>
                          <w:rFonts w:hint="eastAsia"/>
                          <w:sz w:val="28"/>
                          <w:szCs w:val="28"/>
                        </w:rPr>
                        <w:t>区域</w:t>
                      </w:r>
                      <w:r>
                        <w:rPr>
                          <w:sz w:val="28"/>
                          <w:szCs w:val="28"/>
                        </w:rPr>
                        <w:t>交通</w:t>
                      </w:r>
                      <w:r>
                        <w:rPr>
                          <w:rFonts w:hint="eastAsia"/>
                          <w:sz w:val="28"/>
                          <w:szCs w:val="28"/>
                        </w:rPr>
                        <w:t>规划</w:t>
                      </w:r>
                      <w:r>
                        <w:rPr>
                          <w:sz w:val="28"/>
                          <w:szCs w:val="28"/>
                        </w:rPr>
                        <w:t>图</w:t>
                      </w:r>
                    </w:p>
                  </w:txbxContent>
                </v:textbox>
              </v:shape>
            </w:pict>
          </mc:Fallback>
        </mc:AlternateContent>
      </w:r>
    </w:p>
    <w:p>
      <w:pPr>
        <w:ind w:firstLine="0" w:firstLineChars="0"/>
        <w:rPr>
          <w:snapToGrid w:val="0"/>
          <w:color w:val="000000"/>
          <w:kern w:val="0"/>
          <w:szCs w:val="32"/>
        </w:rPr>
      </w:pPr>
    </w:p>
    <w:p>
      <w:pPr>
        <w:pStyle w:val="4"/>
        <w:ind w:firstLine="640"/>
      </w:pPr>
      <w:bookmarkStart w:id="151" w:name="_Toc80221621"/>
      <w:r>
        <w:t>四、发展规划</w:t>
      </w:r>
      <w:bookmarkEnd w:id="151"/>
    </w:p>
    <w:p>
      <w:pPr>
        <w:ind w:firstLine="640"/>
        <w:rPr>
          <w:snapToGrid w:val="0"/>
        </w:rPr>
      </w:pPr>
      <w:r>
        <w:rPr>
          <w:snapToGrid w:val="0"/>
        </w:rPr>
        <w:t>合作区正集全部之力加快经济发展，到2025年，合作区建设用地规模约为80平方公里，人口规模约为70万人；2035年，合作区建设用地控制在约135平方公里，人口规模达到150万人，市政基础设施按300万人口标准配置。</w:t>
      </w:r>
    </w:p>
    <w:p>
      <w:pPr>
        <w:ind w:firstLine="640"/>
        <w:rPr>
          <w:snapToGrid w:val="0"/>
        </w:rPr>
      </w:pPr>
      <w:r>
        <w:rPr>
          <w:snapToGrid w:val="0"/>
        </w:rPr>
        <w:t>发展理念：创新引领发展、实干再造新城。</w:t>
      </w:r>
    </w:p>
    <w:p>
      <w:pPr>
        <w:ind w:firstLine="640"/>
        <w:rPr>
          <w:snapToGrid w:val="0"/>
        </w:rPr>
      </w:pPr>
      <w:r>
        <w:rPr>
          <w:snapToGrid w:val="0"/>
        </w:rPr>
        <w:t>发展模式：总部+基地、研发+生产、智慧+运用。</w:t>
      </w:r>
    </w:p>
    <w:p>
      <w:pPr>
        <w:ind w:firstLine="640"/>
        <w:rPr>
          <w:snapToGrid w:val="0"/>
        </w:rPr>
      </w:pPr>
      <w:r>
        <w:rPr>
          <w:snapToGrid w:val="0"/>
        </w:rPr>
        <w:t>发展思路：规划引领、基础先行、平台带动、产城融合。</w:t>
      </w:r>
    </w:p>
    <w:p>
      <w:pPr>
        <w:ind w:firstLine="640"/>
        <w:rPr>
          <w:snapToGrid w:val="0"/>
        </w:rPr>
      </w:pPr>
      <w:r>
        <w:rPr>
          <w:snapToGrid w:val="0"/>
        </w:rPr>
        <w:t>战略定位：粤港澳大湾区东部门户，粤东沿海经济带新中心，深圳自主创新拓展区，现代化国际性滨海智慧新城。</w:t>
      </w:r>
    </w:p>
    <w:p>
      <w:pPr>
        <w:widowControl/>
        <w:spacing w:line="240" w:lineRule="auto"/>
        <w:ind w:firstLine="0" w:firstLineChars="0"/>
        <w:jc w:val="left"/>
        <w:rPr>
          <w:rFonts w:eastAsia="黑体"/>
          <w:bCs/>
          <w:kern w:val="44"/>
          <w:sz w:val="36"/>
          <w:szCs w:val="44"/>
        </w:rPr>
      </w:pPr>
      <w:r>
        <w:br w:type="page"/>
      </w:r>
    </w:p>
    <w:p>
      <w:pPr>
        <w:pStyle w:val="2"/>
      </w:pPr>
      <w:bookmarkStart w:id="152" w:name="_Toc80221622"/>
      <w:r>
        <w:t>附件二 风险分析</w:t>
      </w:r>
      <w:bookmarkEnd w:id="152"/>
    </w:p>
    <w:p>
      <w:pPr>
        <w:pStyle w:val="3"/>
      </w:pPr>
      <w:bookmarkStart w:id="153" w:name="_Toc80221623"/>
      <w:r>
        <w:t>第一节 安全生产风险</w:t>
      </w:r>
      <w:bookmarkEnd w:id="153"/>
    </w:p>
    <w:p>
      <w:pPr>
        <w:pStyle w:val="4"/>
        <w:ind w:firstLine="640"/>
        <w:rPr>
          <w:snapToGrid w:val="0"/>
        </w:rPr>
      </w:pPr>
      <w:bookmarkStart w:id="154" w:name="_Toc80221624"/>
      <w:r>
        <w:rPr>
          <w:snapToGrid w:val="0"/>
        </w:rPr>
        <w:t>一、建设施工安全</w:t>
      </w:r>
      <w:bookmarkEnd w:id="154"/>
    </w:p>
    <w:p>
      <w:pPr>
        <w:ind w:firstLine="640"/>
        <w:rPr>
          <w:snapToGrid w:val="0"/>
        </w:rPr>
      </w:pPr>
      <w:r>
        <w:rPr>
          <w:snapToGrid w:val="0"/>
        </w:rPr>
        <w:t>合作区纳管建设施工项目共计88个，其中房屋建筑工程56个，市政公用工程22个，水利水务工程5个，乡村振兴工程5个。在建住建类项目高边坡数量17个，深基坑数量19个。现有建设施工从业人员16348名。</w:t>
      </w:r>
    </w:p>
    <w:p>
      <w:pPr>
        <w:ind w:firstLine="640"/>
        <w:rPr>
          <w:snapToGrid w:val="0"/>
        </w:rPr>
      </w:pPr>
      <w:r>
        <w:rPr>
          <w:snapToGrid w:val="0"/>
        </w:rPr>
        <w:t>建设施工的重大类别风险主要包括基坑坍塌、脚手架及模板坍塌、脚手架高处坠落、塔吊起重机械伤害以及移动起重机械伤害等。</w:t>
      </w:r>
    </w:p>
    <w:p>
      <w:pPr>
        <w:ind w:firstLine="640"/>
        <w:rPr>
          <w:snapToGrid w:val="0"/>
        </w:rPr>
      </w:pPr>
      <w:r>
        <w:rPr>
          <w:snapToGrid w:val="0"/>
        </w:rPr>
        <w:t>目前区内在建项目单位对施工报建工作重视度不足，存在无证施工现象；部分施工企业安全意识淡薄，安全防护投入较少，企业内部安全管理制度不健全，岗位安全生产责任制没有真正落实，项目安全文明施工措施不到位。</w:t>
      </w:r>
    </w:p>
    <w:p>
      <w:pPr>
        <w:pStyle w:val="4"/>
        <w:ind w:firstLine="640"/>
        <w:rPr>
          <w:snapToGrid w:val="0"/>
        </w:rPr>
      </w:pPr>
      <w:bookmarkStart w:id="155" w:name="_Toc80221625"/>
      <w:r>
        <w:rPr>
          <w:snapToGrid w:val="0"/>
        </w:rPr>
        <w:t>二、道路交通安全</w:t>
      </w:r>
      <w:bookmarkEnd w:id="155"/>
    </w:p>
    <w:p>
      <w:pPr>
        <w:ind w:firstLine="640"/>
        <w:rPr>
          <w:snapToGrid w:val="0"/>
        </w:rPr>
      </w:pPr>
      <w:r>
        <w:rPr>
          <w:snapToGrid w:val="0"/>
        </w:rPr>
        <w:t>合作区交通基础薄弱，历史欠账较多，目前在建道路113公里，“十四五”期间，合计建设公路里程长度超187公里，在建道路体量庞大，不同种类施工车辆来往频繁，特别是泥头车安全隐患较大。</w:t>
      </w:r>
    </w:p>
    <w:p>
      <w:pPr>
        <w:pStyle w:val="75"/>
        <w:rPr>
          <w:rFonts w:ascii="Times New Roman" w:hAnsi="Times New Roman" w:cs="Times New Roman"/>
          <w:snapToGrid w:val="0"/>
          <w:color w:val="000000"/>
          <w:szCs w:val="32"/>
        </w:rPr>
      </w:pPr>
      <w:r>
        <w:rPr>
          <w:rFonts w:ascii="Times New Roman" w:hAnsi="Times New Roman" w:cs="Times New Roman"/>
        </w:rPr>
        <w:drawing>
          <wp:inline distT="0" distB="0" distL="0" distR="0">
            <wp:extent cx="3638550" cy="265684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0"/>
                    <a:stretch>
                      <a:fillRect/>
                    </a:stretch>
                  </pic:blipFill>
                  <pic:spPr>
                    <a:xfrm>
                      <a:off x="0" y="0"/>
                      <a:ext cx="3638550" cy="2656840"/>
                    </a:xfrm>
                    <a:prstGeom prst="rect">
                      <a:avLst/>
                    </a:prstGeom>
                  </pic:spPr>
                </pic:pic>
              </a:graphicData>
            </a:graphic>
          </wp:inline>
        </w:drawing>
      </w:r>
    </w:p>
    <w:p>
      <w:pPr>
        <w:ind w:firstLine="0" w:firstLineChars="0"/>
        <w:rPr>
          <w:snapToGrid w:val="0"/>
          <w:color w:val="000000"/>
          <w:kern w:val="0"/>
          <w:szCs w:val="32"/>
        </w:rPr>
      </w:pPr>
      <w:r>
        <w:rPr>
          <w:color w:val="000000"/>
          <w:kern w:val="0"/>
          <w:szCs w:val="32"/>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7620</wp:posOffset>
                </wp:positionV>
                <wp:extent cx="3418205" cy="421640"/>
                <wp:effectExtent l="0" t="0" r="0" b="0"/>
                <wp:wrapNone/>
                <wp:docPr id="3" name="文本框 3"/>
                <wp:cNvGraphicFramePr/>
                <a:graphic xmlns:a="http://schemas.openxmlformats.org/drawingml/2006/main">
                  <a:graphicData uri="http://schemas.microsoft.com/office/word/2010/wordprocessingShape">
                    <wps:wsp>
                      <wps:cNvSpPr txBox="1"/>
                      <wps:spPr>
                        <a:xfrm>
                          <a:off x="0" y="0"/>
                          <a:ext cx="3418205" cy="421640"/>
                        </a:xfrm>
                        <a:prstGeom prst="rect">
                          <a:avLst/>
                        </a:prstGeom>
                        <a:solidFill>
                          <a:schemeClr val="lt1"/>
                        </a:solidFill>
                        <a:ln w="6350">
                          <a:noFill/>
                        </a:ln>
                      </wps:spPr>
                      <wps:txbx>
                        <w:txbxContent>
                          <w:p>
                            <w:pPr>
                              <w:ind w:firstLine="0" w:firstLineChars="0"/>
                              <w:jc w:val="center"/>
                              <w:rPr>
                                <w:sz w:val="28"/>
                                <w:szCs w:val="28"/>
                              </w:rPr>
                            </w:pPr>
                            <w:r>
                              <w:rPr>
                                <w:rFonts w:hint="eastAsia"/>
                                <w:sz w:val="28"/>
                                <w:szCs w:val="28"/>
                              </w:rPr>
                              <w:t>图</w:t>
                            </w:r>
                            <w:r>
                              <w:rPr>
                                <w:sz w:val="28"/>
                                <w:szCs w:val="28"/>
                              </w:rPr>
                              <w:t xml:space="preserve">6 </w:t>
                            </w:r>
                            <w:r>
                              <w:rPr>
                                <w:rFonts w:hint="eastAsia"/>
                                <w:sz w:val="28"/>
                                <w:szCs w:val="28"/>
                              </w:rPr>
                              <w:t>合作区道路交通</w:t>
                            </w:r>
                            <w:r>
                              <w:rPr>
                                <w:sz w:val="28"/>
                                <w:szCs w:val="28"/>
                              </w:rPr>
                              <w:t>组织</w:t>
                            </w:r>
                            <w:r>
                              <w:rPr>
                                <w:rFonts w:hint="eastAsia"/>
                                <w:sz w:val="28"/>
                                <w:szCs w:val="28"/>
                              </w:rPr>
                              <w:t>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0.6pt;height:33.2pt;width:269.15pt;mso-position-horizontal:center;mso-position-horizontal-relative:margin;z-index:251672576;mso-width-relative:page;mso-height-relative:page;" fillcolor="#FFFFFF [3201]" filled="t" stroked="f" coordsize="21600,21600" o:gfxdata="UEsDBAoAAAAAAIdO4kAAAAAAAAAAAAAAAAAEAAAAZHJzL1BLAwQUAAAACACHTuJAY/TTrtIAAAAF&#10;AQAADwAAAGRycy9kb3ducmV2LnhtbE2PzU7DMBCE70h9B2uRuFEnLQ1ViNNDJa5ItKVnN17iCHsd&#10;2e7v07Oc6HFnRjPfNquLd+KEMQ2BFJTTAgRSF8xAvYLd9v15CSJlTUa7QKjgiglW7eSh0bUJZ/rE&#10;0yb3gkso1VqBzXmspUydRa/TNIxI7H2H6HXmM/bSRH3mcu/krCgq6fVAvGD1iGuL3c/m6BXse3/b&#10;f5VjtMa7F/q4Xbe7MCj19FgWbyAyXvJ/GP7wGR1aZjqEI5kknAJ+JLM6A8HmYr6cgzgoqF4rkG0j&#10;7+nbX1BLAwQUAAAACACHTuJALqvp0FMCAACPBAAADgAAAGRycy9lMm9Eb2MueG1srVTNbtswDL4P&#10;2DsIuq+289N1QZ0iS5BhQLEW6IadFVmOBUiiJimxuwfY3qCnXXbfc/U5RslOm3U79LAcFFKkSH4f&#10;SZ9fdFqRvXBegilpcZJTIgyHSpptST99XL86o8QHZiqmwIiS3gpPL+YvX5y3diZG0ICqhCMYxPhZ&#10;a0vahGBnWeZ5IzTzJ2CFQWMNTrOAqttmlWMtRtcqG+X5adaCq6wDLrzH21VvpENE95yAUNeSixXw&#10;nRYm9FGdUCwgJN9I6+k8VVvXgoeruvYiEFVSRBrSiUlQ3sQzm5+z2dYx20g+lMCeU8ITTJpJg0kf&#10;Qq1YYGTn5F+htOQOPNThhIPOeiCJEURR5E+4uWmYFQkLUu3tA+n+/4XlH/bXjsiqpGNKDNPY8Pu7&#10;7/c/ft3//EbGkZ7W+hl63Vj0C91b6HBoDvceLyPqrnY6/iMegnYk9/aBXNEFwvFyPCnORvmUEo62&#10;yag4nST2s8fX1vnwToAmUSipw+YlTtn+0gesBF0PLjGZByWrtVQqKW67WSpH9gwbvU6/WCQ++cNN&#10;GdKW9HQ8zVNkA/F976cMukewPagohW7TDQxsoLpFAhz0E+QtX0us8pL5cM0cjgxixqUKV3jUCjAJ&#10;DBIlDbiv/7qP/thJtFLS4giW1H/ZMScoUe8N9vhNMUGOSEjKZPp6hIo7tmyOLWanl4DgC1xfy5MY&#10;/YM6iLUD/Rl3bxGzookZjrlLGg7iMvSLgbvLxWKRnHBKLQuX5sbyGDpSbWCxC1DL1JJIU8/NwB7O&#10;aaJ92Km4CMd68nr8js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P0067SAAAABQEAAA8AAAAA&#10;AAAAAQAgAAAAIgAAAGRycy9kb3ducmV2LnhtbFBLAQIUABQAAAAIAIdO4kAuq+nQUwIAAI8EAAAO&#10;AAAAAAAAAAEAIAAAACEBAABkcnMvZTJvRG9jLnhtbFBLBQYAAAAABgAGAFkBAADmBQAAAAA=&#10;">
                <v:fill on="t" focussize="0,0"/>
                <v:stroke on="f" weight="0.5pt"/>
                <v:imagedata o:title=""/>
                <o:lock v:ext="edit" aspectratio="f"/>
                <v:textbox>
                  <w:txbxContent>
                    <w:p>
                      <w:pPr>
                        <w:ind w:firstLine="0" w:firstLineChars="0"/>
                        <w:jc w:val="center"/>
                        <w:rPr>
                          <w:sz w:val="28"/>
                          <w:szCs w:val="28"/>
                        </w:rPr>
                      </w:pPr>
                      <w:r>
                        <w:rPr>
                          <w:rFonts w:hint="eastAsia"/>
                          <w:sz w:val="28"/>
                          <w:szCs w:val="28"/>
                        </w:rPr>
                        <w:t>图</w:t>
                      </w:r>
                      <w:r>
                        <w:rPr>
                          <w:sz w:val="28"/>
                          <w:szCs w:val="28"/>
                        </w:rPr>
                        <w:t xml:space="preserve">6 </w:t>
                      </w:r>
                      <w:r>
                        <w:rPr>
                          <w:rFonts w:hint="eastAsia"/>
                          <w:sz w:val="28"/>
                          <w:szCs w:val="28"/>
                        </w:rPr>
                        <w:t>合作区道路交通</w:t>
                      </w:r>
                      <w:r>
                        <w:rPr>
                          <w:sz w:val="28"/>
                          <w:szCs w:val="28"/>
                        </w:rPr>
                        <w:t>组织</w:t>
                      </w:r>
                      <w:r>
                        <w:rPr>
                          <w:rFonts w:hint="eastAsia"/>
                          <w:sz w:val="28"/>
                          <w:szCs w:val="28"/>
                        </w:rPr>
                        <w:t>示意图</w:t>
                      </w:r>
                    </w:p>
                  </w:txbxContent>
                </v:textbox>
              </v:shape>
            </w:pict>
          </mc:Fallback>
        </mc:AlternateContent>
      </w:r>
    </w:p>
    <w:p>
      <w:pPr>
        <w:ind w:firstLine="640"/>
        <w:rPr>
          <w:snapToGrid w:val="0"/>
        </w:rPr>
      </w:pPr>
      <w:r>
        <w:rPr>
          <w:snapToGrid w:val="0"/>
        </w:rPr>
        <w:t>合作区摩托车保有量大，占机动化出行的79%，电动车设计超标违法营运问题突出。农村公路等级低，病害多路况差，安全防护设施、交通安全警示标示不完善等问题普遍存在。G324国道货车占比达65%，超48%的货车属于过境出行，超速超载问题突出。</w:t>
      </w:r>
    </w:p>
    <w:p>
      <w:pPr>
        <w:pStyle w:val="4"/>
        <w:ind w:firstLine="640"/>
        <w:rPr>
          <w:snapToGrid w:val="0"/>
        </w:rPr>
      </w:pPr>
      <w:bookmarkStart w:id="156" w:name="_Toc80221626"/>
      <w:r>
        <w:rPr>
          <w:snapToGrid w:val="0"/>
        </w:rPr>
        <w:t>三、工商贸安全</w:t>
      </w:r>
      <w:bookmarkEnd w:id="156"/>
    </w:p>
    <w:p>
      <w:pPr>
        <w:ind w:firstLine="640"/>
        <w:rPr>
          <w:snapToGrid w:val="0"/>
        </w:rPr>
      </w:pPr>
      <w:r>
        <w:rPr>
          <w:snapToGrid w:val="0"/>
        </w:rPr>
        <w:t>合作区现有工商贸企业70家，其中危险化学品企业23家（3家生产企业，20家加油站），涉尘涉氨企业5家，危险化学品重大危险源企业3家，有限空间作业场所60处。</w:t>
      </w:r>
    </w:p>
    <w:p>
      <w:pPr>
        <w:pStyle w:val="4"/>
        <w:ind w:firstLine="640"/>
        <w:rPr>
          <w:snapToGrid w:val="0"/>
        </w:rPr>
      </w:pPr>
      <w:bookmarkStart w:id="157" w:name="_Toc80221627"/>
      <w:r>
        <w:rPr>
          <w:snapToGrid w:val="0"/>
        </w:rPr>
        <w:t>四、消防安全</w:t>
      </w:r>
      <w:bookmarkEnd w:id="157"/>
    </w:p>
    <w:p>
      <w:pPr>
        <w:ind w:firstLine="640"/>
        <w:rPr>
          <w:snapToGrid w:val="0"/>
        </w:rPr>
      </w:pPr>
      <w:r>
        <w:rPr>
          <w:snapToGrid w:val="0"/>
        </w:rPr>
        <w:t>合作区消防重点单位10家，三小场所约2000家，合作区现有市政消火栓490座，市政消火栓覆盖率约为0.40个/公顷，部分区域水压未满足10米消防水压。</w:t>
      </w:r>
    </w:p>
    <w:p>
      <w:pPr>
        <w:ind w:firstLine="640"/>
        <w:rPr>
          <w:snapToGrid w:val="0"/>
        </w:rPr>
      </w:pPr>
      <w:r>
        <w:rPr>
          <w:snapToGrid w:val="0"/>
        </w:rPr>
        <w:t>建设工程消防问题突出。多数建设工程所在区域原为农村地区，消防设施建设落后，未设置公共消防基础设施，施工现场发生火灾时灭火用水主要依靠水罐消防车和施工现场的临时消防水池。</w:t>
      </w:r>
    </w:p>
    <w:p>
      <w:pPr>
        <w:ind w:firstLine="640"/>
        <w:rPr>
          <w:snapToGrid w:val="0"/>
        </w:rPr>
      </w:pPr>
      <w:r>
        <w:rPr>
          <w:snapToGrid w:val="0"/>
        </w:rPr>
        <w:t>农村地区消防意识淡薄。农村消防设施不足，无消火栓等消防设施。电线乱拉、罐装天然气、油桶加油现象普遍。</w:t>
      </w:r>
    </w:p>
    <w:p>
      <w:pPr>
        <w:pStyle w:val="4"/>
        <w:ind w:firstLine="640"/>
        <w:rPr>
          <w:snapToGrid w:val="0"/>
        </w:rPr>
      </w:pPr>
      <w:bookmarkStart w:id="158" w:name="_Toc80221628"/>
      <w:r>
        <w:rPr>
          <w:snapToGrid w:val="0"/>
        </w:rPr>
        <w:t>五、海上安全</w:t>
      </w:r>
      <w:bookmarkEnd w:id="158"/>
    </w:p>
    <w:p>
      <w:pPr>
        <w:ind w:firstLine="640"/>
        <w:rPr>
          <w:snapToGrid w:val="0"/>
        </w:rPr>
      </w:pPr>
      <w:r>
        <w:rPr>
          <w:snapToGrid w:val="0"/>
        </w:rPr>
        <w:t>合作区海域面积1152平方公里，海岸线50.9</w:t>
      </w:r>
      <w:r>
        <w:rPr>
          <w:rFonts w:hint="eastAsia"/>
          <w:snapToGrid w:val="0"/>
        </w:rPr>
        <w:t>公里</w:t>
      </w:r>
      <w:r>
        <w:rPr>
          <w:snapToGrid w:val="0"/>
        </w:rPr>
        <w:t>，距太平洋国际航道仅12km。大澳等附近海域水深流急，水上运输、渔业捕捞作业、休闲旅游等安全隐患较大。目前水上和渔业监管体制尚未理顺，监管力量不足。</w:t>
      </w:r>
    </w:p>
    <w:p>
      <w:pPr>
        <w:pStyle w:val="3"/>
      </w:pPr>
      <w:bookmarkStart w:id="159" w:name="_Toc80221629"/>
      <w:r>
        <w:t>第二节 自然灾害风险</w:t>
      </w:r>
      <w:bookmarkEnd w:id="159"/>
    </w:p>
    <w:p>
      <w:pPr>
        <w:pStyle w:val="4"/>
        <w:ind w:firstLine="640"/>
        <w:rPr>
          <w:snapToGrid w:val="0"/>
        </w:rPr>
      </w:pPr>
      <w:bookmarkStart w:id="160" w:name="_Toc80221630"/>
      <w:r>
        <w:rPr>
          <w:snapToGrid w:val="0"/>
        </w:rPr>
        <w:t>一、台风暴雨</w:t>
      </w:r>
      <w:bookmarkEnd w:id="160"/>
    </w:p>
    <w:p>
      <w:pPr>
        <w:ind w:firstLine="640"/>
        <w:rPr>
          <w:snapToGrid w:val="0"/>
        </w:rPr>
      </w:pPr>
      <w:r>
        <w:rPr>
          <w:snapToGrid w:val="0"/>
        </w:rPr>
        <w:t>深汕特别区地处广东省三大暴雨中心之一，年均受4-6个台风影响，年平均降雨量高出深圳20%，台风、暴雨、雷电等灾害性天气多发。辖区内时空降雨不均，现有堤防、水闸、水库等水利工程防洪标准低，加上辖区在建项目多，存在场地表土裸露、堆土松散、边坡陡峭、无排水沉沙设施等情况，水土流失现象严重，尤其是鹅埠片区，南门河原有支流（沙埔达坑、边溪河、鹅仔下河、新屋河及田寮河）基本损毁，几无泄洪能力。</w:t>
      </w:r>
    </w:p>
    <w:p>
      <w:pPr>
        <w:pStyle w:val="75"/>
        <w:rPr>
          <w:rFonts w:ascii="Times New Roman" w:hAnsi="Times New Roman" w:cs="Times New Roman"/>
          <w:snapToGrid w:val="0"/>
          <w:color w:val="000000"/>
          <w:szCs w:val="32"/>
        </w:rPr>
      </w:pPr>
      <w:r>
        <w:rPr>
          <w:rFonts w:ascii="Times New Roman" w:hAnsi="Times New Roman" w:cs="Times New Roman"/>
        </w:rPr>
        <w:drawing>
          <wp:inline distT="0" distB="0" distL="0" distR="0">
            <wp:extent cx="3616960" cy="2585085"/>
            <wp:effectExtent l="0" t="0" r="2540" b="571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1"/>
                    <a:stretch>
                      <a:fillRect/>
                    </a:stretch>
                  </pic:blipFill>
                  <pic:spPr>
                    <a:xfrm>
                      <a:off x="0" y="0"/>
                      <a:ext cx="3634156" cy="2597526"/>
                    </a:xfrm>
                    <a:prstGeom prst="rect">
                      <a:avLst/>
                    </a:prstGeom>
                  </pic:spPr>
                </pic:pic>
              </a:graphicData>
            </a:graphic>
          </wp:inline>
        </w:drawing>
      </w:r>
    </w:p>
    <w:p>
      <w:pPr>
        <w:ind w:firstLine="640"/>
        <w:rPr>
          <w:snapToGrid w:val="0"/>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8255</wp:posOffset>
                </wp:positionV>
                <wp:extent cx="3418205" cy="42164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3418205" cy="421640"/>
                        </a:xfrm>
                        <a:prstGeom prst="rect">
                          <a:avLst/>
                        </a:prstGeom>
                        <a:solidFill>
                          <a:schemeClr val="lt1"/>
                        </a:solidFill>
                        <a:ln w="6350">
                          <a:noFill/>
                        </a:ln>
                      </wps:spPr>
                      <wps:txbx>
                        <w:txbxContent>
                          <w:p>
                            <w:pPr>
                              <w:ind w:firstLine="0" w:firstLineChars="0"/>
                              <w:jc w:val="center"/>
                              <w:rPr>
                                <w:sz w:val="28"/>
                                <w:szCs w:val="28"/>
                              </w:rPr>
                            </w:pPr>
                            <w:r>
                              <w:rPr>
                                <w:rFonts w:hint="eastAsia"/>
                                <w:sz w:val="28"/>
                                <w:szCs w:val="28"/>
                              </w:rPr>
                              <w:t>图</w:t>
                            </w:r>
                            <w:r>
                              <w:rPr>
                                <w:sz w:val="28"/>
                                <w:szCs w:val="28"/>
                              </w:rPr>
                              <w:t xml:space="preserve">7 </w:t>
                            </w:r>
                            <w:r>
                              <w:rPr>
                                <w:rFonts w:hint="eastAsia"/>
                                <w:sz w:val="28"/>
                                <w:szCs w:val="28"/>
                              </w:rPr>
                              <w:t>广东省</w:t>
                            </w:r>
                            <w:r>
                              <w:rPr>
                                <w:sz w:val="28"/>
                                <w:szCs w:val="28"/>
                              </w:rPr>
                              <w:t>三大暴雨中心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0.65pt;height:33.2pt;width:269.15pt;mso-position-horizontal:center;mso-position-horizontal-relative:margin;z-index:251671552;mso-width-relative:page;mso-height-relative:page;" fillcolor="#FFFFFF [3201]" filled="t" stroked="f" coordsize="21600,21600" o:gfxdata="UEsDBAoAAAAAAIdO4kAAAAAAAAAAAAAAAAAEAAAAZHJzL1BLAwQUAAAACACHTuJArqBB7NIAAAAF&#10;AQAADwAAAGRycy9kb3ducmV2LnhtbE2PO2/DMAyE9wL9DwILdGtkJ80DruUMAbIGaJJmVizWMipR&#10;hqQ8f33Zqdl4POLuY728eifOGFMfSEE5KkAgtcH01CnY79ZvCxApazLaBUIFN0ywbJ6fal2ZcKFP&#10;PG9zJziEUqUV2JyHSsrUWvQ6jcKAxN53iF5nlrGTJuoLh3snx0Uxk173xA1WD7iy2P5sT17BofP3&#10;w1c5RGu8e6fN/bbbh16p15ey+ACR8Zr/j+EPn9GhYaZjOJFJwingRzJvJyDYnE4WPBwVzOZzkE0t&#10;H+mbX1BLAwQUAAAACACHTuJAxUskMlMCAACRBAAADgAAAGRycy9lMm9Eb2MueG1srVTNbhMxEL4j&#10;8Q6W73STNC0l6qYKrYKQKlqpIM6O15u15PUY28lueQB4A05cuPNcfQ4+e5O2/Bx6IAdnPDOeme+b&#10;mT0961vDtsoHTbbk44MRZ8pKqrRdl/zD++WLE85CFLYShqwq+a0K/Gz+/Nlp52ZqQg2ZSnmGIDbM&#10;OlfyJkY3K4ogG9WKcEBOWRhr8q2IuPp1UXnRIXprislodFx05CvnSaoQoL0YjHwX0T8lINW1luqC&#10;5KZVNg5RvTIiAlJotAt8nqutayXjVV0HFZkpOZDGfCIJ5FU6i/mpmK29cI2WuxLEU0r4A1MrtEXS&#10;+1AXIgq28fqvUK2WngLV8UBSWwxAMiNAMR79wc1NI5zKWEB1cPekh/8XVr7bXnumq5JPjjizokXH&#10;7759vfv+8+7HFwYdCOpcmMHvxsEz9q+px9js9QHKhLuvfZv+gYjBDnpv7+lVfWQSysPp+GQyQhoJ&#10;23QyPp5m/ouH186H+EZRy5JQco/2ZVbF9jJEVALXvUtKFsjoaqmNyRe/Xp0bz7YCrV7mXyoST35z&#10;M5Z1JT8+PBrlyJbS+8HPWLgnsAOoJMV+1e8YWFF1CwI8DTMUnFxqVHkpQrwWHkMDzFireIWjNoQk&#10;tJM4a8h//pc++aOXsHLWYQhLHj5thFecmbcWXX41noIjFvNlevRygot/bFk9tthNe04AP8YCO5nF&#10;5B/NXqw9tR+xfYuUFSZhJXKXPO7F8zisBrZXqsUiO2FOnYiX9sbJFDpRbWmxiVTr3JJE08DNjj1M&#10;aqZ9t1VpFR7fs9fDl2T+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6gQezSAAAABQEAAA8AAAAA&#10;AAAAAQAgAAAAIgAAAGRycy9kb3ducmV2LnhtbFBLAQIUABQAAAAIAIdO4kDFSyQyUwIAAJEEAAAO&#10;AAAAAAAAAAEAIAAAACEBAABkcnMvZTJvRG9jLnhtbFBLBQYAAAAABgAGAFkBAADmBQAAAAA=&#10;">
                <v:fill on="t" focussize="0,0"/>
                <v:stroke on="f" weight="0.5pt"/>
                <v:imagedata o:title=""/>
                <o:lock v:ext="edit" aspectratio="f"/>
                <v:textbox>
                  <w:txbxContent>
                    <w:p>
                      <w:pPr>
                        <w:ind w:firstLine="0" w:firstLineChars="0"/>
                        <w:jc w:val="center"/>
                        <w:rPr>
                          <w:sz w:val="28"/>
                          <w:szCs w:val="28"/>
                        </w:rPr>
                      </w:pPr>
                      <w:r>
                        <w:rPr>
                          <w:rFonts w:hint="eastAsia"/>
                          <w:sz w:val="28"/>
                          <w:szCs w:val="28"/>
                        </w:rPr>
                        <w:t>图</w:t>
                      </w:r>
                      <w:r>
                        <w:rPr>
                          <w:sz w:val="28"/>
                          <w:szCs w:val="28"/>
                        </w:rPr>
                        <w:t xml:space="preserve">7 </w:t>
                      </w:r>
                      <w:r>
                        <w:rPr>
                          <w:rFonts w:hint="eastAsia"/>
                          <w:sz w:val="28"/>
                          <w:szCs w:val="28"/>
                        </w:rPr>
                        <w:t>广东省</w:t>
                      </w:r>
                      <w:r>
                        <w:rPr>
                          <w:sz w:val="28"/>
                          <w:szCs w:val="28"/>
                        </w:rPr>
                        <w:t>三大暴雨中心</w:t>
                      </w:r>
                    </w:p>
                  </w:txbxContent>
                </v:textbox>
              </v:shape>
            </w:pict>
          </mc:Fallback>
        </mc:AlternateContent>
      </w:r>
    </w:p>
    <w:p>
      <w:pPr>
        <w:pStyle w:val="4"/>
        <w:ind w:firstLine="640"/>
        <w:rPr>
          <w:snapToGrid w:val="0"/>
        </w:rPr>
      </w:pPr>
      <w:bookmarkStart w:id="161" w:name="_Toc80221631"/>
      <w:r>
        <w:rPr>
          <w:snapToGrid w:val="0"/>
        </w:rPr>
        <w:t>二、地震灾害</w:t>
      </w:r>
      <w:bookmarkEnd w:id="161"/>
    </w:p>
    <w:p>
      <w:pPr>
        <w:ind w:firstLine="640"/>
        <w:rPr>
          <w:snapToGrid w:val="0"/>
        </w:rPr>
      </w:pPr>
      <w:r>
        <w:rPr>
          <w:snapToGrid w:val="0"/>
        </w:rPr>
        <w:t>合作区地处政和—海丰断裂带，地震动峰值加速度0.10g。政和—海丰断裂带是东南沿海地震带内带孕震构造之一，现今弱震仍比较活跃，该带广东海丰地段，第四纪后仍有一定活动，为5级左右中等地震活动构造带。</w:t>
      </w:r>
    </w:p>
    <w:p>
      <w:pPr>
        <w:pStyle w:val="4"/>
        <w:ind w:firstLine="640"/>
        <w:rPr>
          <w:snapToGrid w:val="0"/>
        </w:rPr>
      </w:pPr>
      <w:bookmarkStart w:id="162" w:name="_Toc80221632"/>
      <w:r>
        <w:rPr>
          <w:snapToGrid w:val="0"/>
        </w:rPr>
        <w:t>三、地质灾害</w:t>
      </w:r>
      <w:bookmarkEnd w:id="162"/>
    </w:p>
    <w:p>
      <w:pPr>
        <w:ind w:firstLine="640"/>
        <w:rPr>
          <w:snapToGrid w:val="0"/>
        </w:rPr>
      </w:pPr>
      <w:r>
        <w:rPr>
          <w:snapToGrid w:val="0"/>
        </w:rPr>
        <w:t>合作区三面环山，一面向海，自然高落差边坡较多，同时合作区迎来大开发大建设，临时边坡和建设类高边坡增加，合作区现有54个地质灾害和危险边坡隐患点。目前，已开展了“1：50000地质灾害详细调查”工作，对11处直接威胁房屋及人员安全的地质灾害隐患点开展了自动化监测预警工作，相关数据已接入省、市监测系统。</w:t>
      </w:r>
    </w:p>
    <w:p>
      <w:pPr>
        <w:pStyle w:val="4"/>
        <w:ind w:firstLine="640"/>
        <w:rPr>
          <w:snapToGrid w:val="0"/>
        </w:rPr>
      </w:pPr>
      <w:bookmarkStart w:id="163" w:name="_Toc80221633"/>
      <w:r>
        <w:rPr>
          <w:snapToGrid w:val="0"/>
        </w:rPr>
        <w:t>四、海洋灾害</w:t>
      </w:r>
      <w:bookmarkEnd w:id="163"/>
    </w:p>
    <w:p>
      <w:pPr>
        <w:ind w:firstLine="640"/>
        <w:rPr>
          <w:snapToGrid w:val="0"/>
        </w:rPr>
      </w:pPr>
      <w:r>
        <w:rPr>
          <w:snapToGrid w:val="0"/>
        </w:rPr>
        <w:t>合作区海洋灾害主要包括风暴潮、海浪、海啸。风暴潮主要由台风（包括热带风暴、强热带风暴、台风、强台风、超强台风）引起。灾害性海浪在海上主要给航海、海上施工、渔业捕捞和海上军事活动等带来灾害，使船舶和海上平台倾覆，到近海和岸边对周边区域带来破坏性影响。海啸灾害的直接致灾因子是海洋长波抵达海岸线附近时形成的沿岸海水暴涨，海水涨落形成的巨大冲击力往往对滨海地区形成毁灭性的打击。</w:t>
      </w:r>
    </w:p>
    <w:p>
      <w:pPr>
        <w:pStyle w:val="4"/>
        <w:ind w:firstLine="640"/>
        <w:rPr>
          <w:snapToGrid w:val="0"/>
        </w:rPr>
      </w:pPr>
      <w:bookmarkStart w:id="164" w:name="_Toc80221634"/>
      <w:r>
        <w:rPr>
          <w:snapToGrid w:val="0"/>
        </w:rPr>
        <w:t>五、森林火灾</w:t>
      </w:r>
      <w:bookmarkEnd w:id="164"/>
    </w:p>
    <w:p>
      <w:pPr>
        <w:ind w:firstLine="640"/>
        <w:rPr>
          <w:snapToGrid w:val="0"/>
        </w:rPr>
      </w:pPr>
      <w:r>
        <w:rPr>
          <w:snapToGrid w:val="0"/>
        </w:rPr>
        <w:t>合作区森林覆盖率为76%，北部山区森林火灾风险偏高。近年来，随着山区人为活动增多，森林火灾时有发生。</w:t>
      </w:r>
    </w:p>
    <w:p>
      <w:pPr>
        <w:pStyle w:val="3"/>
      </w:pPr>
      <w:bookmarkStart w:id="165" w:name="_Toc80221635"/>
      <w:r>
        <w:t>第三节 灾害事故情况</w:t>
      </w:r>
      <w:bookmarkEnd w:id="165"/>
    </w:p>
    <w:p>
      <w:pPr>
        <w:pStyle w:val="4"/>
        <w:ind w:firstLine="640"/>
        <w:rPr>
          <w:snapToGrid w:val="0"/>
        </w:rPr>
      </w:pPr>
      <w:bookmarkStart w:id="166" w:name="_Toc80221636"/>
      <w:r>
        <w:rPr>
          <w:snapToGrid w:val="0"/>
        </w:rPr>
        <w:t>一、自然灾害（2020年）</w:t>
      </w:r>
      <w:bookmarkEnd w:id="166"/>
    </w:p>
    <w:p>
      <w:pPr>
        <w:ind w:firstLine="640"/>
        <w:rPr>
          <w:snapToGrid w:val="0"/>
        </w:rPr>
      </w:pPr>
      <w:r>
        <w:rPr>
          <w:snapToGrid w:val="0"/>
        </w:rPr>
        <w:t>1.森林火灾情况。合作区共发生5起森林火灾，均发生在上半年，总过火面积约6200</w:t>
      </w:r>
      <w:r>
        <w:rPr>
          <w:rFonts w:eastAsia="Segoe UI Symbol"/>
          <w:snapToGrid w:val="0"/>
        </w:rPr>
        <w:t>㎡</w:t>
      </w:r>
      <w:r>
        <w:rPr>
          <w:snapToGrid w:val="0"/>
        </w:rPr>
        <w:t>，未造成人员伤亡，未发生重特大森林火灾。</w:t>
      </w:r>
    </w:p>
    <w:p>
      <w:pPr>
        <w:ind w:firstLine="640"/>
        <w:rPr>
          <w:snapToGrid w:val="0"/>
        </w:rPr>
      </w:pPr>
      <w:r>
        <w:rPr>
          <w:snapToGrid w:val="0"/>
        </w:rPr>
        <w:t>2.台风暴雨情况。全区平均雨量1868毫米，共发布47次暴雨预警信号（红色3次，橙色10次，黄色34次）；6次台风预警信号（白色4次，蓝色2次）；15次雷雨大风预警信号（橙色1次，黄色14次）。</w:t>
      </w:r>
    </w:p>
    <w:p>
      <w:pPr>
        <w:ind w:firstLine="640"/>
        <w:rPr>
          <w:snapToGrid w:val="0"/>
        </w:rPr>
      </w:pPr>
      <w:r>
        <w:rPr>
          <w:snapToGrid w:val="0"/>
        </w:rPr>
        <w:t>3.地质灾害情况。全区共发布4次地质灾害气象黄色预警，1次橙色预警。</w:t>
      </w:r>
    </w:p>
    <w:p>
      <w:pPr>
        <w:ind w:firstLine="640"/>
        <w:rPr>
          <w:snapToGrid w:val="0"/>
        </w:rPr>
      </w:pPr>
      <w:r>
        <w:rPr>
          <w:snapToGrid w:val="0"/>
        </w:rPr>
        <w:t>4.海洋灾害情况。未发生风暴潮、赤潮等海洋灾害。</w:t>
      </w:r>
    </w:p>
    <w:p>
      <w:pPr>
        <w:pStyle w:val="4"/>
        <w:ind w:firstLine="640"/>
        <w:rPr>
          <w:snapToGrid w:val="0"/>
        </w:rPr>
      </w:pPr>
      <w:bookmarkStart w:id="167" w:name="_Toc80221637"/>
      <w:r>
        <w:rPr>
          <w:snapToGrid w:val="0"/>
        </w:rPr>
        <w:t>二、安全事故（2020年）</w:t>
      </w:r>
      <w:bookmarkEnd w:id="167"/>
    </w:p>
    <w:p>
      <w:pPr>
        <w:ind w:firstLine="640"/>
        <w:rPr>
          <w:snapToGrid w:val="0"/>
        </w:rPr>
      </w:pPr>
      <w:r>
        <w:rPr>
          <w:snapToGrid w:val="0"/>
        </w:rPr>
        <w:t>2020年，合作区共发生道路交通、工矿商贸（含商贸制造、建筑施工、农业机械、渔业船舶等行业领域）和火灾等各类安全事故52起，死亡12人，受伤45人，直接经济损失65.7万元。</w:t>
      </w:r>
    </w:p>
    <w:p>
      <w:pPr>
        <w:ind w:firstLine="640"/>
        <w:rPr>
          <w:shd w:val="clear" w:color="auto" w:fill="FFFFFF"/>
        </w:rPr>
      </w:pPr>
      <w:r>
        <w:rPr>
          <w:snapToGrid w:val="0"/>
        </w:rPr>
        <w:t>其中生产安全事故14起，死亡10人，受伤14人。包括：交通运输业发生事故9起，死亡4人；建筑业发生事故4起，死亡5人；其他行业发生事故1起，死亡1人。</w:t>
      </w:r>
    </w:p>
    <w:sectPr>
      <w:headerReference r:id="rId12" w:type="default"/>
      <w:pgSz w:w="11907" w:h="16840"/>
      <w:pgMar w:top="1440" w:right="1800" w:bottom="1440" w:left="1800" w:header="851" w:footer="992" w:gutter="0"/>
      <w:cols w:space="425" w:num="1"/>
      <w:docGrid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Marlett">
    <w:panose1 w:val="00000000000000000000"/>
    <w:charset w:val="02"/>
    <w:family w:val="auto"/>
    <w:pitch w:val="default"/>
    <w:sig w:usb0="00000000" w:usb1="00000000" w:usb2="00000000" w:usb3="00000000" w:csb0="80000000" w:csb1="00000000"/>
  </w:font>
  <w:font w:name="方正小标宋简体">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line="240" w:lineRule="auto"/>
      <w:ind w:firstLine="0" w:firstLineChars="0"/>
      <w:jc w:val="right"/>
      <w:rPr>
        <w:sz w:val="24"/>
        <w:szCs w:val="24"/>
      </w:rPr>
    </w:pPr>
    <w:r>
      <w:rPr>
        <w:rFonts w:hint="eastAsia"/>
        <w:sz w:val="24"/>
        <w:szCs w:val="24"/>
      </w:rPr>
      <w:t>—</w:t>
    </w:r>
    <w:sdt>
      <w:sdtPr>
        <w:rPr>
          <w:sz w:val="24"/>
          <w:szCs w:val="24"/>
        </w:rPr>
        <w:id w:val="-1384483708"/>
        <w:docPartObj>
          <w:docPartGallery w:val="AutoText"/>
        </w:docPartObj>
      </w:sdtPr>
      <w:sdtEndPr>
        <w:rPr>
          <w:sz w:val="24"/>
          <w:szCs w:val="24"/>
        </w:rPr>
      </w:sdtEndPr>
      <w:sdtContent>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16</w:t>
        </w:r>
        <w:r>
          <w:rPr>
            <w:sz w:val="24"/>
            <w:szCs w:val="24"/>
          </w:rPr>
          <w:fldChar w:fldCharType="end"/>
        </w:r>
      </w:sdtContent>
    </w:sdt>
    <w:r>
      <w:rPr>
        <w:rFonts w:hint="eastAsia"/>
        <w:sz w:val="24"/>
        <w:szCs w:val="24"/>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4">
    <w:p>
      <w:pPr>
        <w:spacing w:line="240" w:lineRule="auto"/>
        <w:ind w:firstLine="640"/>
      </w:pPr>
      <w:r>
        <w:separator/>
      </w:r>
    </w:p>
  </w:footnote>
  <w:footnote w:type="continuationSeparator" w:id="25">
    <w:p>
      <w:pPr>
        <w:spacing w:line="240" w:lineRule="auto"/>
        <w:ind w:firstLine="640"/>
      </w:pPr>
      <w:r>
        <w:continuationSeparator/>
      </w:r>
    </w:p>
  </w:footnote>
  <w:footnote w:id="0">
    <w:p>
      <w:pPr>
        <w:pStyle w:val="21"/>
        <w:ind w:firstLine="360"/>
      </w:pPr>
      <w:r>
        <w:rPr>
          <w:rStyle w:val="48"/>
        </w:rPr>
        <w:footnoteRef/>
      </w:r>
      <w:r>
        <w:t xml:space="preserve"> </w:t>
      </w:r>
      <w:r>
        <w:rPr>
          <w:rFonts w:hint="eastAsia"/>
        </w:rPr>
        <w:t>管行业必须管安全、管业务必须管安全、管生产经营必须管安全。</w:t>
      </w:r>
    </w:p>
  </w:footnote>
  <w:footnote w:id="1">
    <w:p>
      <w:pPr>
        <w:pStyle w:val="21"/>
        <w:ind w:firstLine="360"/>
      </w:pPr>
      <w:r>
        <w:rPr>
          <w:rStyle w:val="48"/>
        </w:rPr>
        <w:footnoteRef/>
      </w:r>
      <w:r>
        <w:t xml:space="preserve"> </w:t>
      </w:r>
      <w:r>
        <w:rPr>
          <w:rFonts w:hint="eastAsia"/>
        </w:rPr>
        <w:t>不发通知、不打招呼、不听汇报、不用陪同接待、直奔基层、直插现场。</w:t>
      </w:r>
    </w:p>
  </w:footnote>
  <w:footnote w:id="2">
    <w:p>
      <w:pPr>
        <w:pStyle w:val="21"/>
        <w:ind w:firstLine="360"/>
      </w:pPr>
      <w:r>
        <w:rPr>
          <w:rStyle w:val="48"/>
        </w:rPr>
        <w:footnoteRef/>
      </w:r>
      <w:r>
        <w:t xml:space="preserve"> </w:t>
      </w:r>
      <w:r>
        <w:rPr>
          <w:rFonts w:hint="eastAsia"/>
        </w:rPr>
        <w:t>合作区党工委、管委会领导共同担任应急委员会主任。</w:t>
      </w:r>
    </w:p>
  </w:footnote>
  <w:footnote w:id="3">
    <w:p>
      <w:pPr>
        <w:pStyle w:val="21"/>
        <w:ind w:firstLine="360"/>
      </w:pPr>
      <w:r>
        <w:rPr>
          <w:rStyle w:val="48"/>
        </w:rPr>
        <w:footnoteRef/>
      </w:r>
      <w:r>
        <w:t xml:space="preserve"> </w:t>
      </w:r>
      <w:r>
        <w:rPr>
          <w:rFonts w:hint="eastAsia"/>
        </w:rPr>
        <w:t>在事故调查中既要严肃追究事发企业的责任，又要依法倒查追究相关监管部门和地方政府的责任</w:t>
      </w:r>
    </w:p>
  </w:footnote>
  <w:footnote w:id="4">
    <w:p>
      <w:pPr>
        <w:pStyle w:val="21"/>
        <w:ind w:firstLine="360"/>
      </w:pPr>
      <w:r>
        <w:rPr>
          <w:rStyle w:val="48"/>
        </w:rPr>
        <w:footnoteRef/>
      </w:r>
      <w:r>
        <w:t xml:space="preserve"> </w:t>
      </w:r>
      <w:r>
        <w:rPr>
          <w:rFonts w:hint="eastAsia"/>
        </w:rPr>
        <w:t>合作区1个区级、4个镇级、6个村级党群服务中心。</w:t>
      </w:r>
    </w:p>
  </w:footnote>
  <w:footnote w:id="5">
    <w:p>
      <w:pPr>
        <w:pStyle w:val="21"/>
        <w:ind w:firstLine="360"/>
      </w:pPr>
      <w:r>
        <w:rPr>
          <w:rStyle w:val="48"/>
        </w:rPr>
        <w:footnoteRef/>
      </w:r>
      <w:r>
        <w:t xml:space="preserve"> </w:t>
      </w:r>
      <w:r>
        <w:rPr>
          <w:rFonts w:hint="eastAsia"/>
        </w:rPr>
        <w:t>在监管过程中随机抽取检查对象，随机选派执法检查人员，抽查情况及查处结果及时向社会公开。</w:t>
      </w:r>
    </w:p>
  </w:footnote>
  <w:footnote w:id="6">
    <w:p>
      <w:pPr>
        <w:pStyle w:val="21"/>
        <w:ind w:firstLine="360"/>
      </w:pPr>
      <w:r>
        <w:rPr>
          <w:rStyle w:val="48"/>
        </w:rPr>
        <w:footnoteRef/>
      </w:r>
      <w:r>
        <w:t xml:space="preserve"> </w:t>
      </w:r>
      <w:r>
        <w:rPr>
          <w:rFonts w:hint="eastAsia"/>
        </w:rPr>
        <w:t>是指住宿与生产、仓储、经营一种或一种以上使用功能违章混合设置在同一空间内的建筑。</w:t>
      </w:r>
    </w:p>
  </w:footnote>
  <w:footnote w:id="7">
    <w:p>
      <w:pPr>
        <w:pStyle w:val="21"/>
        <w:ind w:firstLine="360"/>
      </w:pPr>
      <w:r>
        <w:rPr>
          <w:rStyle w:val="48"/>
        </w:rPr>
        <w:footnoteRef/>
      </w:r>
      <w:r>
        <w:t xml:space="preserve"> </w:t>
      </w:r>
      <w:r>
        <w:rPr>
          <w:rFonts w:hint="eastAsia"/>
        </w:rPr>
        <w:t>一个指挥中心、一个前方指挥部、一套工作机制、一个窗口发布。</w:t>
      </w:r>
    </w:p>
  </w:footnote>
  <w:footnote w:id="8">
    <w:p>
      <w:pPr>
        <w:pStyle w:val="21"/>
        <w:ind w:firstLine="360"/>
      </w:pPr>
      <w:r>
        <w:rPr>
          <w:rStyle w:val="48"/>
        </w:rPr>
        <w:footnoteRef/>
      </w:r>
      <w:r>
        <w:t xml:space="preserve"> </w:t>
      </w:r>
      <w:r>
        <w:rPr>
          <w:rFonts w:hint="eastAsia"/>
        </w:rPr>
        <w:t>一日一研判、一日一报告、一日一调度、一日一抽查、一事一处理。</w:t>
      </w:r>
    </w:p>
  </w:footnote>
  <w:footnote w:id="9">
    <w:p>
      <w:pPr>
        <w:pStyle w:val="21"/>
        <w:ind w:firstLine="360"/>
      </w:pPr>
      <w:r>
        <w:rPr>
          <w:rStyle w:val="48"/>
        </w:rPr>
        <w:footnoteRef/>
      </w:r>
      <w:r>
        <w:t xml:space="preserve"> </w:t>
      </w:r>
      <w:r>
        <w:rPr>
          <w:rFonts w:hint="eastAsia"/>
        </w:rPr>
        <w:t>“每户一对接”转移责任、“每村（居）一台账”转移清单、“每镇（街）一张网”转移体系、“每灾一行动”转移启动机制。</w:t>
      </w:r>
    </w:p>
  </w:footnote>
  <w:footnote w:id="10">
    <w:p>
      <w:pPr>
        <w:pStyle w:val="21"/>
        <w:ind w:firstLine="360"/>
      </w:pPr>
      <w:r>
        <w:rPr>
          <w:rStyle w:val="48"/>
        </w:rPr>
        <w:footnoteRef/>
      </w:r>
      <w:r>
        <w:t xml:space="preserve"> </w:t>
      </w:r>
      <w:r>
        <w:rPr>
          <w:rFonts w:hint="eastAsia"/>
        </w:rPr>
        <w:t>有组织体系、有大喇叭、有警报器、有避难场所、有风险地图、有明白卡、有应急值守、有应急照明、有小册子、有宣传栏。</w:t>
      </w:r>
    </w:p>
  </w:footnote>
  <w:footnote w:id="11">
    <w:p>
      <w:pPr>
        <w:pStyle w:val="21"/>
        <w:ind w:firstLine="360"/>
      </w:pPr>
      <w:r>
        <w:rPr>
          <w:rStyle w:val="48"/>
        </w:rPr>
        <w:footnoteRef/>
      </w:r>
      <w:r>
        <w:t xml:space="preserve"> </w:t>
      </w:r>
      <w:r>
        <w:rPr>
          <w:rFonts w:hint="eastAsia"/>
        </w:rPr>
        <w:t>双重预防体系包括包括风险分级管控体系和隐患排查治理体系</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spacing w:line="240" w:lineRule="auto"/>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570F2A"/>
    <w:multiLevelType w:val="multilevel"/>
    <w:tmpl w:val="09570F2A"/>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5155605F"/>
    <w:multiLevelType w:val="multilevel"/>
    <w:tmpl w:val="5155605F"/>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hideSpellingErrors/>
  <w:documentProtection w:enforcement="0"/>
  <w:defaultTabStop w:val="420"/>
  <w:drawingGridHorizontalSpacing w:val="160"/>
  <w:drawingGridVerticalSpacing w:val="435"/>
  <w:displayHorizontalDrawingGridEvery w:val="2"/>
  <w:noPunctuationKerning w:val="1"/>
  <w:characterSpacingControl w:val="compressPunctuation"/>
  <w:noLineBreaksAfter w:lang="zh-CN" w:val="$([{£¥·‘“〈《「『【〔〖〝﹙﹛﹝＄（．［｛￡￥"/>
  <w:noLineBreaksBefore w:lang="zh-CN" w:val="!%),.:;&gt;?]}¢¨°·ˇˉ―‖’”…‰′″›℃∶、。〃〉》」』】〕〗〞︶︺︾﹀﹄﹚﹜﹞！＂％＇），．：；？］｀｜｝～￠"/>
  <w:doNotValidateAgainstSchema/>
  <w:doNotDemarcateInvalidXml/>
  <w:footnotePr>
    <w:footnote w:id="24"/>
    <w:footnote w:id="25"/>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BjNWIzZWNjNjgzMGRhMGNkOTk5YjA3ZWQxODlkMDYifQ=="/>
  </w:docVars>
  <w:rsids>
    <w:rsidRoot w:val="00732401"/>
    <w:rsid w:val="000001DB"/>
    <w:rsid w:val="00002A09"/>
    <w:rsid w:val="00004657"/>
    <w:rsid w:val="0000517B"/>
    <w:rsid w:val="00005A42"/>
    <w:rsid w:val="0000694A"/>
    <w:rsid w:val="00011A8A"/>
    <w:rsid w:val="0001233C"/>
    <w:rsid w:val="00012D8D"/>
    <w:rsid w:val="0001331F"/>
    <w:rsid w:val="0001520A"/>
    <w:rsid w:val="00015505"/>
    <w:rsid w:val="00015B6B"/>
    <w:rsid w:val="00016C27"/>
    <w:rsid w:val="00017000"/>
    <w:rsid w:val="00020828"/>
    <w:rsid w:val="000213B6"/>
    <w:rsid w:val="0002165B"/>
    <w:rsid w:val="00021860"/>
    <w:rsid w:val="0002297B"/>
    <w:rsid w:val="00025201"/>
    <w:rsid w:val="00025A45"/>
    <w:rsid w:val="00027BF4"/>
    <w:rsid w:val="0003036A"/>
    <w:rsid w:val="000350F2"/>
    <w:rsid w:val="00035FDA"/>
    <w:rsid w:val="00040DF1"/>
    <w:rsid w:val="0004135E"/>
    <w:rsid w:val="00044628"/>
    <w:rsid w:val="00044CDC"/>
    <w:rsid w:val="00046E34"/>
    <w:rsid w:val="00047256"/>
    <w:rsid w:val="00050E80"/>
    <w:rsid w:val="000521A9"/>
    <w:rsid w:val="00052555"/>
    <w:rsid w:val="0005476B"/>
    <w:rsid w:val="00054D0D"/>
    <w:rsid w:val="00054D1C"/>
    <w:rsid w:val="000558EE"/>
    <w:rsid w:val="00057825"/>
    <w:rsid w:val="00060D63"/>
    <w:rsid w:val="000617A6"/>
    <w:rsid w:val="00061D5A"/>
    <w:rsid w:val="00061EED"/>
    <w:rsid w:val="0006215B"/>
    <w:rsid w:val="00063A7B"/>
    <w:rsid w:val="00063D17"/>
    <w:rsid w:val="00063FA2"/>
    <w:rsid w:val="00064944"/>
    <w:rsid w:val="00065CE0"/>
    <w:rsid w:val="000672FA"/>
    <w:rsid w:val="000704A4"/>
    <w:rsid w:val="00070ED2"/>
    <w:rsid w:val="000713DE"/>
    <w:rsid w:val="00077829"/>
    <w:rsid w:val="00080F6D"/>
    <w:rsid w:val="00081543"/>
    <w:rsid w:val="00082D4E"/>
    <w:rsid w:val="00082EBB"/>
    <w:rsid w:val="000839C5"/>
    <w:rsid w:val="00084815"/>
    <w:rsid w:val="00084933"/>
    <w:rsid w:val="000875E1"/>
    <w:rsid w:val="000908F4"/>
    <w:rsid w:val="0009239E"/>
    <w:rsid w:val="0009364C"/>
    <w:rsid w:val="000975B4"/>
    <w:rsid w:val="000A00B0"/>
    <w:rsid w:val="000A1D16"/>
    <w:rsid w:val="000A4CB5"/>
    <w:rsid w:val="000A7684"/>
    <w:rsid w:val="000B0017"/>
    <w:rsid w:val="000B012C"/>
    <w:rsid w:val="000B2253"/>
    <w:rsid w:val="000B24A3"/>
    <w:rsid w:val="000B34ED"/>
    <w:rsid w:val="000B4386"/>
    <w:rsid w:val="000B4463"/>
    <w:rsid w:val="000B7687"/>
    <w:rsid w:val="000C0568"/>
    <w:rsid w:val="000C18A7"/>
    <w:rsid w:val="000C2467"/>
    <w:rsid w:val="000C3093"/>
    <w:rsid w:val="000C3102"/>
    <w:rsid w:val="000C6264"/>
    <w:rsid w:val="000C6DE4"/>
    <w:rsid w:val="000D0B59"/>
    <w:rsid w:val="000D0DFF"/>
    <w:rsid w:val="000D3B6F"/>
    <w:rsid w:val="000D3DFC"/>
    <w:rsid w:val="000D41E6"/>
    <w:rsid w:val="000D49D7"/>
    <w:rsid w:val="000D5C42"/>
    <w:rsid w:val="000D762A"/>
    <w:rsid w:val="000D78A3"/>
    <w:rsid w:val="000E2554"/>
    <w:rsid w:val="000E32E5"/>
    <w:rsid w:val="000E58D1"/>
    <w:rsid w:val="000E71B6"/>
    <w:rsid w:val="000E79A2"/>
    <w:rsid w:val="000E7AFD"/>
    <w:rsid w:val="000F0716"/>
    <w:rsid w:val="000F1F6A"/>
    <w:rsid w:val="000F23AD"/>
    <w:rsid w:val="000F23E9"/>
    <w:rsid w:val="000F2803"/>
    <w:rsid w:val="000F30BF"/>
    <w:rsid w:val="000F347F"/>
    <w:rsid w:val="000F3BFB"/>
    <w:rsid w:val="000F3CF4"/>
    <w:rsid w:val="000F4E18"/>
    <w:rsid w:val="000F4E2D"/>
    <w:rsid w:val="000F6426"/>
    <w:rsid w:val="000F6D09"/>
    <w:rsid w:val="000F71E0"/>
    <w:rsid w:val="000F78D5"/>
    <w:rsid w:val="00100902"/>
    <w:rsid w:val="001023D0"/>
    <w:rsid w:val="001052BD"/>
    <w:rsid w:val="00107188"/>
    <w:rsid w:val="001074A3"/>
    <w:rsid w:val="00110E51"/>
    <w:rsid w:val="00112255"/>
    <w:rsid w:val="00113055"/>
    <w:rsid w:val="00113131"/>
    <w:rsid w:val="0011343E"/>
    <w:rsid w:val="00113B7C"/>
    <w:rsid w:val="001151A3"/>
    <w:rsid w:val="001167F9"/>
    <w:rsid w:val="0012318C"/>
    <w:rsid w:val="001234BF"/>
    <w:rsid w:val="0012486F"/>
    <w:rsid w:val="00130388"/>
    <w:rsid w:val="0013042C"/>
    <w:rsid w:val="00130468"/>
    <w:rsid w:val="00130FCF"/>
    <w:rsid w:val="0013279D"/>
    <w:rsid w:val="0013560D"/>
    <w:rsid w:val="00137CD0"/>
    <w:rsid w:val="00140A5B"/>
    <w:rsid w:val="00140BFD"/>
    <w:rsid w:val="00141187"/>
    <w:rsid w:val="0014192A"/>
    <w:rsid w:val="00141CF8"/>
    <w:rsid w:val="00143CC4"/>
    <w:rsid w:val="00143CFB"/>
    <w:rsid w:val="00144FF2"/>
    <w:rsid w:val="00146FC1"/>
    <w:rsid w:val="00150919"/>
    <w:rsid w:val="00150D90"/>
    <w:rsid w:val="001525D6"/>
    <w:rsid w:val="00152E9E"/>
    <w:rsid w:val="00154B76"/>
    <w:rsid w:val="00154DE0"/>
    <w:rsid w:val="0015561C"/>
    <w:rsid w:val="00155687"/>
    <w:rsid w:val="001559B7"/>
    <w:rsid w:val="00156070"/>
    <w:rsid w:val="001568CD"/>
    <w:rsid w:val="0015725D"/>
    <w:rsid w:val="001614E7"/>
    <w:rsid w:val="00161B69"/>
    <w:rsid w:val="00161EC6"/>
    <w:rsid w:val="0016228F"/>
    <w:rsid w:val="00164083"/>
    <w:rsid w:val="0016474B"/>
    <w:rsid w:val="00165049"/>
    <w:rsid w:val="00175C73"/>
    <w:rsid w:val="0017662D"/>
    <w:rsid w:val="001775AB"/>
    <w:rsid w:val="00181DAA"/>
    <w:rsid w:val="00182806"/>
    <w:rsid w:val="00182AF4"/>
    <w:rsid w:val="00184146"/>
    <w:rsid w:val="001846B9"/>
    <w:rsid w:val="001859E8"/>
    <w:rsid w:val="001861E6"/>
    <w:rsid w:val="001902C4"/>
    <w:rsid w:val="00191B63"/>
    <w:rsid w:val="001924DF"/>
    <w:rsid w:val="00194184"/>
    <w:rsid w:val="00194296"/>
    <w:rsid w:val="001A33DE"/>
    <w:rsid w:val="001A425E"/>
    <w:rsid w:val="001A608E"/>
    <w:rsid w:val="001A63D7"/>
    <w:rsid w:val="001A6AC6"/>
    <w:rsid w:val="001A731B"/>
    <w:rsid w:val="001A772D"/>
    <w:rsid w:val="001B3141"/>
    <w:rsid w:val="001B455C"/>
    <w:rsid w:val="001B752C"/>
    <w:rsid w:val="001C1B22"/>
    <w:rsid w:val="001C2C9A"/>
    <w:rsid w:val="001C3337"/>
    <w:rsid w:val="001C3C35"/>
    <w:rsid w:val="001C3FB9"/>
    <w:rsid w:val="001C65C9"/>
    <w:rsid w:val="001C7DD3"/>
    <w:rsid w:val="001D13A0"/>
    <w:rsid w:val="001D1B8B"/>
    <w:rsid w:val="001D2116"/>
    <w:rsid w:val="001D2666"/>
    <w:rsid w:val="001D32E1"/>
    <w:rsid w:val="001D4CD0"/>
    <w:rsid w:val="001D4D94"/>
    <w:rsid w:val="001D66BE"/>
    <w:rsid w:val="001E028D"/>
    <w:rsid w:val="001E0303"/>
    <w:rsid w:val="001E3449"/>
    <w:rsid w:val="001E364D"/>
    <w:rsid w:val="001E7255"/>
    <w:rsid w:val="001F021F"/>
    <w:rsid w:val="001F1CF6"/>
    <w:rsid w:val="001F23A5"/>
    <w:rsid w:val="001F2AAE"/>
    <w:rsid w:val="001F5D6B"/>
    <w:rsid w:val="001F5E73"/>
    <w:rsid w:val="001F72F3"/>
    <w:rsid w:val="001F7A20"/>
    <w:rsid w:val="001F7AA2"/>
    <w:rsid w:val="002043B9"/>
    <w:rsid w:val="00205905"/>
    <w:rsid w:val="00206C06"/>
    <w:rsid w:val="002109BA"/>
    <w:rsid w:val="00212655"/>
    <w:rsid w:val="00212738"/>
    <w:rsid w:val="0021288C"/>
    <w:rsid w:val="002128AE"/>
    <w:rsid w:val="00214436"/>
    <w:rsid w:val="002145CF"/>
    <w:rsid w:val="002154A0"/>
    <w:rsid w:val="00215CB3"/>
    <w:rsid w:val="002162A3"/>
    <w:rsid w:val="002202F0"/>
    <w:rsid w:val="00220303"/>
    <w:rsid w:val="00221C86"/>
    <w:rsid w:val="00223BB1"/>
    <w:rsid w:val="00226EA6"/>
    <w:rsid w:val="002270B4"/>
    <w:rsid w:val="00227894"/>
    <w:rsid w:val="00230837"/>
    <w:rsid w:val="00231515"/>
    <w:rsid w:val="00234FED"/>
    <w:rsid w:val="002362EE"/>
    <w:rsid w:val="00236D7C"/>
    <w:rsid w:val="00241803"/>
    <w:rsid w:val="00242CF6"/>
    <w:rsid w:val="0024433A"/>
    <w:rsid w:val="002446C7"/>
    <w:rsid w:val="00244859"/>
    <w:rsid w:val="0024488B"/>
    <w:rsid w:val="002457B7"/>
    <w:rsid w:val="0024682A"/>
    <w:rsid w:val="00247EDB"/>
    <w:rsid w:val="0025110F"/>
    <w:rsid w:val="002523CB"/>
    <w:rsid w:val="00253086"/>
    <w:rsid w:val="002548F4"/>
    <w:rsid w:val="0026136D"/>
    <w:rsid w:val="002613E3"/>
    <w:rsid w:val="002616DE"/>
    <w:rsid w:val="00261BAA"/>
    <w:rsid w:val="00261FB7"/>
    <w:rsid w:val="00263971"/>
    <w:rsid w:val="00266301"/>
    <w:rsid w:val="0027003B"/>
    <w:rsid w:val="00270B40"/>
    <w:rsid w:val="0027290C"/>
    <w:rsid w:val="00273CE4"/>
    <w:rsid w:val="00273E39"/>
    <w:rsid w:val="00273F47"/>
    <w:rsid w:val="0027631D"/>
    <w:rsid w:val="00281899"/>
    <w:rsid w:val="00282637"/>
    <w:rsid w:val="00283152"/>
    <w:rsid w:val="00284630"/>
    <w:rsid w:val="002851A4"/>
    <w:rsid w:val="00285D8E"/>
    <w:rsid w:val="002878E4"/>
    <w:rsid w:val="00290D3F"/>
    <w:rsid w:val="00292D9E"/>
    <w:rsid w:val="002943E8"/>
    <w:rsid w:val="00294D53"/>
    <w:rsid w:val="002954CA"/>
    <w:rsid w:val="00297CDD"/>
    <w:rsid w:val="002A2334"/>
    <w:rsid w:val="002A447F"/>
    <w:rsid w:val="002A538E"/>
    <w:rsid w:val="002A64ED"/>
    <w:rsid w:val="002A717C"/>
    <w:rsid w:val="002B0D49"/>
    <w:rsid w:val="002B15D8"/>
    <w:rsid w:val="002B1AB9"/>
    <w:rsid w:val="002B28C1"/>
    <w:rsid w:val="002B3F22"/>
    <w:rsid w:val="002B6BC3"/>
    <w:rsid w:val="002B72D5"/>
    <w:rsid w:val="002B73D4"/>
    <w:rsid w:val="002B7479"/>
    <w:rsid w:val="002C4BDF"/>
    <w:rsid w:val="002C7C5E"/>
    <w:rsid w:val="002D064C"/>
    <w:rsid w:val="002D1B00"/>
    <w:rsid w:val="002D1FE3"/>
    <w:rsid w:val="002D23E8"/>
    <w:rsid w:val="002D2F45"/>
    <w:rsid w:val="002D46D6"/>
    <w:rsid w:val="002D6FCF"/>
    <w:rsid w:val="002D77BD"/>
    <w:rsid w:val="002D7EFF"/>
    <w:rsid w:val="002E0D4A"/>
    <w:rsid w:val="002E188A"/>
    <w:rsid w:val="002E1F9A"/>
    <w:rsid w:val="002E41E7"/>
    <w:rsid w:val="002E553E"/>
    <w:rsid w:val="002E5C32"/>
    <w:rsid w:val="002F00D2"/>
    <w:rsid w:val="002F0578"/>
    <w:rsid w:val="002F1CC1"/>
    <w:rsid w:val="002F213D"/>
    <w:rsid w:val="002F4CFC"/>
    <w:rsid w:val="002F5AD1"/>
    <w:rsid w:val="002F6C95"/>
    <w:rsid w:val="00301339"/>
    <w:rsid w:val="0030250E"/>
    <w:rsid w:val="0030447F"/>
    <w:rsid w:val="003047FD"/>
    <w:rsid w:val="00305C71"/>
    <w:rsid w:val="003061F7"/>
    <w:rsid w:val="003101CB"/>
    <w:rsid w:val="0031262B"/>
    <w:rsid w:val="0031308B"/>
    <w:rsid w:val="0031491E"/>
    <w:rsid w:val="00314B72"/>
    <w:rsid w:val="003161C4"/>
    <w:rsid w:val="00316365"/>
    <w:rsid w:val="00317387"/>
    <w:rsid w:val="00320EFC"/>
    <w:rsid w:val="003254DB"/>
    <w:rsid w:val="00326B0F"/>
    <w:rsid w:val="00327FED"/>
    <w:rsid w:val="003311F5"/>
    <w:rsid w:val="0033126E"/>
    <w:rsid w:val="00331456"/>
    <w:rsid w:val="00331F81"/>
    <w:rsid w:val="00332144"/>
    <w:rsid w:val="00335543"/>
    <w:rsid w:val="003358C5"/>
    <w:rsid w:val="00340449"/>
    <w:rsid w:val="003416DF"/>
    <w:rsid w:val="00341B52"/>
    <w:rsid w:val="0034218D"/>
    <w:rsid w:val="00343B26"/>
    <w:rsid w:val="00343B29"/>
    <w:rsid w:val="00345146"/>
    <w:rsid w:val="003451ED"/>
    <w:rsid w:val="00345FA0"/>
    <w:rsid w:val="00350977"/>
    <w:rsid w:val="003520C8"/>
    <w:rsid w:val="00353690"/>
    <w:rsid w:val="003536DF"/>
    <w:rsid w:val="00354E80"/>
    <w:rsid w:val="00356283"/>
    <w:rsid w:val="00356C8F"/>
    <w:rsid w:val="00356D24"/>
    <w:rsid w:val="003573EC"/>
    <w:rsid w:val="00361119"/>
    <w:rsid w:val="003625B7"/>
    <w:rsid w:val="00363E0B"/>
    <w:rsid w:val="003647DF"/>
    <w:rsid w:val="003654D8"/>
    <w:rsid w:val="00365DEC"/>
    <w:rsid w:val="003666D2"/>
    <w:rsid w:val="00366EF0"/>
    <w:rsid w:val="003670CA"/>
    <w:rsid w:val="00367146"/>
    <w:rsid w:val="00367962"/>
    <w:rsid w:val="003719FB"/>
    <w:rsid w:val="003730BB"/>
    <w:rsid w:val="00373180"/>
    <w:rsid w:val="00374263"/>
    <w:rsid w:val="003746AC"/>
    <w:rsid w:val="00380D23"/>
    <w:rsid w:val="0038266C"/>
    <w:rsid w:val="00383506"/>
    <w:rsid w:val="00383F27"/>
    <w:rsid w:val="00385350"/>
    <w:rsid w:val="00385CF3"/>
    <w:rsid w:val="003863EB"/>
    <w:rsid w:val="003913D0"/>
    <w:rsid w:val="003922F0"/>
    <w:rsid w:val="00393433"/>
    <w:rsid w:val="00393513"/>
    <w:rsid w:val="0039497D"/>
    <w:rsid w:val="00395B3D"/>
    <w:rsid w:val="003963BE"/>
    <w:rsid w:val="003972E2"/>
    <w:rsid w:val="003974D4"/>
    <w:rsid w:val="003A00F3"/>
    <w:rsid w:val="003A0276"/>
    <w:rsid w:val="003A0B39"/>
    <w:rsid w:val="003A1419"/>
    <w:rsid w:val="003A162B"/>
    <w:rsid w:val="003B0217"/>
    <w:rsid w:val="003B0CC8"/>
    <w:rsid w:val="003B13E5"/>
    <w:rsid w:val="003B2270"/>
    <w:rsid w:val="003B28D7"/>
    <w:rsid w:val="003B31CE"/>
    <w:rsid w:val="003B5B34"/>
    <w:rsid w:val="003B6208"/>
    <w:rsid w:val="003B7D98"/>
    <w:rsid w:val="003C1321"/>
    <w:rsid w:val="003C178A"/>
    <w:rsid w:val="003C4ED3"/>
    <w:rsid w:val="003C5440"/>
    <w:rsid w:val="003C6B9A"/>
    <w:rsid w:val="003D0615"/>
    <w:rsid w:val="003D0D48"/>
    <w:rsid w:val="003D1048"/>
    <w:rsid w:val="003D23F7"/>
    <w:rsid w:val="003D2D47"/>
    <w:rsid w:val="003D322F"/>
    <w:rsid w:val="003D50EB"/>
    <w:rsid w:val="003D5A56"/>
    <w:rsid w:val="003D64B8"/>
    <w:rsid w:val="003E1311"/>
    <w:rsid w:val="003E24C8"/>
    <w:rsid w:val="003E3B8C"/>
    <w:rsid w:val="003E4B91"/>
    <w:rsid w:val="003F11FD"/>
    <w:rsid w:val="003F122C"/>
    <w:rsid w:val="003F3AEA"/>
    <w:rsid w:val="003F4C37"/>
    <w:rsid w:val="00400A48"/>
    <w:rsid w:val="0040198E"/>
    <w:rsid w:val="00401BC6"/>
    <w:rsid w:val="0040438B"/>
    <w:rsid w:val="0040451A"/>
    <w:rsid w:val="004046DB"/>
    <w:rsid w:val="00406D00"/>
    <w:rsid w:val="004109F4"/>
    <w:rsid w:val="004154D7"/>
    <w:rsid w:val="004165CF"/>
    <w:rsid w:val="004202E4"/>
    <w:rsid w:val="00421BEB"/>
    <w:rsid w:val="004232E6"/>
    <w:rsid w:val="00423DC6"/>
    <w:rsid w:val="004240A4"/>
    <w:rsid w:val="0042561C"/>
    <w:rsid w:val="004260EC"/>
    <w:rsid w:val="00430945"/>
    <w:rsid w:val="00432619"/>
    <w:rsid w:val="004328CB"/>
    <w:rsid w:val="00433ED0"/>
    <w:rsid w:val="0043401D"/>
    <w:rsid w:val="0043590B"/>
    <w:rsid w:val="00436EE6"/>
    <w:rsid w:val="00437701"/>
    <w:rsid w:val="00437E57"/>
    <w:rsid w:val="00440033"/>
    <w:rsid w:val="00441537"/>
    <w:rsid w:val="0044481E"/>
    <w:rsid w:val="00446A13"/>
    <w:rsid w:val="004514A0"/>
    <w:rsid w:val="00451905"/>
    <w:rsid w:val="0045308D"/>
    <w:rsid w:val="004546B3"/>
    <w:rsid w:val="00455BA6"/>
    <w:rsid w:val="004571CA"/>
    <w:rsid w:val="00462DC7"/>
    <w:rsid w:val="00464A76"/>
    <w:rsid w:val="00464DF8"/>
    <w:rsid w:val="0046509D"/>
    <w:rsid w:val="00466A78"/>
    <w:rsid w:val="00466F96"/>
    <w:rsid w:val="0047129D"/>
    <w:rsid w:val="00472DC8"/>
    <w:rsid w:val="00473E68"/>
    <w:rsid w:val="00473FAE"/>
    <w:rsid w:val="0047402E"/>
    <w:rsid w:val="0047436A"/>
    <w:rsid w:val="004748D9"/>
    <w:rsid w:val="00475CC9"/>
    <w:rsid w:val="00477C91"/>
    <w:rsid w:val="00481806"/>
    <w:rsid w:val="00482063"/>
    <w:rsid w:val="00482ED2"/>
    <w:rsid w:val="004830F2"/>
    <w:rsid w:val="004831DE"/>
    <w:rsid w:val="00483FAC"/>
    <w:rsid w:val="00484122"/>
    <w:rsid w:val="0048457F"/>
    <w:rsid w:val="00484E38"/>
    <w:rsid w:val="00484F58"/>
    <w:rsid w:val="00486C5E"/>
    <w:rsid w:val="00487CEF"/>
    <w:rsid w:val="004900E0"/>
    <w:rsid w:val="00492044"/>
    <w:rsid w:val="0049316A"/>
    <w:rsid w:val="00497904"/>
    <w:rsid w:val="004979F0"/>
    <w:rsid w:val="004A02F7"/>
    <w:rsid w:val="004A20E3"/>
    <w:rsid w:val="004A23DB"/>
    <w:rsid w:val="004A3640"/>
    <w:rsid w:val="004A4A00"/>
    <w:rsid w:val="004A6524"/>
    <w:rsid w:val="004B0219"/>
    <w:rsid w:val="004B0262"/>
    <w:rsid w:val="004B74A6"/>
    <w:rsid w:val="004B7C7C"/>
    <w:rsid w:val="004C0B8C"/>
    <w:rsid w:val="004C18B8"/>
    <w:rsid w:val="004C3237"/>
    <w:rsid w:val="004C481A"/>
    <w:rsid w:val="004C5220"/>
    <w:rsid w:val="004C659D"/>
    <w:rsid w:val="004D1948"/>
    <w:rsid w:val="004D3151"/>
    <w:rsid w:val="004D3725"/>
    <w:rsid w:val="004E1926"/>
    <w:rsid w:val="004E1B01"/>
    <w:rsid w:val="004F0753"/>
    <w:rsid w:val="004F3FA8"/>
    <w:rsid w:val="004F52A2"/>
    <w:rsid w:val="004F5B9F"/>
    <w:rsid w:val="004F6055"/>
    <w:rsid w:val="004F73CB"/>
    <w:rsid w:val="004F7E0E"/>
    <w:rsid w:val="00502B76"/>
    <w:rsid w:val="005047B2"/>
    <w:rsid w:val="00506E3A"/>
    <w:rsid w:val="0050760B"/>
    <w:rsid w:val="00507D26"/>
    <w:rsid w:val="00510540"/>
    <w:rsid w:val="00512315"/>
    <w:rsid w:val="0051335C"/>
    <w:rsid w:val="00515EB6"/>
    <w:rsid w:val="00517B15"/>
    <w:rsid w:val="00520796"/>
    <w:rsid w:val="00524E26"/>
    <w:rsid w:val="00526455"/>
    <w:rsid w:val="0052716B"/>
    <w:rsid w:val="00527715"/>
    <w:rsid w:val="0053385D"/>
    <w:rsid w:val="005349B6"/>
    <w:rsid w:val="00535F67"/>
    <w:rsid w:val="005371C1"/>
    <w:rsid w:val="0053731A"/>
    <w:rsid w:val="00542346"/>
    <w:rsid w:val="0054416C"/>
    <w:rsid w:val="00544E82"/>
    <w:rsid w:val="00544F96"/>
    <w:rsid w:val="00545673"/>
    <w:rsid w:val="005458AF"/>
    <w:rsid w:val="005459EE"/>
    <w:rsid w:val="005517A0"/>
    <w:rsid w:val="00555584"/>
    <w:rsid w:val="005559CD"/>
    <w:rsid w:val="005613E1"/>
    <w:rsid w:val="00564A07"/>
    <w:rsid w:val="0057199D"/>
    <w:rsid w:val="00571E97"/>
    <w:rsid w:val="005721BD"/>
    <w:rsid w:val="005747AD"/>
    <w:rsid w:val="00577017"/>
    <w:rsid w:val="005830A2"/>
    <w:rsid w:val="005846A2"/>
    <w:rsid w:val="00587E80"/>
    <w:rsid w:val="00587F0F"/>
    <w:rsid w:val="005908C2"/>
    <w:rsid w:val="005911C5"/>
    <w:rsid w:val="00592144"/>
    <w:rsid w:val="005924BE"/>
    <w:rsid w:val="00593FF5"/>
    <w:rsid w:val="00594153"/>
    <w:rsid w:val="005A1197"/>
    <w:rsid w:val="005A1712"/>
    <w:rsid w:val="005A2250"/>
    <w:rsid w:val="005A363D"/>
    <w:rsid w:val="005A3768"/>
    <w:rsid w:val="005B086E"/>
    <w:rsid w:val="005B1344"/>
    <w:rsid w:val="005B4555"/>
    <w:rsid w:val="005B5418"/>
    <w:rsid w:val="005B5DAE"/>
    <w:rsid w:val="005B706F"/>
    <w:rsid w:val="005B7431"/>
    <w:rsid w:val="005B7A86"/>
    <w:rsid w:val="005C05DC"/>
    <w:rsid w:val="005C2287"/>
    <w:rsid w:val="005C499B"/>
    <w:rsid w:val="005C5312"/>
    <w:rsid w:val="005C55F1"/>
    <w:rsid w:val="005C6B55"/>
    <w:rsid w:val="005D2D98"/>
    <w:rsid w:val="005D3439"/>
    <w:rsid w:val="005D3D0B"/>
    <w:rsid w:val="005D4005"/>
    <w:rsid w:val="005D4269"/>
    <w:rsid w:val="005D684E"/>
    <w:rsid w:val="005E0997"/>
    <w:rsid w:val="005E0FAF"/>
    <w:rsid w:val="005E215E"/>
    <w:rsid w:val="005E3026"/>
    <w:rsid w:val="005E3269"/>
    <w:rsid w:val="005E76FD"/>
    <w:rsid w:val="005E7FDD"/>
    <w:rsid w:val="005F4BF4"/>
    <w:rsid w:val="005F52CA"/>
    <w:rsid w:val="005F6314"/>
    <w:rsid w:val="005F64B3"/>
    <w:rsid w:val="005F6B65"/>
    <w:rsid w:val="005F72DE"/>
    <w:rsid w:val="005F738E"/>
    <w:rsid w:val="00604CF9"/>
    <w:rsid w:val="00610C49"/>
    <w:rsid w:val="00611490"/>
    <w:rsid w:val="00611DE4"/>
    <w:rsid w:val="00613C0D"/>
    <w:rsid w:val="00613C21"/>
    <w:rsid w:val="006145E3"/>
    <w:rsid w:val="006146CD"/>
    <w:rsid w:val="00615B20"/>
    <w:rsid w:val="00616FDC"/>
    <w:rsid w:val="00617D12"/>
    <w:rsid w:val="00620722"/>
    <w:rsid w:val="006209E9"/>
    <w:rsid w:val="00621EE9"/>
    <w:rsid w:val="00622235"/>
    <w:rsid w:val="006229F0"/>
    <w:rsid w:val="00623CA4"/>
    <w:rsid w:val="0062494E"/>
    <w:rsid w:val="00626309"/>
    <w:rsid w:val="00632E0C"/>
    <w:rsid w:val="00633AA9"/>
    <w:rsid w:val="00634377"/>
    <w:rsid w:val="00635F6C"/>
    <w:rsid w:val="00637BF3"/>
    <w:rsid w:val="0064052C"/>
    <w:rsid w:val="00641C55"/>
    <w:rsid w:val="00643414"/>
    <w:rsid w:val="006443B8"/>
    <w:rsid w:val="00644899"/>
    <w:rsid w:val="006460D5"/>
    <w:rsid w:val="006462DE"/>
    <w:rsid w:val="0064686F"/>
    <w:rsid w:val="006475C6"/>
    <w:rsid w:val="006478EB"/>
    <w:rsid w:val="00647BA4"/>
    <w:rsid w:val="00647F6C"/>
    <w:rsid w:val="00650C7A"/>
    <w:rsid w:val="006522EB"/>
    <w:rsid w:val="00656169"/>
    <w:rsid w:val="00657B5F"/>
    <w:rsid w:val="006620AB"/>
    <w:rsid w:val="006626AE"/>
    <w:rsid w:val="00662FF8"/>
    <w:rsid w:val="0066409B"/>
    <w:rsid w:val="00670F4A"/>
    <w:rsid w:val="00671A03"/>
    <w:rsid w:val="00672DB8"/>
    <w:rsid w:val="0067303E"/>
    <w:rsid w:val="006745AC"/>
    <w:rsid w:val="00675317"/>
    <w:rsid w:val="00676D34"/>
    <w:rsid w:val="006803CA"/>
    <w:rsid w:val="0068194D"/>
    <w:rsid w:val="00682AEA"/>
    <w:rsid w:val="00683828"/>
    <w:rsid w:val="006857A5"/>
    <w:rsid w:val="006863FE"/>
    <w:rsid w:val="006872B9"/>
    <w:rsid w:val="00690B33"/>
    <w:rsid w:val="00693C5D"/>
    <w:rsid w:val="00694E9F"/>
    <w:rsid w:val="00697E61"/>
    <w:rsid w:val="006A0F9A"/>
    <w:rsid w:val="006A144B"/>
    <w:rsid w:val="006A260D"/>
    <w:rsid w:val="006A56F0"/>
    <w:rsid w:val="006A6EA9"/>
    <w:rsid w:val="006B07CD"/>
    <w:rsid w:val="006B09E7"/>
    <w:rsid w:val="006B1CE6"/>
    <w:rsid w:val="006B1E5D"/>
    <w:rsid w:val="006B2AE5"/>
    <w:rsid w:val="006C25D7"/>
    <w:rsid w:val="006C5E2E"/>
    <w:rsid w:val="006C6251"/>
    <w:rsid w:val="006D40A2"/>
    <w:rsid w:val="006D48DB"/>
    <w:rsid w:val="006D5AD1"/>
    <w:rsid w:val="006D605B"/>
    <w:rsid w:val="006D6353"/>
    <w:rsid w:val="006D64C5"/>
    <w:rsid w:val="006E170E"/>
    <w:rsid w:val="006E464C"/>
    <w:rsid w:val="006E56E6"/>
    <w:rsid w:val="006F0218"/>
    <w:rsid w:val="006F02C2"/>
    <w:rsid w:val="006F02E1"/>
    <w:rsid w:val="006F0B37"/>
    <w:rsid w:val="006F3D69"/>
    <w:rsid w:val="006F4B48"/>
    <w:rsid w:val="006F57E7"/>
    <w:rsid w:val="0070351C"/>
    <w:rsid w:val="00703681"/>
    <w:rsid w:val="0070411D"/>
    <w:rsid w:val="00705211"/>
    <w:rsid w:val="007059CD"/>
    <w:rsid w:val="00710233"/>
    <w:rsid w:val="00711441"/>
    <w:rsid w:val="007118CF"/>
    <w:rsid w:val="00711BA8"/>
    <w:rsid w:val="00711EF4"/>
    <w:rsid w:val="00712534"/>
    <w:rsid w:val="00712D3B"/>
    <w:rsid w:val="00714494"/>
    <w:rsid w:val="00714C09"/>
    <w:rsid w:val="00714FB9"/>
    <w:rsid w:val="00717A51"/>
    <w:rsid w:val="007201FC"/>
    <w:rsid w:val="00720BBD"/>
    <w:rsid w:val="00721501"/>
    <w:rsid w:val="00724427"/>
    <w:rsid w:val="007278AC"/>
    <w:rsid w:val="00732401"/>
    <w:rsid w:val="00733FFE"/>
    <w:rsid w:val="00734641"/>
    <w:rsid w:val="00734815"/>
    <w:rsid w:val="00734BA0"/>
    <w:rsid w:val="00734E60"/>
    <w:rsid w:val="0073561F"/>
    <w:rsid w:val="00735A89"/>
    <w:rsid w:val="00735B91"/>
    <w:rsid w:val="00735C82"/>
    <w:rsid w:val="007364F4"/>
    <w:rsid w:val="00737CB5"/>
    <w:rsid w:val="00741993"/>
    <w:rsid w:val="00741FA2"/>
    <w:rsid w:val="00746F2C"/>
    <w:rsid w:val="0074781A"/>
    <w:rsid w:val="00750AE3"/>
    <w:rsid w:val="00750B24"/>
    <w:rsid w:val="00750D99"/>
    <w:rsid w:val="00755048"/>
    <w:rsid w:val="00756366"/>
    <w:rsid w:val="00761BB6"/>
    <w:rsid w:val="00763154"/>
    <w:rsid w:val="0076560D"/>
    <w:rsid w:val="007656AB"/>
    <w:rsid w:val="00770A02"/>
    <w:rsid w:val="00771B4C"/>
    <w:rsid w:val="00773D86"/>
    <w:rsid w:val="00774FFC"/>
    <w:rsid w:val="00781439"/>
    <w:rsid w:val="00783D92"/>
    <w:rsid w:val="00791AA5"/>
    <w:rsid w:val="007926FD"/>
    <w:rsid w:val="007948D4"/>
    <w:rsid w:val="00794AB4"/>
    <w:rsid w:val="007961CF"/>
    <w:rsid w:val="00796773"/>
    <w:rsid w:val="007A1201"/>
    <w:rsid w:val="007A1CB2"/>
    <w:rsid w:val="007A3AAA"/>
    <w:rsid w:val="007A47BA"/>
    <w:rsid w:val="007A5EAF"/>
    <w:rsid w:val="007A79BF"/>
    <w:rsid w:val="007A7FE7"/>
    <w:rsid w:val="007C0614"/>
    <w:rsid w:val="007C3DD4"/>
    <w:rsid w:val="007D2B59"/>
    <w:rsid w:val="007D602E"/>
    <w:rsid w:val="007D7379"/>
    <w:rsid w:val="007E1C89"/>
    <w:rsid w:val="007E3AD3"/>
    <w:rsid w:val="007E3F3B"/>
    <w:rsid w:val="007E5029"/>
    <w:rsid w:val="007E6570"/>
    <w:rsid w:val="007F0646"/>
    <w:rsid w:val="007F362A"/>
    <w:rsid w:val="007F3D60"/>
    <w:rsid w:val="007F6210"/>
    <w:rsid w:val="007F66EF"/>
    <w:rsid w:val="007F6D69"/>
    <w:rsid w:val="007F6FE4"/>
    <w:rsid w:val="007F7DD3"/>
    <w:rsid w:val="007F7E20"/>
    <w:rsid w:val="0080280A"/>
    <w:rsid w:val="00802E47"/>
    <w:rsid w:val="00803A7C"/>
    <w:rsid w:val="00804B7B"/>
    <w:rsid w:val="00805693"/>
    <w:rsid w:val="008069EB"/>
    <w:rsid w:val="008079BD"/>
    <w:rsid w:val="00807FB7"/>
    <w:rsid w:val="0081070D"/>
    <w:rsid w:val="00810753"/>
    <w:rsid w:val="00811BF7"/>
    <w:rsid w:val="00813BCF"/>
    <w:rsid w:val="0081420C"/>
    <w:rsid w:val="0081538B"/>
    <w:rsid w:val="00815AFE"/>
    <w:rsid w:val="0082028E"/>
    <w:rsid w:val="00820D3F"/>
    <w:rsid w:val="00822666"/>
    <w:rsid w:val="00823AEF"/>
    <w:rsid w:val="00824C6B"/>
    <w:rsid w:val="008251CE"/>
    <w:rsid w:val="00825339"/>
    <w:rsid w:val="00826233"/>
    <w:rsid w:val="00827094"/>
    <w:rsid w:val="00827B1E"/>
    <w:rsid w:val="00827C02"/>
    <w:rsid w:val="00827E37"/>
    <w:rsid w:val="00830F3C"/>
    <w:rsid w:val="00833745"/>
    <w:rsid w:val="00833891"/>
    <w:rsid w:val="00834B61"/>
    <w:rsid w:val="00841A13"/>
    <w:rsid w:val="00841D92"/>
    <w:rsid w:val="0084223E"/>
    <w:rsid w:val="00842755"/>
    <w:rsid w:val="008439BF"/>
    <w:rsid w:val="00843F66"/>
    <w:rsid w:val="00844D7E"/>
    <w:rsid w:val="0084653F"/>
    <w:rsid w:val="0084661D"/>
    <w:rsid w:val="00846F62"/>
    <w:rsid w:val="008501CC"/>
    <w:rsid w:val="008516FA"/>
    <w:rsid w:val="008518E8"/>
    <w:rsid w:val="008525DE"/>
    <w:rsid w:val="00853F6B"/>
    <w:rsid w:val="008540B1"/>
    <w:rsid w:val="0085410F"/>
    <w:rsid w:val="008569E3"/>
    <w:rsid w:val="00856CFB"/>
    <w:rsid w:val="00857E1F"/>
    <w:rsid w:val="00860011"/>
    <w:rsid w:val="00862AC2"/>
    <w:rsid w:val="00863096"/>
    <w:rsid w:val="0086681B"/>
    <w:rsid w:val="008668AC"/>
    <w:rsid w:val="008706E8"/>
    <w:rsid w:val="00871E42"/>
    <w:rsid w:val="008740F7"/>
    <w:rsid w:val="008743A1"/>
    <w:rsid w:val="00874636"/>
    <w:rsid w:val="00875B76"/>
    <w:rsid w:val="00876122"/>
    <w:rsid w:val="008773E7"/>
    <w:rsid w:val="00880480"/>
    <w:rsid w:val="008816EF"/>
    <w:rsid w:val="008829C7"/>
    <w:rsid w:val="00882AED"/>
    <w:rsid w:val="008832A6"/>
    <w:rsid w:val="00886E43"/>
    <w:rsid w:val="00890936"/>
    <w:rsid w:val="00890D50"/>
    <w:rsid w:val="008922EF"/>
    <w:rsid w:val="00893F49"/>
    <w:rsid w:val="00894258"/>
    <w:rsid w:val="00894B62"/>
    <w:rsid w:val="0089650A"/>
    <w:rsid w:val="00896FF2"/>
    <w:rsid w:val="008A0626"/>
    <w:rsid w:val="008A1F2A"/>
    <w:rsid w:val="008A586D"/>
    <w:rsid w:val="008A73A6"/>
    <w:rsid w:val="008B1253"/>
    <w:rsid w:val="008B1ABB"/>
    <w:rsid w:val="008B3310"/>
    <w:rsid w:val="008B3A71"/>
    <w:rsid w:val="008B4284"/>
    <w:rsid w:val="008B500D"/>
    <w:rsid w:val="008B52C3"/>
    <w:rsid w:val="008B56E3"/>
    <w:rsid w:val="008B65BE"/>
    <w:rsid w:val="008B7BC0"/>
    <w:rsid w:val="008B7ED9"/>
    <w:rsid w:val="008C1112"/>
    <w:rsid w:val="008C1BF9"/>
    <w:rsid w:val="008C1E4A"/>
    <w:rsid w:val="008C48E3"/>
    <w:rsid w:val="008D11A0"/>
    <w:rsid w:val="008D4A3F"/>
    <w:rsid w:val="008D56AA"/>
    <w:rsid w:val="008D70B5"/>
    <w:rsid w:val="008E0B91"/>
    <w:rsid w:val="008E1384"/>
    <w:rsid w:val="008E1E83"/>
    <w:rsid w:val="008E5D08"/>
    <w:rsid w:val="008E6379"/>
    <w:rsid w:val="008F1723"/>
    <w:rsid w:val="008F4A3F"/>
    <w:rsid w:val="008F58E5"/>
    <w:rsid w:val="008F7428"/>
    <w:rsid w:val="00901C87"/>
    <w:rsid w:val="00901DAD"/>
    <w:rsid w:val="00901F66"/>
    <w:rsid w:val="00907E5A"/>
    <w:rsid w:val="0091177A"/>
    <w:rsid w:val="00913AD3"/>
    <w:rsid w:val="00913F4F"/>
    <w:rsid w:val="00915355"/>
    <w:rsid w:val="00916481"/>
    <w:rsid w:val="00916FD0"/>
    <w:rsid w:val="0092018E"/>
    <w:rsid w:val="009207BA"/>
    <w:rsid w:val="00920945"/>
    <w:rsid w:val="00922F9D"/>
    <w:rsid w:val="00926C36"/>
    <w:rsid w:val="0093412F"/>
    <w:rsid w:val="00937BC9"/>
    <w:rsid w:val="009400CD"/>
    <w:rsid w:val="009416E2"/>
    <w:rsid w:val="009419BC"/>
    <w:rsid w:val="00942121"/>
    <w:rsid w:val="0094289E"/>
    <w:rsid w:val="009432EA"/>
    <w:rsid w:val="00945353"/>
    <w:rsid w:val="00950F13"/>
    <w:rsid w:val="0095174E"/>
    <w:rsid w:val="00951A65"/>
    <w:rsid w:val="009531CA"/>
    <w:rsid w:val="009566D7"/>
    <w:rsid w:val="00956744"/>
    <w:rsid w:val="00956999"/>
    <w:rsid w:val="00956DCD"/>
    <w:rsid w:val="00963697"/>
    <w:rsid w:val="009647EB"/>
    <w:rsid w:val="009679ED"/>
    <w:rsid w:val="00967C06"/>
    <w:rsid w:val="009709ED"/>
    <w:rsid w:val="0097157D"/>
    <w:rsid w:val="00972A16"/>
    <w:rsid w:val="00973C7D"/>
    <w:rsid w:val="00974581"/>
    <w:rsid w:val="00977A8C"/>
    <w:rsid w:val="00981E45"/>
    <w:rsid w:val="00982C1A"/>
    <w:rsid w:val="00983A85"/>
    <w:rsid w:val="009851B8"/>
    <w:rsid w:val="00985496"/>
    <w:rsid w:val="0098593B"/>
    <w:rsid w:val="00987BAB"/>
    <w:rsid w:val="00991E15"/>
    <w:rsid w:val="00992C90"/>
    <w:rsid w:val="00993A4A"/>
    <w:rsid w:val="00995DB6"/>
    <w:rsid w:val="00996D90"/>
    <w:rsid w:val="009A023B"/>
    <w:rsid w:val="009A277C"/>
    <w:rsid w:val="009A3B73"/>
    <w:rsid w:val="009A3CDE"/>
    <w:rsid w:val="009A46B0"/>
    <w:rsid w:val="009A4EEF"/>
    <w:rsid w:val="009A5B34"/>
    <w:rsid w:val="009A67D7"/>
    <w:rsid w:val="009A7F43"/>
    <w:rsid w:val="009B0699"/>
    <w:rsid w:val="009B0ADD"/>
    <w:rsid w:val="009B334E"/>
    <w:rsid w:val="009B5264"/>
    <w:rsid w:val="009B556A"/>
    <w:rsid w:val="009B6DB5"/>
    <w:rsid w:val="009C0DF0"/>
    <w:rsid w:val="009C1E60"/>
    <w:rsid w:val="009C1EAD"/>
    <w:rsid w:val="009C2EBE"/>
    <w:rsid w:val="009C4C91"/>
    <w:rsid w:val="009C5069"/>
    <w:rsid w:val="009C6B49"/>
    <w:rsid w:val="009C7441"/>
    <w:rsid w:val="009C760E"/>
    <w:rsid w:val="009C7973"/>
    <w:rsid w:val="009C7C42"/>
    <w:rsid w:val="009D0C50"/>
    <w:rsid w:val="009D22F1"/>
    <w:rsid w:val="009D23D9"/>
    <w:rsid w:val="009D387A"/>
    <w:rsid w:val="009D4C75"/>
    <w:rsid w:val="009D702D"/>
    <w:rsid w:val="009D730C"/>
    <w:rsid w:val="009E1949"/>
    <w:rsid w:val="009E22DA"/>
    <w:rsid w:val="009E2B4E"/>
    <w:rsid w:val="009E6174"/>
    <w:rsid w:val="009F054D"/>
    <w:rsid w:val="009F276C"/>
    <w:rsid w:val="009F2D5F"/>
    <w:rsid w:val="009F3112"/>
    <w:rsid w:val="009F3A9D"/>
    <w:rsid w:val="009F5BB1"/>
    <w:rsid w:val="00A00BF3"/>
    <w:rsid w:val="00A0114C"/>
    <w:rsid w:val="00A02C18"/>
    <w:rsid w:val="00A03276"/>
    <w:rsid w:val="00A04F2B"/>
    <w:rsid w:val="00A0534F"/>
    <w:rsid w:val="00A065DF"/>
    <w:rsid w:val="00A06C92"/>
    <w:rsid w:val="00A06D31"/>
    <w:rsid w:val="00A075BA"/>
    <w:rsid w:val="00A07D5D"/>
    <w:rsid w:val="00A109C4"/>
    <w:rsid w:val="00A1274D"/>
    <w:rsid w:val="00A15F17"/>
    <w:rsid w:val="00A167F6"/>
    <w:rsid w:val="00A16DFC"/>
    <w:rsid w:val="00A17D82"/>
    <w:rsid w:val="00A200F8"/>
    <w:rsid w:val="00A2054F"/>
    <w:rsid w:val="00A20EC9"/>
    <w:rsid w:val="00A2101D"/>
    <w:rsid w:val="00A230BB"/>
    <w:rsid w:val="00A2459C"/>
    <w:rsid w:val="00A2472A"/>
    <w:rsid w:val="00A247D3"/>
    <w:rsid w:val="00A24E01"/>
    <w:rsid w:val="00A301DB"/>
    <w:rsid w:val="00A306BB"/>
    <w:rsid w:val="00A30D88"/>
    <w:rsid w:val="00A3129B"/>
    <w:rsid w:val="00A37C33"/>
    <w:rsid w:val="00A44649"/>
    <w:rsid w:val="00A47C83"/>
    <w:rsid w:val="00A50400"/>
    <w:rsid w:val="00A5087D"/>
    <w:rsid w:val="00A51C04"/>
    <w:rsid w:val="00A54A17"/>
    <w:rsid w:val="00A55423"/>
    <w:rsid w:val="00A61A17"/>
    <w:rsid w:val="00A65CF1"/>
    <w:rsid w:val="00A66746"/>
    <w:rsid w:val="00A66747"/>
    <w:rsid w:val="00A72703"/>
    <w:rsid w:val="00A72D51"/>
    <w:rsid w:val="00A76373"/>
    <w:rsid w:val="00A76A43"/>
    <w:rsid w:val="00A77542"/>
    <w:rsid w:val="00A80967"/>
    <w:rsid w:val="00A851D3"/>
    <w:rsid w:val="00A877A3"/>
    <w:rsid w:val="00A9057E"/>
    <w:rsid w:val="00A90E54"/>
    <w:rsid w:val="00A913BA"/>
    <w:rsid w:val="00A916DB"/>
    <w:rsid w:val="00A9264A"/>
    <w:rsid w:val="00A93467"/>
    <w:rsid w:val="00A946AA"/>
    <w:rsid w:val="00A95577"/>
    <w:rsid w:val="00A9650B"/>
    <w:rsid w:val="00A9670F"/>
    <w:rsid w:val="00A97346"/>
    <w:rsid w:val="00A97659"/>
    <w:rsid w:val="00AA102F"/>
    <w:rsid w:val="00AA104F"/>
    <w:rsid w:val="00AA73D4"/>
    <w:rsid w:val="00AB0B77"/>
    <w:rsid w:val="00AB29DC"/>
    <w:rsid w:val="00AB5532"/>
    <w:rsid w:val="00AB70D8"/>
    <w:rsid w:val="00AC0187"/>
    <w:rsid w:val="00AC1BB6"/>
    <w:rsid w:val="00AC1BFC"/>
    <w:rsid w:val="00AC20CA"/>
    <w:rsid w:val="00AC2F79"/>
    <w:rsid w:val="00AC3462"/>
    <w:rsid w:val="00AC3640"/>
    <w:rsid w:val="00AC4A00"/>
    <w:rsid w:val="00AC7279"/>
    <w:rsid w:val="00AD1C11"/>
    <w:rsid w:val="00AD2B3E"/>
    <w:rsid w:val="00AD2F5E"/>
    <w:rsid w:val="00AD3EC9"/>
    <w:rsid w:val="00AD45DB"/>
    <w:rsid w:val="00AE0974"/>
    <w:rsid w:val="00AE1A61"/>
    <w:rsid w:val="00AE2C99"/>
    <w:rsid w:val="00AE3FC1"/>
    <w:rsid w:val="00AE6235"/>
    <w:rsid w:val="00AE65DC"/>
    <w:rsid w:val="00AF08EA"/>
    <w:rsid w:val="00AF0B0F"/>
    <w:rsid w:val="00AF1EC4"/>
    <w:rsid w:val="00AF5F7F"/>
    <w:rsid w:val="00AF6533"/>
    <w:rsid w:val="00AF700B"/>
    <w:rsid w:val="00AF7601"/>
    <w:rsid w:val="00B007D0"/>
    <w:rsid w:val="00B00D0C"/>
    <w:rsid w:val="00B05682"/>
    <w:rsid w:val="00B11995"/>
    <w:rsid w:val="00B132FD"/>
    <w:rsid w:val="00B13AC3"/>
    <w:rsid w:val="00B158A7"/>
    <w:rsid w:val="00B16377"/>
    <w:rsid w:val="00B1650A"/>
    <w:rsid w:val="00B1737D"/>
    <w:rsid w:val="00B20672"/>
    <w:rsid w:val="00B22AD7"/>
    <w:rsid w:val="00B23C88"/>
    <w:rsid w:val="00B247D0"/>
    <w:rsid w:val="00B275BB"/>
    <w:rsid w:val="00B2792B"/>
    <w:rsid w:val="00B3211F"/>
    <w:rsid w:val="00B33A2E"/>
    <w:rsid w:val="00B34F09"/>
    <w:rsid w:val="00B352AB"/>
    <w:rsid w:val="00B37123"/>
    <w:rsid w:val="00B40769"/>
    <w:rsid w:val="00B416C2"/>
    <w:rsid w:val="00B44175"/>
    <w:rsid w:val="00B444B9"/>
    <w:rsid w:val="00B44B1F"/>
    <w:rsid w:val="00B46D8A"/>
    <w:rsid w:val="00B47EB4"/>
    <w:rsid w:val="00B504DC"/>
    <w:rsid w:val="00B513E0"/>
    <w:rsid w:val="00B51849"/>
    <w:rsid w:val="00B534A4"/>
    <w:rsid w:val="00B537DA"/>
    <w:rsid w:val="00B5412A"/>
    <w:rsid w:val="00B54259"/>
    <w:rsid w:val="00B54ADF"/>
    <w:rsid w:val="00B62B58"/>
    <w:rsid w:val="00B640E7"/>
    <w:rsid w:val="00B67B37"/>
    <w:rsid w:val="00B73F71"/>
    <w:rsid w:val="00B742E7"/>
    <w:rsid w:val="00B76D69"/>
    <w:rsid w:val="00B775E9"/>
    <w:rsid w:val="00B776EF"/>
    <w:rsid w:val="00B77E39"/>
    <w:rsid w:val="00B81318"/>
    <w:rsid w:val="00B82E84"/>
    <w:rsid w:val="00B8311D"/>
    <w:rsid w:val="00B83FC1"/>
    <w:rsid w:val="00B84708"/>
    <w:rsid w:val="00B85A29"/>
    <w:rsid w:val="00B8730D"/>
    <w:rsid w:val="00B90336"/>
    <w:rsid w:val="00B9145C"/>
    <w:rsid w:val="00B95D01"/>
    <w:rsid w:val="00B96FD9"/>
    <w:rsid w:val="00BA3C31"/>
    <w:rsid w:val="00BA3E13"/>
    <w:rsid w:val="00BA4EB8"/>
    <w:rsid w:val="00BA6B48"/>
    <w:rsid w:val="00BB04A5"/>
    <w:rsid w:val="00BB0D0C"/>
    <w:rsid w:val="00BB1673"/>
    <w:rsid w:val="00BB1705"/>
    <w:rsid w:val="00BB2576"/>
    <w:rsid w:val="00BB38A5"/>
    <w:rsid w:val="00BB3FF8"/>
    <w:rsid w:val="00BB4258"/>
    <w:rsid w:val="00BB516A"/>
    <w:rsid w:val="00BB62B4"/>
    <w:rsid w:val="00BB7858"/>
    <w:rsid w:val="00BB7F58"/>
    <w:rsid w:val="00BC10A7"/>
    <w:rsid w:val="00BC1936"/>
    <w:rsid w:val="00BC2DAB"/>
    <w:rsid w:val="00BC3396"/>
    <w:rsid w:val="00BC3490"/>
    <w:rsid w:val="00BC378E"/>
    <w:rsid w:val="00BC6F0B"/>
    <w:rsid w:val="00BD1BA3"/>
    <w:rsid w:val="00BD2995"/>
    <w:rsid w:val="00BD2B9B"/>
    <w:rsid w:val="00BD3B4E"/>
    <w:rsid w:val="00BD4AC6"/>
    <w:rsid w:val="00BD64A6"/>
    <w:rsid w:val="00BD7B22"/>
    <w:rsid w:val="00BE06F9"/>
    <w:rsid w:val="00BE09AA"/>
    <w:rsid w:val="00BE1CEC"/>
    <w:rsid w:val="00BE3135"/>
    <w:rsid w:val="00BE36B2"/>
    <w:rsid w:val="00BE47A5"/>
    <w:rsid w:val="00BE5180"/>
    <w:rsid w:val="00BE7BF1"/>
    <w:rsid w:val="00BF05A5"/>
    <w:rsid w:val="00BF131A"/>
    <w:rsid w:val="00BF386E"/>
    <w:rsid w:val="00BF491F"/>
    <w:rsid w:val="00BF568C"/>
    <w:rsid w:val="00BF66DA"/>
    <w:rsid w:val="00BF768B"/>
    <w:rsid w:val="00C005F3"/>
    <w:rsid w:val="00C01DD3"/>
    <w:rsid w:val="00C04523"/>
    <w:rsid w:val="00C04BAC"/>
    <w:rsid w:val="00C10CBE"/>
    <w:rsid w:val="00C12347"/>
    <w:rsid w:val="00C20E20"/>
    <w:rsid w:val="00C213DB"/>
    <w:rsid w:val="00C23074"/>
    <w:rsid w:val="00C2409F"/>
    <w:rsid w:val="00C254B1"/>
    <w:rsid w:val="00C25B76"/>
    <w:rsid w:val="00C30834"/>
    <w:rsid w:val="00C30D0F"/>
    <w:rsid w:val="00C30D97"/>
    <w:rsid w:val="00C330CE"/>
    <w:rsid w:val="00C33955"/>
    <w:rsid w:val="00C352F8"/>
    <w:rsid w:val="00C36B64"/>
    <w:rsid w:val="00C405E6"/>
    <w:rsid w:val="00C41602"/>
    <w:rsid w:val="00C417FC"/>
    <w:rsid w:val="00C440B4"/>
    <w:rsid w:val="00C444F6"/>
    <w:rsid w:val="00C44B9E"/>
    <w:rsid w:val="00C4608B"/>
    <w:rsid w:val="00C46A5E"/>
    <w:rsid w:val="00C51598"/>
    <w:rsid w:val="00C51F93"/>
    <w:rsid w:val="00C52290"/>
    <w:rsid w:val="00C539C5"/>
    <w:rsid w:val="00C54CD6"/>
    <w:rsid w:val="00C54D50"/>
    <w:rsid w:val="00C55491"/>
    <w:rsid w:val="00C55E97"/>
    <w:rsid w:val="00C578AA"/>
    <w:rsid w:val="00C6144F"/>
    <w:rsid w:val="00C6196E"/>
    <w:rsid w:val="00C632C0"/>
    <w:rsid w:val="00C6332B"/>
    <w:rsid w:val="00C63F37"/>
    <w:rsid w:val="00C640CD"/>
    <w:rsid w:val="00C644FC"/>
    <w:rsid w:val="00C645DF"/>
    <w:rsid w:val="00C652C3"/>
    <w:rsid w:val="00C65F35"/>
    <w:rsid w:val="00C66C79"/>
    <w:rsid w:val="00C670B3"/>
    <w:rsid w:val="00C676A5"/>
    <w:rsid w:val="00C70C00"/>
    <w:rsid w:val="00C72CCD"/>
    <w:rsid w:val="00C7471F"/>
    <w:rsid w:val="00C7654E"/>
    <w:rsid w:val="00C768AB"/>
    <w:rsid w:val="00C76CF0"/>
    <w:rsid w:val="00C83836"/>
    <w:rsid w:val="00C84273"/>
    <w:rsid w:val="00C84FFF"/>
    <w:rsid w:val="00C8524F"/>
    <w:rsid w:val="00C87EA2"/>
    <w:rsid w:val="00C906C3"/>
    <w:rsid w:val="00C908C7"/>
    <w:rsid w:val="00C9292B"/>
    <w:rsid w:val="00C92F70"/>
    <w:rsid w:val="00C93DF8"/>
    <w:rsid w:val="00C93EB5"/>
    <w:rsid w:val="00C94EA0"/>
    <w:rsid w:val="00C95E20"/>
    <w:rsid w:val="00C97F63"/>
    <w:rsid w:val="00CA2587"/>
    <w:rsid w:val="00CA4BA8"/>
    <w:rsid w:val="00CA62F0"/>
    <w:rsid w:val="00CB01AF"/>
    <w:rsid w:val="00CB0862"/>
    <w:rsid w:val="00CB119F"/>
    <w:rsid w:val="00CB132A"/>
    <w:rsid w:val="00CB7022"/>
    <w:rsid w:val="00CC007E"/>
    <w:rsid w:val="00CC1BCF"/>
    <w:rsid w:val="00CC5951"/>
    <w:rsid w:val="00CC6DD1"/>
    <w:rsid w:val="00CD04C0"/>
    <w:rsid w:val="00CD05F1"/>
    <w:rsid w:val="00CD1B92"/>
    <w:rsid w:val="00CD5F2C"/>
    <w:rsid w:val="00CD6AF2"/>
    <w:rsid w:val="00CD75BE"/>
    <w:rsid w:val="00CD7DB2"/>
    <w:rsid w:val="00CE29EE"/>
    <w:rsid w:val="00CE4FCC"/>
    <w:rsid w:val="00CE6C5B"/>
    <w:rsid w:val="00CF356E"/>
    <w:rsid w:val="00CF40B7"/>
    <w:rsid w:val="00CF7007"/>
    <w:rsid w:val="00CF7380"/>
    <w:rsid w:val="00D060B6"/>
    <w:rsid w:val="00D060DD"/>
    <w:rsid w:val="00D12000"/>
    <w:rsid w:val="00D139BD"/>
    <w:rsid w:val="00D140F8"/>
    <w:rsid w:val="00D20AC8"/>
    <w:rsid w:val="00D20F1B"/>
    <w:rsid w:val="00D21F43"/>
    <w:rsid w:val="00D22398"/>
    <w:rsid w:val="00D22A7D"/>
    <w:rsid w:val="00D22F12"/>
    <w:rsid w:val="00D25D4B"/>
    <w:rsid w:val="00D26166"/>
    <w:rsid w:val="00D26D27"/>
    <w:rsid w:val="00D30DAB"/>
    <w:rsid w:val="00D33093"/>
    <w:rsid w:val="00D3313A"/>
    <w:rsid w:val="00D3424C"/>
    <w:rsid w:val="00D35048"/>
    <w:rsid w:val="00D370C6"/>
    <w:rsid w:val="00D37D5B"/>
    <w:rsid w:val="00D40E9B"/>
    <w:rsid w:val="00D433C5"/>
    <w:rsid w:val="00D5065B"/>
    <w:rsid w:val="00D55E85"/>
    <w:rsid w:val="00D6087B"/>
    <w:rsid w:val="00D6120C"/>
    <w:rsid w:val="00D61FD3"/>
    <w:rsid w:val="00D64EF3"/>
    <w:rsid w:val="00D66609"/>
    <w:rsid w:val="00D7061B"/>
    <w:rsid w:val="00D70E42"/>
    <w:rsid w:val="00D7105A"/>
    <w:rsid w:val="00D71667"/>
    <w:rsid w:val="00D72C08"/>
    <w:rsid w:val="00D74927"/>
    <w:rsid w:val="00D7513C"/>
    <w:rsid w:val="00D767FD"/>
    <w:rsid w:val="00D77F10"/>
    <w:rsid w:val="00D805D7"/>
    <w:rsid w:val="00D8287D"/>
    <w:rsid w:val="00D833D4"/>
    <w:rsid w:val="00D848DB"/>
    <w:rsid w:val="00D84BE3"/>
    <w:rsid w:val="00D85773"/>
    <w:rsid w:val="00D85A0B"/>
    <w:rsid w:val="00D86724"/>
    <w:rsid w:val="00D869DE"/>
    <w:rsid w:val="00D86DE1"/>
    <w:rsid w:val="00D902DA"/>
    <w:rsid w:val="00D90F2B"/>
    <w:rsid w:val="00D91483"/>
    <w:rsid w:val="00D91799"/>
    <w:rsid w:val="00D91CFC"/>
    <w:rsid w:val="00D91FA3"/>
    <w:rsid w:val="00D92AAC"/>
    <w:rsid w:val="00D951BD"/>
    <w:rsid w:val="00D96E56"/>
    <w:rsid w:val="00DA07C1"/>
    <w:rsid w:val="00DA1773"/>
    <w:rsid w:val="00DA1CD6"/>
    <w:rsid w:val="00DA3E42"/>
    <w:rsid w:val="00DA4ADB"/>
    <w:rsid w:val="00DA5D2F"/>
    <w:rsid w:val="00DA6ED1"/>
    <w:rsid w:val="00DB06DE"/>
    <w:rsid w:val="00DB0B37"/>
    <w:rsid w:val="00DB0E4D"/>
    <w:rsid w:val="00DB266E"/>
    <w:rsid w:val="00DB3EC3"/>
    <w:rsid w:val="00DB4429"/>
    <w:rsid w:val="00DB4669"/>
    <w:rsid w:val="00DB6EE3"/>
    <w:rsid w:val="00DB7450"/>
    <w:rsid w:val="00DC15C2"/>
    <w:rsid w:val="00DC1F6F"/>
    <w:rsid w:val="00DC3079"/>
    <w:rsid w:val="00DC3753"/>
    <w:rsid w:val="00DC40A5"/>
    <w:rsid w:val="00DC41A2"/>
    <w:rsid w:val="00DC4406"/>
    <w:rsid w:val="00DC5D36"/>
    <w:rsid w:val="00DC7261"/>
    <w:rsid w:val="00DD0907"/>
    <w:rsid w:val="00DD1D55"/>
    <w:rsid w:val="00DD28A3"/>
    <w:rsid w:val="00DD2FA3"/>
    <w:rsid w:val="00DD486F"/>
    <w:rsid w:val="00DD50E5"/>
    <w:rsid w:val="00DD54F9"/>
    <w:rsid w:val="00DD7453"/>
    <w:rsid w:val="00DD75CE"/>
    <w:rsid w:val="00DD76C8"/>
    <w:rsid w:val="00DE0410"/>
    <w:rsid w:val="00DE1938"/>
    <w:rsid w:val="00DE2E7B"/>
    <w:rsid w:val="00DE2FC3"/>
    <w:rsid w:val="00DE4780"/>
    <w:rsid w:val="00DE4D70"/>
    <w:rsid w:val="00DE54A7"/>
    <w:rsid w:val="00DE7289"/>
    <w:rsid w:val="00DE7C23"/>
    <w:rsid w:val="00DF0659"/>
    <w:rsid w:val="00DF0CA5"/>
    <w:rsid w:val="00DF0ECB"/>
    <w:rsid w:val="00DF2F95"/>
    <w:rsid w:val="00DF3955"/>
    <w:rsid w:val="00DF74CD"/>
    <w:rsid w:val="00DF7938"/>
    <w:rsid w:val="00E0039E"/>
    <w:rsid w:val="00E02C08"/>
    <w:rsid w:val="00E04775"/>
    <w:rsid w:val="00E074EB"/>
    <w:rsid w:val="00E14117"/>
    <w:rsid w:val="00E14585"/>
    <w:rsid w:val="00E14DE4"/>
    <w:rsid w:val="00E15AB1"/>
    <w:rsid w:val="00E15AF4"/>
    <w:rsid w:val="00E17A58"/>
    <w:rsid w:val="00E210E8"/>
    <w:rsid w:val="00E2126C"/>
    <w:rsid w:val="00E21AD3"/>
    <w:rsid w:val="00E21EAA"/>
    <w:rsid w:val="00E24B16"/>
    <w:rsid w:val="00E255E2"/>
    <w:rsid w:val="00E27D3E"/>
    <w:rsid w:val="00E31452"/>
    <w:rsid w:val="00E31D7B"/>
    <w:rsid w:val="00E31F13"/>
    <w:rsid w:val="00E37971"/>
    <w:rsid w:val="00E42CFA"/>
    <w:rsid w:val="00E43519"/>
    <w:rsid w:val="00E4462B"/>
    <w:rsid w:val="00E446FB"/>
    <w:rsid w:val="00E44CB1"/>
    <w:rsid w:val="00E45AF5"/>
    <w:rsid w:val="00E46068"/>
    <w:rsid w:val="00E46DA0"/>
    <w:rsid w:val="00E509D1"/>
    <w:rsid w:val="00E52EB4"/>
    <w:rsid w:val="00E5347F"/>
    <w:rsid w:val="00E55448"/>
    <w:rsid w:val="00E56C12"/>
    <w:rsid w:val="00E56E21"/>
    <w:rsid w:val="00E60CBC"/>
    <w:rsid w:val="00E60DF0"/>
    <w:rsid w:val="00E62164"/>
    <w:rsid w:val="00E64443"/>
    <w:rsid w:val="00E65D1B"/>
    <w:rsid w:val="00E66310"/>
    <w:rsid w:val="00E70EDB"/>
    <w:rsid w:val="00E7109F"/>
    <w:rsid w:val="00E71384"/>
    <w:rsid w:val="00E73930"/>
    <w:rsid w:val="00E74057"/>
    <w:rsid w:val="00E74D88"/>
    <w:rsid w:val="00E75671"/>
    <w:rsid w:val="00E7702F"/>
    <w:rsid w:val="00E80C20"/>
    <w:rsid w:val="00E8192C"/>
    <w:rsid w:val="00E83CA0"/>
    <w:rsid w:val="00E84B32"/>
    <w:rsid w:val="00E901FF"/>
    <w:rsid w:val="00E903E2"/>
    <w:rsid w:val="00E90F2D"/>
    <w:rsid w:val="00E927A1"/>
    <w:rsid w:val="00E933E9"/>
    <w:rsid w:val="00E94811"/>
    <w:rsid w:val="00E960DE"/>
    <w:rsid w:val="00E97165"/>
    <w:rsid w:val="00EA0AFC"/>
    <w:rsid w:val="00EA0FD5"/>
    <w:rsid w:val="00EA42B2"/>
    <w:rsid w:val="00EA5672"/>
    <w:rsid w:val="00EA75C8"/>
    <w:rsid w:val="00EB0B6F"/>
    <w:rsid w:val="00EB1E2A"/>
    <w:rsid w:val="00EB2045"/>
    <w:rsid w:val="00EB2EF3"/>
    <w:rsid w:val="00EB3390"/>
    <w:rsid w:val="00EB3A54"/>
    <w:rsid w:val="00EB5F18"/>
    <w:rsid w:val="00EC0054"/>
    <w:rsid w:val="00EC054C"/>
    <w:rsid w:val="00EC099F"/>
    <w:rsid w:val="00EC1E80"/>
    <w:rsid w:val="00EC20E5"/>
    <w:rsid w:val="00EC21EB"/>
    <w:rsid w:val="00EC4C8A"/>
    <w:rsid w:val="00EC5127"/>
    <w:rsid w:val="00EC53B0"/>
    <w:rsid w:val="00EC68DD"/>
    <w:rsid w:val="00ED0B75"/>
    <w:rsid w:val="00ED2012"/>
    <w:rsid w:val="00ED2108"/>
    <w:rsid w:val="00ED2550"/>
    <w:rsid w:val="00ED2FC2"/>
    <w:rsid w:val="00ED3007"/>
    <w:rsid w:val="00ED3251"/>
    <w:rsid w:val="00ED39A9"/>
    <w:rsid w:val="00ED690A"/>
    <w:rsid w:val="00ED7FC2"/>
    <w:rsid w:val="00EE07B8"/>
    <w:rsid w:val="00EE11AE"/>
    <w:rsid w:val="00EE21B3"/>
    <w:rsid w:val="00EE3094"/>
    <w:rsid w:val="00EE5880"/>
    <w:rsid w:val="00EE76AF"/>
    <w:rsid w:val="00EE7F94"/>
    <w:rsid w:val="00EF19F6"/>
    <w:rsid w:val="00EF2B6B"/>
    <w:rsid w:val="00EF2C56"/>
    <w:rsid w:val="00EF6BD5"/>
    <w:rsid w:val="00F017EC"/>
    <w:rsid w:val="00F02940"/>
    <w:rsid w:val="00F032AA"/>
    <w:rsid w:val="00F03329"/>
    <w:rsid w:val="00F044C3"/>
    <w:rsid w:val="00F06A2B"/>
    <w:rsid w:val="00F076CB"/>
    <w:rsid w:val="00F10005"/>
    <w:rsid w:val="00F106AD"/>
    <w:rsid w:val="00F10B20"/>
    <w:rsid w:val="00F16212"/>
    <w:rsid w:val="00F2141B"/>
    <w:rsid w:val="00F2143A"/>
    <w:rsid w:val="00F219C8"/>
    <w:rsid w:val="00F22FB0"/>
    <w:rsid w:val="00F252FD"/>
    <w:rsid w:val="00F30155"/>
    <w:rsid w:val="00F319EE"/>
    <w:rsid w:val="00F342C1"/>
    <w:rsid w:val="00F35D66"/>
    <w:rsid w:val="00F40B44"/>
    <w:rsid w:val="00F428DE"/>
    <w:rsid w:val="00F44A33"/>
    <w:rsid w:val="00F44EB6"/>
    <w:rsid w:val="00F45128"/>
    <w:rsid w:val="00F463F1"/>
    <w:rsid w:val="00F472D0"/>
    <w:rsid w:val="00F47439"/>
    <w:rsid w:val="00F50AF9"/>
    <w:rsid w:val="00F50F75"/>
    <w:rsid w:val="00F51083"/>
    <w:rsid w:val="00F51D77"/>
    <w:rsid w:val="00F54251"/>
    <w:rsid w:val="00F552C7"/>
    <w:rsid w:val="00F55783"/>
    <w:rsid w:val="00F55911"/>
    <w:rsid w:val="00F55BD9"/>
    <w:rsid w:val="00F56148"/>
    <w:rsid w:val="00F5792B"/>
    <w:rsid w:val="00F579C6"/>
    <w:rsid w:val="00F621F7"/>
    <w:rsid w:val="00F62F82"/>
    <w:rsid w:val="00F647D2"/>
    <w:rsid w:val="00F653CD"/>
    <w:rsid w:val="00F65606"/>
    <w:rsid w:val="00F667EA"/>
    <w:rsid w:val="00F67A59"/>
    <w:rsid w:val="00F71497"/>
    <w:rsid w:val="00F7244E"/>
    <w:rsid w:val="00F736FC"/>
    <w:rsid w:val="00F75C82"/>
    <w:rsid w:val="00F76961"/>
    <w:rsid w:val="00F77114"/>
    <w:rsid w:val="00F851EB"/>
    <w:rsid w:val="00F85984"/>
    <w:rsid w:val="00F863C0"/>
    <w:rsid w:val="00F97C1C"/>
    <w:rsid w:val="00F97DF3"/>
    <w:rsid w:val="00FA5EE8"/>
    <w:rsid w:val="00FA6C27"/>
    <w:rsid w:val="00FA746F"/>
    <w:rsid w:val="00FB0B29"/>
    <w:rsid w:val="00FB17FE"/>
    <w:rsid w:val="00FB446D"/>
    <w:rsid w:val="00FB663E"/>
    <w:rsid w:val="00FB6C9E"/>
    <w:rsid w:val="00FB7AD6"/>
    <w:rsid w:val="00FC05A3"/>
    <w:rsid w:val="00FC1D7C"/>
    <w:rsid w:val="00FC26D4"/>
    <w:rsid w:val="00FC3BA7"/>
    <w:rsid w:val="00FC5574"/>
    <w:rsid w:val="00FC6E56"/>
    <w:rsid w:val="00FD162B"/>
    <w:rsid w:val="00FD24EF"/>
    <w:rsid w:val="00FD47B8"/>
    <w:rsid w:val="00FE0061"/>
    <w:rsid w:val="00FE05EE"/>
    <w:rsid w:val="00FE097A"/>
    <w:rsid w:val="00FE1113"/>
    <w:rsid w:val="00FE11F5"/>
    <w:rsid w:val="00FE22C5"/>
    <w:rsid w:val="00FE3AA4"/>
    <w:rsid w:val="00FE4802"/>
    <w:rsid w:val="00FE7967"/>
    <w:rsid w:val="00FF0E17"/>
    <w:rsid w:val="00FF1C81"/>
    <w:rsid w:val="00FF2BFC"/>
    <w:rsid w:val="00FF60E9"/>
    <w:rsid w:val="00FF6323"/>
    <w:rsid w:val="00FF6C36"/>
    <w:rsid w:val="00FF7735"/>
    <w:rsid w:val="045F0436"/>
    <w:rsid w:val="073D0CEA"/>
    <w:rsid w:val="0C741652"/>
    <w:rsid w:val="11224927"/>
    <w:rsid w:val="18C748B7"/>
    <w:rsid w:val="1C3778A2"/>
    <w:rsid w:val="216F0856"/>
    <w:rsid w:val="222D0DD2"/>
    <w:rsid w:val="337C6572"/>
    <w:rsid w:val="39AE0214"/>
    <w:rsid w:val="436F4A75"/>
    <w:rsid w:val="486523D3"/>
    <w:rsid w:val="4886168F"/>
    <w:rsid w:val="50CB5B8D"/>
    <w:rsid w:val="569C6DA8"/>
    <w:rsid w:val="58F03289"/>
    <w:rsid w:val="5B5147EB"/>
    <w:rsid w:val="6A5728F7"/>
    <w:rsid w:val="75C32CCF"/>
    <w:rsid w:val="7B166879"/>
    <w:rsid w:val="7B9F49B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39" w:semiHidden="0" w:name="toc 1"/>
    <w:lsdException w:qFormat="1" w:unhideWhenUsed="0" w:uiPriority="39" w:semiHidden="0" w:name="toc 2"/>
    <w:lsdException w:uiPriority="39" w:semiHidden="0" w:name="toc 3" w:locked="1"/>
    <w:lsdException w:qFormat="1" w:uiPriority="39" w:semiHidden="0" w:name="toc 4" w:locked="1"/>
    <w:lsdException w:qFormat="1" w:uiPriority="39" w:semiHidden="0" w:name="toc 5" w:locked="1"/>
    <w:lsdException w:qFormat="1" w:uiPriority="39" w:semiHidden="0" w:name="toc 6" w:locked="1"/>
    <w:lsdException w:uiPriority="39" w:semiHidden="0" w:name="toc 7" w:locked="1"/>
    <w:lsdException w:uiPriority="39" w:semiHidden="0" w:name="toc 8" w:locked="1"/>
    <w:lsdException w:uiPriority="39" w:semiHidden="0" w:name="toc 9" w:locked="1"/>
    <w:lsdException w:unhideWhenUsed="0" w:uiPriority="99" w:semiHidden="0" w:name="Normal Indent"/>
    <w:lsdException w:uiPriority="99" w:name="footnote text" w:locked="1"/>
    <w:lsdException w:unhideWhenUsed="0" w:uiPriority="99" w:semiHidden="0" w:name="annotation text"/>
    <w:lsdException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nhideWhenUsed="0" w:uiPriority="99" w:semiHidden="0" w:name="annotation reference"/>
    <w:lsdException w:uiPriority="99" w:name="line number" w:locked="1"/>
    <w:lsdException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nhideWhenUsed="0" w:uiPriority="0" w:semiHidden="0" w:name="List Number"/>
    <w:lsdException w:uiPriority="99" w:name="List 2" w:locked="1"/>
    <w:lsdException w:uiPriority="99" w:name="List 3" w:locked="1"/>
    <w:lsdException w:unhideWhenUsed="0" w:uiPriority="0" w:semiHidden="0" w:name="List 4"/>
    <w:lsdException w:unhideWhenUsed="0" w:uiPriority="0" w:semiHidden="0" w:name="List 5"/>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uiPriority="99" w:name="Body Text" w:locked="1"/>
    <w:lsdException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qFormat="1" w:unhideWhenUsed="0" w:uiPriority="0" w:semiHidden="0"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99" w:semiHidden="0" w:name="Emphasis"/>
    <w:lsdException w:unhideWhenUsed="0" w:uiPriority="99" w:semiHidden="0" w:name="Document Map"/>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uiPriority="99" w:name="Normal Table"/>
    <w:lsdException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nhideWhenUsed="0" w:uiPriority="99" w:semiHidden="0" w:name="Table Colorful 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nhideWhenUsed="0" w:uiPriority="99" w:semiHidden="0" w:name="Table List 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39" w:semiHidden="0" w:name="Table Grid"/>
    <w:lsdException w:qFormat="1" w:unhideWhenUsed="0" w:uiPriority="99"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99" w:semiHidden="0" w:name="Medium List 2 Accent 1"/>
    <w:lsdException w:qFormat="1" w:unhideWhenUsed="0" w:uiPriority="99" w:semiHidden="0" w:name="Medium Grid 1 Accent 1"/>
    <w:lsdException w:unhideWhenUsed="0" w:uiPriority="99" w:semiHidden="0" w:name="Medium Grid 2 Accent 1"/>
    <w:lsdException w:qFormat="1" w:unhideWhenUsed="0" w:uiPriority="99" w:semiHidden="0" w:name="Medium Grid 3 Accent 1"/>
    <w:lsdException w:unhideWhenUsed="0" w:uiPriority="99" w:semiHidden="0" w:name="Dark List Accent 1"/>
    <w:lsdException w:unhideWhenUsed="0" w:uiPriority="99" w:semiHidden="0" w:name="Colorful Shading Accent 1"/>
    <w:lsdException w:unhideWhenUsed="0" w:uiPriority="72" w:semiHidden="0" w:name="Colorful List Accent 1"/>
    <w:lsdException w:qFormat="1" w:unhideWhenUsed="0" w:uiPriority="99"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9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99"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80" w:lineRule="exact"/>
      <w:ind w:firstLine="200" w:firstLineChars="20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link w:val="49"/>
    <w:qFormat/>
    <w:uiPriority w:val="9"/>
    <w:pPr>
      <w:keepNext/>
      <w:keepLines/>
      <w:ind w:firstLine="0" w:firstLineChars="0"/>
      <w:jc w:val="center"/>
      <w:outlineLvl w:val="0"/>
    </w:pPr>
    <w:rPr>
      <w:rFonts w:eastAsia="黑体"/>
      <w:bCs/>
      <w:kern w:val="44"/>
      <w:sz w:val="36"/>
      <w:szCs w:val="44"/>
    </w:rPr>
  </w:style>
  <w:style w:type="paragraph" w:styleId="3">
    <w:name w:val="heading 2"/>
    <w:basedOn w:val="1"/>
    <w:next w:val="1"/>
    <w:link w:val="50"/>
    <w:qFormat/>
    <w:uiPriority w:val="9"/>
    <w:pPr>
      <w:keepNext/>
      <w:keepLines/>
      <w:spacing w:line="900" w:lineRule="exact"/>
      <w:ind w:firstLine="0" w:firstLineChars="0"/>
      <w:jc w:val="center"/>
      <w:outlineLvl w:val="1"/>
    </w:pPr>
    <w:rPr>
      <w:rFonts w:eastAsia="黑体"/>
      <w:bCs/>
      <w:szCs w:val="32"/>
    </w:rPr>
  </w:style>
  <w:style w:type="paragraph" w:styleId="4">
    <w:name w:val="heading 3"/>
    <w:basedOn w:val="1"/>
    <w:next w:val="1"/>
    <w:link w:val="51"/>
    <w:qFormat/>
    <w:uiPriority w:val="99"/>
    <w:pPr>
      <w:keepNext/>
      <w:keepLines/>
      <w:outlineLvl w:val="2"/>
    </w:pPr>
    <w:rPr>
      <w:rFonts w:eastAsia="楷体_GB2312"/>
      <w:bCs/>
      <w:szCs w:val="32"/>
    </w:rPr>
  </w:style>
  <w:style w:type="character" w:default="1" w:styleId="42">
    <w:name w:val="Default Paragraph Font"/>
    <w:semiHidden/>
    <w:unhideWhenUsed/>
    <w:qFormat/>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5">
    <w:name w:val="toc 7"/>
    <w:basedOn w:val="1"/>
    <w:next w:val="1"/>
    <w:unhideWhenUsed/>
    <w:locked/>
    <w:uiPriority w:val="39"/>
    <w:pPr>
      <w:ind w:left="1920"/>
      <w:jc w:val="left"/>
    </w:pPr>
    <w:rPr>
      <w:rFonts w:asciiTheme="minorHAnsi" w:hAnsiTheme="minorHAnsi" w:cstheme="minorHAnsi"/>
      <w:sz w:val="18"/>
      <w:szCs w:val="18"/>
    </w:rPr>
  </w:style>
  <w:style w:type="paragraph" w:styleId="6">
    <w:name w:val="Normal Indent"/>
    <w:basedOn w:val="1"/>
    <w:link w:val="60"/>
    <w:uiPriority w:val="99"/>
    <w:pPr>
      <w:ind w:firstLine="567"/>
    </w:pPr>
  </w:style>
  <w:style w:type="paragraph" w:styleId="7">
    <w:name w:val="Document Map"/>
    <w:basedOn w:val="1"/>
    <w:link w:val="54"/>
    <w:uiPriority w:val="99"/>
    <w:rPr>
      <w:rFonts w:ascii="宋体"/>
      <w:sz w:val="18"/>
      <w:szCs w:val="18"/>
    </w:rPr>
  </w:style>
  <w:style w:type="paragraph" w:styleId="8">
    <w:name w:val="annotation text"/>
    <w:basedOn w:val="1"/>
    <w:link w:val="52"/>
    <w:uiPriority w:val="99"/>
    <w:pPr>
      <w:jc w:val="left"/>
    </w:pPr>
  </w:style>
  <w:style w:type="paragraph" w:styleId="9">
    <w:name w:val="Body Text"/>
    <w:basedOn w:val="1"/>
    <w:link w:val="81"/>
    <w:semiHidden/>
    <w:unhideWhenUsed/>
    <w:locked/>
    <w:uiPriority w:val="99"/>
    <w:pPr>
      <w:spacing w:after="120"/>
    </w:pPr>
  </w:style>
  <w:style w:type="paragraph" w:styleId="10">
    <w:name w:val="Body Text Indent"/>
    <w:basedOn w:val="1"/>
    <w:link w:val="55"/>
    <w:uiPriority w:val="99"/>
    <w:pPr>
      <w:spacing w:after="120"/>
      <w:ind w:left="420" w:leftChars="200"/>
    </w:pPr>
  </w:style>
  <w:style w:type="paragraph" w:styleId="11">
    <w:name w:val="toc 5"/>
    <w:basedOn w:val="1"/>
    <w:next w:val="1"/>
    <w:unhideWhenUsed/>
    <w:qFormat/>
    <w:locked/>
    <w:uiPriority w:val="39"/>
    <w:pPr>
      <w:ind w:left="1280"/>
      <w:jc w:val="left"/>
    </w:pPr>
    <w:rPr>
      <w:rFonts w:asciiTheme="minorHAnsi" w:hAnsiTheme="minorHAnsi" w:cstheme="minorHAnsi"/>
      <w:sz w:val="18"/>
      <w:szCs w:val="18"/>
    </w:rPr>
  </w:style>
  <w:style w:type="paragraph" w:styleId="12">
    <w:name w:val="toc 3"/>
    <w:basedOn w:val="1"/>
    <w:next w:val="1"/>
    <w:unhideWhenUsed/>
    <w:locked/>
    <w:uiPriority w:val="39"/>
    <w:pPr>
      <w:spacing w:line="240" w:lineRule="auto"/>
      <w:ind w:left="641"/>
      <w:jc w:val="left"/>
    </w:pPr>
    <w:rPr>
      <w:rFonts w:asciiTheme="minorHAnsi" w:hAnsiTheme="minorHAnsi" w:cstheme="minorHAnsi"/>
      <w:iCs/>
      <w:sz w:val="28"/>
      <w:szCs w:val="20"/>
    </w:rPr>
  </w:style>
  <w:style w:type="paragraph" w:styleId="13">
    <w:name w:val="toc 8"/>
    <w:basedOn w:val="1"/>
    <w:next w:val="1"/>
    <w:unhideWhenUsed/>
    <w:locked/>
    <w:uiPriority w:val="39"/>
    <w:pPr>
      <w:ind w:left="2240"/>
      <w:jc w:val="left"/>
    </w:pPr>
    <w:rPr>
      <w:rFonts w:asciiTheme="minorHAnsi" w:hAnsiTheme="minorHAnsi" w:cstheme="minorHAnsi"/>
      <w:sz w:val="18"/>
      <w:szCs w:val="18"/>
    </w:rPr>
  </w:style>
  <w:style w:type="paragraph" w:styleId="14">
    <w:name w:val="Date"/>
    <w:basedOn w:val="1"/>
    <w:next w:val="1"/>
    <w:link w:val="80"/>
    <w:qFormat/>
    <w:uiPriority w:val="0"/>
    <w:pPr>
      <w:ind w:left="100" w:leftChars="2500"/>
    </w:pPr>
  </w:style>
  <w:style w:type="paragraph" w:styleId="15">
    <w:name w:val="Balloon Text"/>
    <w:basedOn w:val="1"/>
    <w:link w:val="56"/>
    <w:semiHidden/>
    <w:qFormat/>
    <w:uiPriority w:val="99"/>
    <w:rPr>
      <w:sz w:val="18"/>
      <w:szCs w:val="18"/>
    </w:rPr>
  </w:style>
  <w:style w:type="paragraph" w:styleId="16">
    <w:name w:val="footer"/>
    <w:basedOn w:val="1"/>
    <w:link w:val="57"/>
    <w:qFormat/>
    <w:uiPriority w:val="99"/>
    <w:pPr>
      <w:tabs>
        <w:tab w:val="center" w:pos="4153"/>
        <w:tab w:val="right" w:pos="8306"/>
      </w:tabs>
      <w:snapToGrid w:val="0"/>
      <w:jc w:val="left"/>
    </w:pPr>
    <w:rPr>
      <w:sz w:val="18"/>
      <w:szCs w:val="18"/>
    </w:rPr>
  </w:style>
  <w:style w:type="paragraph" w:styleId="17">
    <w:name w:val="header"/>
    <w:basedOn w:val="1"/>
    <w:link w:val="58"/>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iPriority w:val="39"/>
    <w:pPr>
      <w:spacing w:line="240" w:lineRule="auto"/>
      <w:ind w:firstLine="0" w:firstLineChars="0"/>
      <w:jc w:val="left"/>
    </w:pPr>
    <w:rPr>
      <w:rFonts w:eastAsia="黑体" w:asciiTheme="minorHAnsi" w:hAnsiTheme="minorHAnsi" w:cstheme="minorHAnsi"/>
      <w:bCs/>
      <w:caps/>
      <w:sz w:val="30"/>
      <w:szCs w:val="20"/>
    </w:rPr>
  </w:style>
  <w:style w:type="paragraph" w:styleId="19">
    <w:name w:val="toc 4"/>
    <w:basedOn w:val="1"/>
    <w:next w:val="1"/>
    <w:unhideWhenUsed/>
    <w:qFormat/>
    <w:locked/>
    <w:uiPriority w:val="39"/>
    <w:pPr>
      <w:ind w:left="960"/>
      <w:jc w:val="left"/>
    </w:pPr>
    <w:rPr>
      <w:rFonts w:asciiTheme="minorHAnsi" w:hAnsiTheme="minorHAnsi" w:cstheme="minorHAnsi"/>
      <w:sz w:val="18"/>
      <w:szCs w:val="18"/>
    </w:rPr>
  </w:style>
  <w:style w:type="paragraph" w:styleId="20">
    <w:name w:val="Subtitle"/>
    <w:basedOn w:val="1"/>
    <w:next w:val="1"/>
    <w:link w:val="59"/>
    <w:qFormat/>
    <w:uiPriority w:val="99"/>
    <w:pPr>
      <w:spacing w:before="240" w:after="60" w:line="312" w:lineRule="auto"/>
      <w:jc w:val="center"/>
      <w:outlineLvl w:val="1"/>
    </w:pPr>
    <w:rPr>
      <w:rFonts w:ascii="Cambria" w:hAnsi="Cambria"/>
      <w:b/>
      <w:bCs/>
      <w:kern w:val="28"/>
      <w:szCs w:val="32"/>
    </w:rPr>
  </w:style>
  <w:style w:type="paragraph" w:styleId="21">
    <w:name w:val="footnote text"/>
    <w:basedOn w:val="1"/>
    <w:link w:val="83"/>
    <w:semiHidden/>
    <w:unhideWhenUsed/>
    <w:locked/>
    <w:uiPriority w:val="99"/>
    <w:pPr>
      <w:snapToGrid w:val="0"/>
      <w:jc w:val="left"/>
    </w:pPr>
    <w:rPr>
      <w:sz w:val="18"/>
      <w:szCs w:val="18"/>
    </w:rPr>
  </w:style>
  <w:style w:type="paragraph" w:styleId="22">
    <w:name w:val="toc 6"/>
    <w:basedOn w:val="1"/>
    <w:next w:val="1"/>
    <w:unhideWhenUsed/>
    <w:qFormat/>
    <w:locked/>
    <w:uiPriority w:val="39"/>
    <w:pPr>
      <w:ind w:left="1600"/>
      <w:jc w:val="left"/>
    </w:pPr>
    <w:rPr>
      <w:rFonts w:asciiTheme="minorHAnsi" w:hAnsiTheme="minorHAnsi" w:cstheme="minorHAnsi"/>
      <w:sz w:val="18"/>
      <w:szCs w:val="18"/>
    </w:rPr>
  </w:style>
  <w:style w:type="paragraph" w:styleId="23">
    <w:name w:val="Body Text Indent 3"/>
    <w:basedOn w:val="1"/>
    <w:link w:val="78"/>
    <w:qFormat/>
    <w:locked/>
    <w:uiPriority w:val="0"/>
    <w:pPr>
      <w:spacing w:after="120"/>
      <w:ind w:left="420" w:leftChars="200"/>
    </w:pPr>
    <w:rPr>
      <w:sz w:val="16"/>
      <w:szCs w:val="16"/>
    </w:rPr>
  </w:style>
  <w:style w:type="paragraph" w:styleId="24">
    <w:name w:val="toc 2"/>
    <w:basedOn w:val="1"/>
    <w:next w:val="1"/>
    <w:qFormat/>
    <w:uiPriority w:val="39"/>
    <w:pPr>
      <w:spacing w:line="240" w:lineRule="auto"/>
      <w:jc w:val="left"/>
    </w:pPr>
    <w:rPr>
      <w:rFonts w:asciiTheme="minorHAnsi" w:hAnsiTheme="minorHAnsi" w:cstheme="minorHAnsi"/>
      <w:smallCaps/>
      <w:sz w:val="28"/>
      <w:szCs w:val="20"/>
    </w:rPr>
  </w:style>
  <w:style w:type="paragraph" w:styleId="25">
    <w:name w:val="toc 9"/>
    <w:basedOn w:val="1"/>
    <w:next w:val="1"/>
    <w:unhideWhenUsed/>
    <w:locked/>
    <w:uiPriority w:val="39"/>
    <w:pPr>
      <w:ind w:left="2560"/>
      <w:jc w:val="left"/>
    </w:pPr>
    <w:rPr>
      <w:rFonts w:asciiTheme="minorHAnsi" w:hAnsiTheme="minorHAnsi" w:cstheme="minorHAnsi"/>
      <w:sz w:val="18"/>
      <w:szCs w:val="18"/>
    </w:rPr>
  </w:style>
  <w:style w:type="paragraph" w:styleId="26">
    <w:name w:val="Normal (Web)"/>
    <w:basedOn w:val="1"/>
    <w:qFormat/>
    <w:uiPriority w:val="99"/>
    <w:rPr>
      <w:sz w:val="24"/>
    </w:rPr>
  </w:style>
  <w:style w:type="paragraph" w:styleId="27">
    <w:name w:val="annotation subject"/>
    <w:basedOn w:val="8"/>
    <w:next w:val="8"/>
    <w:link w:val="53"/>
    <w:uiPriority w:val="99"/>
    <w:rPr>
      <w:rFonts w:eastAsia="宋体"/>
      <w:b/>
      <w:bCs/>
      <w:sz w:val="21"/>
    </w:rPr>
  </w:style>
  <w:style w:type="table" w:styleId="29">
    <w:name w:val="Table Grid"/>
    <w:basedOn w:val="28"/>
    <w:qFormat/>
    <w:uiPriority w:val="39"/>
    <w:rPr>
      <w:rFonts w:ascii="等线" w:hAnsi="等线" w:eastAsia="等线"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0">
    <w:name w:val="Table Theme"/>
    <w:basedOn w:val="2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1">
    <w:name w:val="Table Colorful 1"/>
    <w:basedOn w:val="28"/>
    <w:uiPriority w:val="99"/>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rFonts w:cs="Times New Roman"/>
        <w:b/>
        <w:bCs/>
        <w:i/>
        <w:iCs/>
      </w:rPr>
      <w:tblPr/>
      <w:tcPr>
        <w:tcBorders>
          <w:tl2br w:val="nil"/>
          <w:tr2bl w:val="nil"/>
        </w:tcBorders>
        <w:shd w:val="solid" w:color="000000" w:fill="FFFFFF"/>
      </w:tcPr>
    </w:tblStylePr>
    <w:tblStylePr w:type="firstCol">
      <w:rPr>
        <w:rFonts w:cs="Times New Roman"/>
        <w:b/>
        <w:bCs/>
        <w:i/>
        <w:iCs/>
      </w:rPr>
      <w:tblPr/>
      <w:tcPr>
        <w:tcBorders>
          <w:tl2br w:val="nil"/>
          <w:tr2bl w:val="nil"/>
        </w:tcBorders>
        <w:shd w:val="solid" w:color="000080" w:fill="FFFFFF"/>
      </w:tcPr>
    </w:tblStylePr>
    <w:tblStylePr w:type="nwCell">
      <w:rPr>
        <w:rFonts w:cs="Times New Roman"/>
      </w:rPr>
      <w:tblPr/>
      <w:tcPr>
        <w:tcBorders>
          <w:tl2br w:val="nil"/>
          <w:tr2bl w:val="nil"/>
        </w:tcBorders>
        <w:shd w:val="solid" w:color="000000" w:fill="FFFFFF"/>
      </w:tcPr>
    </w:tblStylePr>
    <w:tblStylePr w:type="swCell">
      <w:rPr>
        <w:rFonts w:cs="Times New Roman"/>
        <w:b/>
        <w:bCs/>
        <w:i w:val="0"/>
        <w:iCs w:val="0"/>
      </w:rPr>
      <w:tblPr/>
      <w:tcPr>
        <w:tcBorders>
          <w:tl2br w:val="nil"/>
          <w:tr2bl w:val="nil"/>
        </w:tcBorders>
      </w:tcPr>
    </w:tblStylePr>
  </w:style>
  <w:style w:type="table" w:styleId="32">
    <w:name w:val="Table List 1"/>
    <w:basedOn w:val="28"/>
    <w:uiPriority w:val="99"/>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rFonts w:cs="Times New Roman"/>
        <w:b/>
        <w:bCs/>
        <w:i/>
        <w:iCs/>
        <w:color w:val="800000"/>
      </w:rPr>
      <w:tblPr/>
      <w:tcPr>
        <w:tcBorders>
          <w:bottom w:val="single" w:color="000000" w:sz="6" w:space="0"/>
          <w:tl2br w:val="nil"/>
          <w:tr2bl w:val="nil"/>
        </w:tcBorders>
        <w:shd w:val="solid" w:color="C0C0C0" w:fill="FFFFFF"/>
      </w:tcPr>
    </w:tblStylePr>
    <w:tblStylePr w:type="lastRow">
      <w:rPr>
        <w:rFonts w:cs="Times New Roman"/>
      </w:rPr>
      <w:tblPr/>
      <w:tcPr>
        <w:tcBorders>
          <w:top w:val="single" w:color="000000" w:sz="6" w:space="0"/>
          <w:tl2br w:val="nil"/>
          <w:tr2bl w:val="nil"/>
        </w:tcBorders>
      </w:tcPr>
    </w:tblStylePr>
    <w:tblStylePr w:type="band1Horz">
      <w:rPr>
        <w:rFonts w:cs="Times New Roman"/>
        <w:color w:val="auto"/>
      </w:rPr>
      <w:tblPr/>
      <w:tcPr>
        <w:tcBorders>
          <w:tl2br w:val="nil"/>
          <w:tr2bl w:val="nil"/>
        </w:tcBorders>
        <w:shd w:val="solid" w:color="C0C0C0" w:fill="FFFFFF"/>
      </w:tcPr>
    </w:tblStylePr>
    <w:tblStylePr w:type="band2Horz">
      <w:rPr>
        <w:rFonts w:cs="Times New Roman"/>
        <w:color w:val="auto"/>
      </w:rPr>
      <w:tblPr/>
      <w:tcPr>
        <w:tcBorders>
          <w:tl2br w:val="nil"/>
          <w:tr2bl w:val="nil"/>
        </w:tcBorders>
      </w:tcPr>
    </w:tblStylePr>
    <w:tblStylePr w:type="swCell">
      <w:rPr>
        <w:rFonts w:cs="Times New Roman"/>
        <w:b/>
        <w:bCs/>
      </w:rPr>
      <w:tblPr/>
      <w:tcPr>
        <w:tcBorders>
          <w:tl2br w:val="nil"/>
          <w:tr2bl w:val="nil"/>
        </w:tcBorders>
      </w:tcPr>
    </w:tblStylePr>
  </w:style>
  <w:style w:type="table" w:styleId="33">
    <w:name w:val="Light Shading Accent 5"/>
    <w:basedOn w:val="28"/>
    <w:uiPriority w:val="99"/>
    <w:rPr>
      <w:color w:val="31849B"/>
    </w:rPr>
    <w:tblPr>
      <w:tblBorders>
        <w:top w:val="single" w:color="4BACC6" w:sz="8" w:space="0"/>
        <w:bottom w:val="single" w:color="4BACC6" w:sz="8" w:space="0"/>
      </w:tblBorders>
    </w:tblPr>
    <w:tblStylePr w:type="firstRow">
      <w:pPr>
        <w:spacing w:before="0" w:after="0"/>
      </w:pPr>
      <w:rPr>
        <w:rFonts w:cs="Times New Roman"/>
        <w:b/>
        <w:bCs/>
      </w:rPr>
      <w:tblPr/>
      <w:tcPr>
        <w:tcBorders>
          <w:top w:val="single" w:color="4BACC6" w:sz="8" w:space="0"/>
          <w:left w:val="nil"/>
          <w:bottom w:val="single" w:color="4BACC6" w:sz="8" w:space="0"/>
          <w:right w:val="nil"/>
          <w:insideH w:val="nil"/>
          <w:insideV w:val="nil"/>
        </w:tcBorders>
      </w:tcPr>
    </w:tblStylePr>
    <w:tblStylePr w:type="lastRow">
      <w:pPr>
        <w:spacing w:before="0" w:after="0"/>
      </w:pPr>
      <w:rPr>
        <w:rFonts w:cs="Times New Roman"/>
        <w:b/>
        <w:bCs/>
      </w:rPr>
      <w:tblPr/>
      <w:tcPr>
        <w:tcBorders>
          <w:top w:val="single" w:color="4BACC6" w:sz="8" w:space="0"/>
          <w:left w:val="nil"/>
          <w:bottom w:val="single" w:color="4BACC6" w:sz="8" w:space="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34">
    <w:name w:val="Medium List 2 Accent 1"/>
    <w:basedOn w:val="28"/>
    <w:uiPriority w:val="99"/>
    <w:rPr>
      <w:rFonts w:ascii="Cambria" w:hAnsi="Cambria"/>
      <w:color w:val="000000"/>
    </w:rPr>
    <w:tblPr>
      <w:tblBorders>
        <w:top w:val="single" w:color="4F81BD" w:sz="8" w:space="0"/>
        <w:left w:val="single" w:color="4F81BD" w:sz="8" w:space="0"/>
        <w:bottom w:val="single" w:color="4F81BD" w:sz="8" w:space="0"/>
        <w:right w:val="single" w:color="4F81BD" w:sz="8" w:space="0"/>
      </w:tblBorders>
    </w:tblPr>
    <w:tblStylePr w:type="firstRow">
      <w:rPr>
        <w:rFonts w:cs="Times New Roman"/>
        <w:sz w:val="24"/>
        <w:szCs w:val="24"/>
      </w:rPr>
      <w:tblPr/>
      <w:tcPr>
        <w:tcBorders>
          <w:top w:val="nil"/>
          <w:left w:val="nil"/>
          <w:bottom w:val="single" w:color="4F81BD" w:sz="24" w:space="0"/>
          <w:right w:val="nil"/>
          <w:insideH w:val="nil"/>
          <w:insideV w:val="nil"/>
        </w:tcBorders>
        <w:shd w:val="clear" w:color="auto" w:fill="FFFFFF"/>
      </w:tcPr>
    </w:tblStylePr>
    <w:tblStylePr w:type="lastRow">
      <w:rPr>
        <w:rFonts w:cs="Times New Roman"/>
      </w:rPr>
      <w:tblPr/>
      <w:tcPr>
        <w:tcBorders>
          <w:top w:val="single" w:color="4F81BD" w:sz="8" w:space="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color="4F81BD" w:sz="8" w:space="0"/>
          <w:insideH w:val="nil"/>
          <w:insideV w:val="nil"/>
        </w:tcBorders>
        <w:shd w:val="clear" w:color="auto" w:fill="FFFFFF"/>
      </w:tcPr>
    </w:tblStylePr>
    <w:tblStylePr w:type="lastCol">
      <w:rPr>
        <w:rFonts w:cs="Times New Roman"/>
      </w:rPr>
      <w:tblPr/>
      <w:tcPr>
        <w:tcBorders>
          <w:top w:val="nil"/>
          <w:left w:val="single" w:color="4F81BD" w:sz="8" w:space="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35">
    <w:name w:val="Medium Grid 1 Accent 1"/>
    <w:basedOn w:val="28"/>
    <w:qFormat/>
    <w:uiPriority w:val="99"/>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rFonts w:cs="Times New Roman"/>
        <w:b/>
        <w:bCs/>
      </w:rPr>
    </w:tblStylePr>
    <w:tblStylePr w:type="lastRow">
      <w:rPr>
        <w:rFonts w:cs="Times New Roman"/>
        <w:b/>
        <w:bCs/>
      </w:rPr>
      <w:tblPr/>
      <w:tcPr>
        <w:tcBorders>
          <w:top w:val="single" w:color="7BA0CD" w:sz="18" w:space="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36">
    <w:name w:val="Medium Grid 2 Accent 1"/>
    <w:basedOn w:val="28"/>
    <w:uiPriority w:val="99"/>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color="000000" w:sz="12" w:space="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insideV w:val="single" w:sz="6" w:space="0"/>
        </w:tcBorders>
        <w:shd w:val="clear" w:color="auto" w:fill="A7BFDE"/>
      </w:tcPr>
    </w:tblStylePr>
    <w:tblStylePr w:type="nwCell">
      <w:rPr>
        <w:rFonts w:cs="Times New Roman"/>
      </w:rPr>
      <w:tblPr/>
      <w:tcPr>
        <w:shd w:val="clear" w:color="auto" w:fill="FFFFFF"/>
      </w:tcPr>
    </w:tblStylePr>
  </w:style>
  <w:style w:type="table" w:styleId="37">
    <w:name w:val="Medium Grid 3 Accent 1"/>
    <w:basedOn w:val="28"/>
    <w:qFormat/>
    <w:uiPriority w:val="9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rFonts w:cs="Times New Roman"/>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nil"/>
          <w:tl2br w:val="nil"/>
          <w:tr2bl w:val="nil"/>
        </w:tcBorders>
        <w:shd w:val="clear" w:color="auto" w:fill="4F81BD"/>
      </w:tcPr>
    </w:tblStylePr>
    <w:tblStylePr w:type="lastRow">
      <w:rPr>
        <w:rFonts w:cs="Times New Roman"/>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rFonts w:cs="Times New Roman"/>
        <w:b/>
        <w:bCs/>
        <w:i w:val="0"/>
        <w:iCs w:val="0"/>
        <w:color w:val="FFFFFF"/>
      </w:rPr>
      <w:tblPr/>
      <w:tcPr>
        <w:tcBorders>
          <w:top w:val="nil"/>
          <w:left w:val="nil"/>
          <w:bottom w:val="single" w:color="FFFFFF" w:sz="8" w:space="0"/>
          <w:right w:val="single" w:color="FFFFFF" w:sz="24" w:space="0"/>
          <w:insideH w:val="nil"/>
          <w:insideV w:val="nil"/>
          <w:tl2br w:val="nil"/>
          <w:tr2bl w:val="nil"/>
        </w:tcBorders>
        <w:shd w:val="clear" w:color="auto" w:fill="4F81BD"/>
      </w:tcPr>
    </w:tblStylePr>
    <w:tblStylePr w:type="lastCol">
      <w:rPr>
        <w:rFonts w:cs="Times New Roman"/>
        <w:b/>
        <w:bCs/>
        <w:i w:val="0"/>
        <w:iCs w:val="0"/>
        <w:color w:val="FFFFFF"/>
      </w:rPr>
      <w:tblPr/>
      <w:tcPr>
        <w:tcBorders>
          <w:top w:val="nil"/>
          <w:left w:val="nil"/>
          <w:bottom w:val="single" w:color="FFFFFF" w:sz="24" w:space="0"/>
          <w:right w:val="nil"/>
          <w:insideH w:val="nil"/>
          <w:insideV w:val="nil"/>
          <w:tl2br w:val="nil"/>
          <w:tr2bl w:val="nil"/>
        </w:tcBorders>
        <w:shd w:val="clear" w:color="auto" w:fill="4F81BD"/>
      </w:tcPr>
    </w:tblStylePr>
    <w:tblStylePr w:type="band1Vert">
      <w:rPr>
        <w:rFonts w:cs="Times New Roman"/>
      </w:rPr>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rPr>
        <w:rFonts w:cs="Times New Roman"/>
      </w:rPr>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styleId="38">
    <w:name w:val="Medium Grid 3 Accent 3"/>
    <w:basedOn w:val="28"/>
    <w:qFormat/>
    <w:uiPriority w:val="9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rFonts w:cs="Times New Roman"/>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nil"/>
          <w:tl2br w:val="nil"/>
          <w:tr2bl w:val="nil"/>
        </w:tcBorders>
        <w:shd w:val="clear" w:color="auto" w:fill="9BBB59"/>
      </w:tcPr>
    </w:tblStylePr>
    <w:tblStylePr w:type="lastRow">
      <w:rPr>
        <w:rFonts w:cs="Times New Roman"/>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9BBB59"/>
      </w:tcPr>
    </w:tblStylePr>
    <w:tblStylePr w:type="firstCol">
      <w:rPr>
        <w:rFonts w:cs="Times New Roman"/>
        <w:b/>
        <w:bCs/>
        <w:i w:val="0"/>
        <w:iCs w:val="0"/>
        <w:color w:val="FFFFFF"/>
      </w:rPr>
      <w:tblPr/>
      <w:tcPr>
        <w:tcBorders>
          <w:top w:val="nil"/>
          <w:left w:val="nil"/>
          <w:bottom w:val="single" w:color="FFFFFF" w:sz="8" w:space="0"/>
          <w:right w:val="single" w:color="FFFFFF" w:sz="24" w:space="0"/>
          <w:insideH w:val="nil"/>
          <w:insideV w:val="nil"/>
          <w:tl2br w:val="nil"/>
          <w:tr2bl w:val="nil"/>
        </w:tcBorders>
        <w:shd w:val="clear" w:color="auto" w:fill="9BBB59"/>
      </w:tcPr>
    </w:tblStylePr>
    <w:tblStylePr w:type="lastCol">
      <w:rPr>
        <w:rFonts w:cs="Times New Roman"/>
        <w:b/>
        <w:bCs/>
        <w:i w:val="0"/>
        <w:iCs w:val="0"/>
        <w:color w:val="FFFFFF"/>
      </w:rPr>
      <w:tblPr/>
      <w:tcPr>
        <w:tcBorders>
          <w:top w:val="nil"/>
          <w:left w:val="nil"/>
          <w:bottom w:val="single" w:color="FFFFFF" w:sz="24" w:space="0"/>
          <w:right w:val="nil"/>
          <w:insideH w:val="nil"/>
          <w:insideV w:val="nil"/>
          <w:tl2br w:val="nil"/>
          <w:tr2bl w:val="nil"/>
        </w:tcBorders>
        <w:shd w:val="clear" w:color="auto" w:fill="9BBB59"/>
      </w:tcPr>
    </w:tblStylePr>
    <w:tblStylePr w:type="band1Vert">
      <w:rPr>
        <w:rFonts w:cs="Times New Roman"/>
      </w:rPr>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CDDDAC"/>
      </w:tcPr>
    </w:tblStylePr>
    <w:tblStylePr w:type="band1Horz">
      <w:rPr>
        <w:rFonts w:cs="Times New Roman"/>
      </w:rPr>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CDDDAC"/>
      </w:tcPr>
    </w:tblStylePr>
  </w:style>
  <w:style w:type="table" w:styleId="39">
    <w:name w:val="Dark List Accent 1"/>
    <w:basedOn w:val="28"/>
    <w:uiPriority w:val="99"/>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color="FFFFFF" w:sz="18" w:space="0"/>
          <w:right w:val="nil"/>
          <w:insideH w:val="nil"/>
          <w:insideV w:val="nil"/>
        </w:tcBorders>
        <w:shd w:val="clear" w:color="auto" w:fill="000000"/>
      </w:tcPr>
    </w:tblStylePr>
    <w:tblStylePr w:type="lastRow">
      <w:rPr>
        <w:rFonts w:cs="Times New Roman"/>
      </w:rPr>
      <w:tblPr/>
      <w:tcPr>
        <w:tcBorders>
          <w:top w:val="single" w:color="FFFFFF" w:sz="18" w:space="0"/>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color="FFFFFF" w:sz="18" w:space="0"/>
          <w:insideH w:val="nil"/>
          <w:insideV w:val="nil"/>
        </w:tcBorders>
        <w:shd w:val="clear" w:color="auto" w:fill="365F91"/>
      </w:tcPr>
    </w:tblStylePr>
    <w:tblStylePr w:type="lastCol">
      <w:rPr>
        <w:rFonts w:cs="Times New Roman"/>
      </w:rPr>
      <w:tblPr/>
      <w:tcPr>
        <w:tcBorders>
          <w:top w:val="nil"/>
          <w:left w:val="single" w:color="FFFFFF" w:sz="18" w:space="0"/>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40">
    <w:name w:val="Colorful Shading Accent 1"/>
    <w:basedOn w:val="28"/>
    <w:uiPriority w:val="99"/>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rFonts w:cs="Times New Roman"/>
        <w:b/>
        <w:bCs/>
      </w:rPr>
      <w:tblPr/>
      <w:tcPr>
        <w:tcBorders>
          <w:top w:val="nil"/>
          <w:left w:val="nil"/>
          <w:bottom w:val="single" w:color="C0504D" w:sz="24" w:space="0"/>
          <w:right w:val="nil"/>
          <w:insideH w:val="nil"/>
          <w:insideV w:val="nil"/>
        </w:tcBorders>
        <w:shd w:val="clear" w:color="auto" w:fill="FFFFFF"/>
      </w:tcPr>
    </w:tblStylePr>
    <w:tblStylePr w:type="lastRow">
      <w:rPr>
        <w:rFonts w:cs="Times New Roman"/>
        <w:b/>
        <w:bCs/>
        <w:color w:val="FFFFFF"/>
      </w:rPr>
      <w:tblPr/>
      <w:tcPr>
        <w:tcBorders>
          <w:top w:val="single" w:color="FFFFFF" w:sz="6" w:space="0"/>
        </w:tcBorders>
        <w:shd w:val="clear" w:color="auto" w:fill="2C4C74"/>
      </w:tcPr>
    </w:tblStylePr>
    <w:tblStylePr w:type="firstCol">
      <w:rPr>
        <w:rFonts w:cs="Times New Roman"/>
        <w:color w:val="FFFFFF"/>
      </w:rPr>
      <w:tblPr/>
      <w:tcPr>
        <w:tcBorders>
          <w:top w:val="nil"/>
          <w:left w:val="nil"/>
          <w:bottom w:val="nil"/>
          <w:right w:val="nil"/>
          <w:insideH w:val="single" w:sz="4" w:space="0"/>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41">
    <w:name w:val="Colorful Grid Accent 1"/>
    <w:basedOn w:val="28"/>
    <w:qFormat/>
    <w:uiPriority w:val="99"/>
    <w:rPr>
      <w:color w:val="000000"/>
    </w:rPr>
    <w:tblPr>
      <w:tblBorders>
        <w:insideH w:val="single" w:color="FFFFFF" w:sz="4" w:space="0"/>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character" w:styleId="43">
    <w:name w:val="Strong"/>
    <w:basedOn w:val="42"/>
    <w:qFormat/>
    <w:uiPriority w:val="99"/>
    <w:rPr>
      <w:rFonts w:cs="Times New Roman"/>
      <w:b/>
      <w:bCs/>
    </w:rPr>
  </w:style>
  <w:style w:type="character" w:styleId="44">
    <w:name w:val="page number"/>
    <w:basedOn w:val="42"/>
    <w:uiPriority w:val="99"/>
    <w:rPr>
      <w:rFonts w:cs="Times New Roman"/>
    </w:rPr>
  </w:style>
  <w:style w:type="character" w:styleId="45">
    <w:name w:val="Emphasis"/>
    <w:basedOn w:val="42"/>
    <w:qFormat/>
    <w:uiPriority w:val="99"/>
    <w:rPr>
      <w:rFonts w:cs="Times New Roman"/>
      <w:color w:val="C60A00"/>
    </w:rPr>
  </w:style>
  <w:style w:type="character" w:styleId="46">
    <w:name w:val="Hyperlink"/>
    <w:basedOn w:val="42"/>
    <w:qFormat/>
    <w:uiPriority w:val="99"/>
    <w:rPr>
      <w:rFonts w:cs="Times New Roman"/>
      <w:color w:val="0000FF"/>
      <w:u w:val="single"/>
    </w:rPr>
  </w:style>
  <w:style w:type="character" w:styleId="47">
    <w:name w:val="annotation reference"/>
    <w:basedOn w:val="42"/>
    <w:uiPriority w:val="99"/>
    <w:rPr>
      <w:rFonts w:cs="Times New Roman"/>
      <w:sz w:val="21"/>
    </w:rPr>
  </w:style>
  <w:style w:type="character" w:styleId="48">
    <w:name w:val="footnote reference"/>
    <w:basedOn w:val="42"/>
    <w:semiHidden/>
    <w:unhideWhenUsed/>
    <w:locked/>
    <w:uiPriority w:val="99"/>
    <w:rPr>
      <w:vertAlign w:val="superscript"/>
    </w:rPr>
  </w:style>
  <w:style w:type="character" w:customStyle="1" w:styleId="49">
    <w:name w:val="标题 1 Char"/>
    <w:basedOn w:val="42"/>
    <w:link w:val="2"/>
    <w:qFormat/>
    <w:locked/>
    <w:uiPriority w:val="9"/>
    <w:rPr>
      <w:rFonts w:eastAsia="黑体"/>
      <w:bCs/>
      <w:kern w:val="44"/>
      <w:sz w:val="36"/>
      <w:szCs w:val="44"/>
    </w:rPr>
  </w:style>
  <w:style w:type="character" w:customStyle="1" w:styleId="50">
    <w:name w:val="标题 2 Char"/>
    <w:basedOn w:val="42"/>
    <w:link w:val="3"/>
    <w:qFormat/>
    <w:uiPriority w:val="9"/>
    <w:rPr>
      <w:rFonts w:eastAsia="黑体"/>
      <w:bCs/>
      <w:kern w:val="2"/>
      <w:sz w:val="32"/>
      <w:szCs w:val="32"/>
    </w:rPr>
  </w:style>
  <w:style w:type="character" w:customStyle="1" w:styleId="51">
    <w:name w:val="标题 3 Char"/>
    <w:basedOn w:val="42"/>
    <w:link w:val="4"/>
    <w:qFormat/>
    <w:uiPriority w:val="99"/>
    <w:rPr>
      <w:rFonts w:eastAsia="楷体_GB2312"/>
      <w:bCs/>
      <w:kern w:val="2"/>
      <w:sz w:val="32"/>
      <w:szCs w:val="32"/>
    </w:rPr>
  </w:style>
  <w:style w:type="character" w:customStyle="1" w:styleId="52">
    <w:name w:val="批注文字 Char"/>
    <w:basedOn w:val="42"/>
    <w:link w:val="8"/>
    <w:qFormat/>
    <w:locked/>
    <w:uiPriority w:val="99"/>
    <w:rPr>
      <w:rFonts w:eastAsia="仿宋_GB2312" w:cs="Times New Roman"/>
      <w:kern w:val="2"/>
      <w:sz w:val="24"/>
      <w:szCs w:val="24"/>
    </w:rPr>
  </w:style>
  <w:style w:type="character" w:customStyle="1" w:styleId="53">
    <w:name w:val="批注主题 Char"/>
    <w:basedOn w:val="52"/>
    <w:link w:val="27"/>
    <w:qFormat/>
    <w:locked/>
    <w:uiPriority w:val="99"/>
    <w:rPr>
      <w:rFonts w:eastAsia="仿宋_GB2312" w:cs="Times New Roman"/>
      <w:b/>
      <w:bCs/>
      <w:kern w:val="2"/>
      <w:sz w:val="24"/>
      <w:szCs w:val="24"/>
    </w:rPr>
  </w:style>
  <w:style w:type="character" w:customStyle="1" w:styleId="54">
    <w:name w:val="文档结构图 Char"/>
    <w:basedOn w:val="42"/>
    <w:link w:val="7"/>
    <w:qFormat/>
    <w:locked/>
    <w:uiPriority w:val="99"/>
    <w:rPr>
      <w:rFonts w:ascii="宋体" w:cs="Times New Roman"/>
      <w:kern w:val="2"/>
      <w:sz w:val="18"/>
      <w:szCs w:val="18"/>
    </w:rPr>
  </w:style>
  <w:style w:type="character" w:customStyle="1" w:styleId="55">
    <w:name w:val="正文文本缩进 Char"/>
    <w:basedOn w:val="42"/>
    <w:link w:val="10"/>
    <w:qFormat/>
    <w:locked/>
    <w:uiPriority w:val="99"/>
    <w:rPr>
      <w:rFonts w:cs="Times New Roman"/>
      <w:kern w:val="2"/>
      <w:sz w:val="24"/>
      <w:szCs w:val="24"/>
    </w:rPr>
  </w:style>
  <w:style w:type="character" w:customStyle="1" w:styleId="56">
    <w:name w:val="批注框文本 Char"/>
    <w:basedOn w:val="42"/>
    <w:link w:val="15"/>
    <w:semiHidden/>
    <w:qFormat/>
    <w:locked/>
    <w:uiPriority w:val="99"/>
    <w:rPr>
      <w:rFonts w:cs="Times New Roman"/>
      <w:kern w:val="2"/>
      <w:sz w:val="18"/>
      <w:szCs w:val="18"/>
    </w:rPr>
  </w:style>
  <w:style w:type="character" w:customStyle="1" w:styleId="57">
    <w:name w:val="页脚 Char"/>
    <w:basedOn w:val="42"/>
    <w:link w:val="16"/>
    <w:qFormat/>
    <w:locked/>
    <w:uiPriority w:val="99"/>
    <w:rPr>
      <w:rFonts w:cs="Times New Roman"/>
      <w:kern w:val="2"/>
      <w:sz w:val="18"/>
      <w:szCs w:val="18"/>
    </w:rPr>
  </w:style>
  <w:style w:type="character" w:customStyle="1" w:styleId="58">
    <w:name w:val="页眉 Char"/>
    <w:basedOn w:val="42"/>
    <w:link w:val="17"/>
    <w:qFormat/>
    <w:locked/>
    <w:uiPriority w:val="99"/>
    <w:rPr>
      <w:rFonts w:cs="Times New Roman"/>
      <w:kern w:val="2"/>
      <w:sz w:val="18"/>
      <w:szCs w:val="18"/>
    </w:rPr>
  </w:style>
  <w:style w:type="character" w:customStyle="1" w:styleId="59">
    <w:name w:val="副标题 Char"/>
    <w:basedOn w:val="42"/>
    <w:link w:val="20"/>
    <w:qFormat/>
    <w:locked/>
    <w:uiPriority w:val="99"/>
    <w:rPr>
      <w:rFonts w:ascii="Cambria" w:hAnsi="Cambria" w:cs="Times New Roman"/>
      <w:b/>
      <w:bCs/>
      <w:kern w:val="28"/>
      <w:sz w:val="32"/>
      <w:szCs w:val="32"/>
    </w:rPr>
  </w:style>
  <w:style w:type="character" w:customStyle="1" w:styleId="60">
    <w:name w:val="正文缩进 Char"/>
    <w:link w:val="6"/>
    <w:qFormat/>
    <w:locked/>
    <w:uiPriority w:val="99"/>
    <w:rPr>
      <w:kern w:val="2"/>
      <w:sz w:val="24"/>
    </w:rPr>
  </w:style>
  <w:style w:type="paragraph" w:customStyle="1" w:styleId="61">
    <w:name w:val="p18"/>
    <w:basedOn w:val="1"/>
    <w:qFormat/>
    <w:uiPriority w:val="99"/>
    <w:pPr>
      <w:widowControl/>
    </w:pPr>
    <w:rPr>
      <w:kern w:val="0"/>
      <w:szCs w:val="21"/>
    </w:rPr>
  </w:style>
  <w:style w:type="paragraph" w:customStyle="1" w:styleId="62">
    <w:name w:val="xl24"/>
    <w:basedOn w:val="1"/>
    <w:qFormat/>
    <w:uiPriority w:val="99"/>
    <w:pPr>
      <w:widowControl/>
      <w:spacing w:before="100" w:beforeAutospacing="1" w:after="100" w:afterAutospacing="1"/>
      <w:jc w:val="center"/>
      <w:textAlignment w:val="center"/>
    </w:pPr>
    <w:rPr>
      <w:kern w:val="0"/>
      <w:sz w:val="24"/>
    </w:rPr>
  </w:style>
  <w:style w:type="paragraph" w:customStyle="1" w:styleId="63">
    <w:name w:val="Char Char Char Char"/>
    <w:basedOn w:val="1"/>
    <w:qFormat/>
    <w:uiPriority w:val="99"/>
  </w:style>
  <w:style w:type="table" w:customStyle="1" w:styleId="64">
    <w:name w:val="浅色列表 - 强调文字颜色 11"/>
    <w:qFormat/>
    <w:uiPriority w:val="99"/>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4F81BD"/>
      </w:tcPr>
    </w:tblStylePr>
    <w:tblStylePr w:type="lastRow">
      <w:pPr>
        <w:spacing w:before="0" w:after="0"/>
      </w:pPr>
      <w:rPr>
        <w:rFonts w:cs="Times New Roman"/>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rPr>
        <w:rFonts w:cs="Times New Roman"/>
      </w:r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table" w:customStyle="1" w:styleId="65">
    <w:name w:val="中等深浅底纹 1 - 强调文字颜色 11"/>
    <w:qFormat/>
    <w:uiPriority w:val="99"/>
    <w:tblPr>
      <w:tblBorders>
        <w:top w:val="single" w:color="7BA0CD" w:sz="8" w:space="0"/>
        <w:left w:val="single" w:color="7BA0CD" w:sz="8" w:space="0"/>
        <w:bottom w:val="single" w:color="7BA0CD" w:sz="8" w:space="0"/>
        <w:right w:val="single" w:color="7BA0CD" w:sz="8" w:space="0"/>
        <w:insideH w:val="single" w:color="7BA0CD" w:sz="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7BA0CD" w:sz="8" w:space="0"/>
          <w:left w:val="single" w:color="7BA0CD" w:sz="8" w:space="0"/>
          <w:bottom w:val="single" w:color="7BA0CD" w:sz="8" w:space="0"/>
          <w:right w:val="single" w:color="7BA0CD" w:sz="8" w:space="0"/>
          <w:insideH w:val="nil"/>
          <w:insideV w:val="nil"/>
          <w:tl2br w:val="nil"/>
          <w:tr2bl w:val="nil"/>
        </w:tcBorders>
        <w:shd w:val="clear" w:color="auto" w:fill="4F81BD"/>
      </w:tcPr>
    </w:tblStylePr>
    <w:tblStylePr w:type="lastRow">
      <w:pPr>
        <w:spacing w:before="0" w:after="0"/>
      </w:pPr>
      <w:rPr>
        <w:rFonts w:cs="Times New Roman"/>
        <w:b/>
        <w:bCs/>
      </w:rPr>
      <w:tcPr>
        <w:tcBorders>
          <w:top w:val="double" w:color="7BA0CD" w:sz="6" w:space="0"/>
          <w:left w:val="single" w:color="7BA0CD" w:sz="8" w:space="0"/>
          <w:bottom w:val="single" w:color="7BA0CD" w:sz="8" w:space="0"/>
          <w:right w:val="single" w:color="7BA0CD"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D3DFEE"/>
      </w:tcPr>
    </w:tblStylePr>
    <w:tblStylePr w:type="band1Horz">
      <w:rPr>
        <w:rFonts w:cs="Times New Roman"/>
      </w:rPr>
      <w:tcPr>
        <w:shd w:val="clear" w:color="auto" w:fill="D3DFEE"/>
      </w:tcPr>
    </w:tblStylePr>
  </w:style>
  <w:style w:type="table" w:customStyle="1" w:styleId="66">
    <w:name w:val="浅色网格 - 强调文字颜色 11"/>
    <w:qFormat/>
    <w:uiPriority w:val="99"/>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
    <w:tblStylePr w:type="firstRow">
      <w:pPr>
        <w:spacing w:before="0" w:after="0"/>
      </w:pPr>
      <w:rPr>
        <w:rFonts w:ascii="Marlett" w:hAnsi="Marlett" w:eastAsia="宋体" w:cs="Times New Roman"/>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pPr>
      <w:rPr>
        <w:rFonts w:ascii="Marlett" w:hAnsi="Marlett" w:eastAsia="宋体" w:cs="Times New Roman"/>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Marlett" w:hAnsi="Marlett" w:eastAsia="宋体" w:cs="Times New Roman"/>
        <w:b/>
        <w:bCs/>
      </w:rPr>
    </w:tblStylePr>
    <w:tblStylePr w:type="lastCol">
      <w:rPr>
        <w:rFonts w:ascii="Marlett" w:hAnsi="Marlett" w:eastAsia="宋体" w:cs="Times New Roman"/>
        <w:b/>
        <w:bCs/>
      </w:rPr>
      <w:tcPr>
        <w:tcBorders>
          <w:top w:val="single" w:color="4F81BD" w:sz="8" w:space="0"/>
          <w:left w:val="single" w:color="4F81BD" w:sz="8" w:space="0"/>
          <w:bottom w:val="single" w:color="4F81BD" w:sz="8" w:space="0"/>
          <w:right w:val="single" w:color="4F81BD" w:sz="8" w:space="0"/>
        </w:tcBorders>
      </w:tcPr>
    </w:tblStylePr>
    <w:tblStylePr w:type="band1Vert">
      <w:rPr>
        <w:rFonts w:cs="Times New Roman"/>
      </w:r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rPr>
        <w:rFonts w:cs="Times New Roman"/>
      </w:r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rPr>
        <w:rFonts w:cs="Times New Roman"/>
      </w:rPr>
      <w:tcPr>
        <w:tcBorders>
          <w:top w:val="single" w:color="4F81BD" w:sz="8" w:space="0"/>
          <w:left w:val="single" w:color="4F81BD" w:sz="8" w:space="0"/>
          <w:bottom w:val="single" w:color="4F81BD" w:sz="8" w:space="0"/>
          <w:right w:val="single" w:color="4F81BD" w:sz="8" w:space="0"/>
          <w:insideV w:val="single" w:sz="8" w:space="0"/>
        </w:tcBorders>
      </w:tcPr>
    </w:tblStylePr>
  </w:style>
  <w:style w:type="character" w:customStyle="1" w:styleId="67">
    <w:name w:val="apple-converted-space"/>
    <w:basedOn w:val="42"/>
    <w:qFormat/>
    <w:uiPriority w:val="99"/>
    <w:rPr>
      <w:rFonts w:cs="Times New Roman"/>
    </w:rPr>
  </w:style>
  <w:style w:type="paragraph" w:customStyle="1" w:styleId="68">
    <w:name w:val="Char Char Char Char Char Char1 Char Char Char Char"/>
    <w:basedOn w:val="1"/>
    <w:qFormat/>
    <w:uiPriority w:val="99"/>
    <w:rPr>
      <w:rFonts w:ascii="宋体" w:hAnsi="宋体" w:cs="宋体"/>
      <w:sz w:val="24"/>
    </w:rPr>
  </w:style>
  <w:style w:type="table" w:customStyle="1" w:styleId="69">
    <w:name w:val="浅色底纹 - 强调文字颜色 11"/>
    <w:qFormat/>
    <w:uiPriority w:val="99"/>
    <w:rPr>
      <w:color w:val="365F91"/>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0" w:after="0"/>
      </w:pPr>
      <w:rPr>
        <w:rFonts w:cs="Times New Roman"/>
        <w:b/>
        <w:bCs/>
      </w:rPr>
      <w:tcPr>
        <w:tcBorders>
          <w:top w:val="single" w:color="4F81BD" w:sz="8" w:space="0"/>
          <w:left w:val="nil"/>
          <w:bottom w:val="single" w:color="4F81BD" w:sz="8" w:space="0"/>
          <w:right w:val="nil"/>
          <w:insideH w:val="nil"/>
          <w:insideV w:val="nil"/>
        </w:tcBorders>
      </w:tcPr>
    </w:tblStylePr>
    <w:tblStylePr w:type="lastRow">
      <w:pPr>
        <w:spacing w:before="0" w:after="0"/>
      </w:pPr>
      <w:rPr>
        <w:rFonts w:cs="Times New Roman"/>
        <w:b/>
        <w:bCs/>
      </w:rPr>
      <w:tcPr>
        <w:tcBorders>
          <w:top w:val="single" w:color="4F81BD" w:sz="8" w:space="0"/>
          <w:left w:val="nil"/>
          <w:bottom w:val="single" w:color="4F81BD" w:sz="8" w:space="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left w:val="nil"/>
          <w:right w:val="nil"/>
          <w:insideH w:val="nil"/>
          <w:insideV w:val="nil"/>
        </w:tcBorders>
        <w:shd w:val="clear" w:color="auto" w:fill="D3DFEE"/>
      </w:tcPr>
    </w:tblStylePr>
    <w:tblStylePr w:type="band1Horz">
      <w:rPr>
        <w:rFonts w:cs="Times New Roman"/>
      </w:rPr>
      <w:tcPr>
        <w:tcBorders>
          <w:left w:val="nil"/>
          <w:right w:val="nil"/>
          <w:insideH w:val="nil"/>
          <w:insideV w:val="nil"/>
        </w:tcBorders>
        <w:shd w:val="clear" w:color="auto" w:fill="D3DFEE"/>
      </w:tcPr>
    </w:tblStylePr>
  </w:style>
  <w:style w:type="character" w:customStyle="1" w:styleId="70">
    <w:name w:val="正文缩进 Char1"/>
    <w:qFormat/>
    <w:uiPriority w:val="99"/>
    <w:rPr>
      <w:kern w:val="2"/>
      <w:sz w:val="24"/>
    </w:rPr>
  </w:style>
  <w:style w:type="table" w:customStyle="1" w:styleId="71">
    <w:name w:val="网格表 5 深色 - 着色 11"/>
    <w:qFormat/>
    <w:uiPriority w:val="99"/>
    <w:rPr>
      <w:rFonts w:ascii="Calibri" w:hAnsi="Calibri"/>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DBE5F1"/>
    </w:tcPr>
    <w:tblStylePr w:type="firstRow">
      <w:rPr>
        <w:rFonts w:cs="Times New Roman"/>
        <w:b/>
        <w:bCs/>
        <w:color w:val="FFFFFF"/>
      </w:rPr>
      <w:tcPr>
        <w:tcBorders>
          <w:top w:val="single" w:color="FFFFFF" w:sz="4" w:space="0"/>
          <w:left w:val="single" w:color="FFFFFF" w:sz="4" w:space="0"/>
          <w:right w:val="single" w:color="FFFFFF" w:sz="4" w:space="0"/>
          <w:insideH w:val="nil"/>
          <w:insideV w:val="nil"/>
        </w:tcBorders>
        <w:shd w:val="clear" w:color="auto" w:fill="4F81BD"/>
      </w:tcPr>
    </w:tblStylePr>
    <w:tblStylePr w:type="lastRow">
      <w:rPr>
        <w:rFonts w:cs="Times New Roman"/>
        <w:b/>
        <w:bCs/>
        <w:color w:val="FFFFFF"/>
      </w:rPr>
      <w:tcPr>
        <w:tcBorders>
          <w:left w:val="single" w:color="FFFFFF" w:sz="4" w:space="0"/>
          <w:bottom w:val="single" w:color="FFFFFF" w:sz="4" w:space="0"/>
          <w:right w:val="single" w:color="FFFFFF" w:sz="4" w:space="0"/>
          <w:insideH w:val="nil"/>
          <w:insideV w:val="nil"/>
        </w:tcBorders>
        <w:shd w:val="clear" w:color="auto" w:fill="4F81BD"/>
      </w:tcPr>
    </w:tblStylePr>
    <w:tblStylePr w:type="firstCol">
      <w:rPr>
        <w:rFonts w:cs="Times New Roman"/>
        <w:b/>
        <w:bCs/>
        <w:color w:val="FFFFFF"/>
      </w:rPr>
      <w:tcPr>
        <w:tcBorders>
          <w:top w:val="single" w:color="FFFFFF" w:sz="4" w:space="0"/>
          <w:left w:val="single" w:color="FFFFFF" w:sz="4" w:space="0"/>
          <w:bottom w:val="single" w:color="FFFFFF" w:sz="4" w:space="0"/>
          <w:insideV w:val="nil"/>
        </w:tcBorders>
        <w:shd w:val="clear" w:color="auto" w:fill="4F81BD"/>
      </w:tcPr>
    </w:tblStylePr>
    <w:tblStylePr w:type="lastCol">
      <w:rPr>
        <w:rFonts w:cs="Times New Roman"/>
        <w:b/>
        <w:bCs/>
        <w:color w:val="FFFFFF"/>
      </w:rPr>
      <w:tcPr>
        <w:tcBorders>
          <w:top w:val="single" w:color="FFFFFF" w:sz="4" w:space="0"/>
          <w:bottom w:val="single" w:color="FFFFFF" w:sz="4" w:space="0"/>
          <w:right w:val="single" w:color="FFFFFF" w:sz="4" w:space="0"/>
          <w:insideV w:val="nil"/>
        </w:tcBorders>
        <w:shd w:val="clear" w:color="auto" w:fill="4F81BD"/>
      </w:tcPr>
    </w:tblStylePr>
    <w:tblStylePr w:type="band1Vert">
      <w:rPr>
        <w:rFonts w:cs="Times New Roman"/>
      </w:rPr>
      <w:tcPr>
        <w:shd w:val="clear" w:color="auto" w:fill="B8CCE4"/>
      </w:tcPr>
    </w:tblStylePr>
    <w:tblStylePr w:type="band1Horz">
      <w:rPr>
        <w:rFonts w:cs="Times New Roman"/>
      </w:rPr>
      <w:tcPr>
        <w:shd w:val="clear" w:color="auto" w:fill="B8CCE4"/>
      </w:tcPr>
    </w:tblStylePr>
  </w:style>
  <w:style w:type="character" w:customStyle="1" w:styleId="72">
    <w:name w:val="font21"/>
    <w:basedOn w:val="42"/>
    <w:qFormat/>
    <w:uiPriority w:val="99"/>
    <w:rPr>
      <w:rFonts w:ascii="Calibri" w:hAnsi="Calibri" w:cs="Calibri"/>
      <w:color w:val="000000"/>
      <w:sz w:val="20"/>
      <w:szCs w:val="20"/>
      <w:u w:val="none"/>
    </w:rPr>
  </w:style>
  <w:style w:type="character" w:customStyle="1" w:styleId="73">
    <w:name w:val="font01"/>
    <w:basedOn w:val="42"/>
    <w:qFormat/>
    <w:uiPriority w:val="99"/>
    <w:rPr>
      <w:rFonts w:ascii="宋体" w:hAnsi="宋体" w:eastAsia="宋体" w:cs="宋体"/>
      <w:color w:val="000000"/>
      <w:sz w:val="20"/>
      <w:szCs w:val="20"/>
      <w:u w:val="none"/>
    </w:rPr>
  </w:style>
  <w:style w:type="paragraph" w:customStyle="1" w:styleId="74">
    <w:name w:val="List Paragraph1"/>
    <w:basedOn w:val="1"/>
    <w:qFormat/>
    <w:uiPriority w:val="99"/>
    <w:pPr>
      <w:ind w:firstLine="420"/>
    </w:pPr>
  </w:style>
  <w:style w:type="paragraph" w:styleId="75">
    <w:name w:val="No Spacing"/>
    <w:link w:val="76"/>
    <w:qFormat/>
    <w:uiPriority w:val="1"/>
    <w:pPr>
      <w:jc w:val="center"/>
    </w:pPr>
    <w:rPr>
      <w:rFonts w:asciiTheme="minorHAnsi" w:hAnsiTheme="minorHAnsi" w:eastAsiaTheme="minorEastAsia" w:cstheme="minorBidi"/>
      <w:sz w:val="22"/>
      <w:szCs w:val="22"/>
      <w:lang w:val="en-US" w:eastAsia="zh-CN" w:bidi="ar-SA"/>
    </w:rPr>
  </w:style>
  <w:style w:type="character" w:customStyle="1" w:styleId="76">
    <w:name w:val="无间隔 Char"/>
    <w:basedOn w:val="42"/>
    <w:link w:val="75"/>
    <w:qFormat/>
    <w:uiPriority w:val="1"/>
    <w:rPr>
      <w:rFonts w:asciiTheme="minorHAnsi" w:hAnsiTheme="minorHAnsi" w:eastAsiaTheme="minorEastAsia" w:cstheme="minorBidi"/>
      <w:sz w:val="22"/>
      <w:szCs w:val="22"/>
    </w:rPr>
  </w:style>
  <w:style w:type="paragraph" w:styleId="77">
    <w:name w:val="List Paragraph"/>
    <w:basedOn w:val="1"/>
    <w:link w:val="79"/>
    <w:qFormat/>
    <w:uiPriority w:val="34"/>
    <w:pPr>
      <w:ind w:firstLine="420"/>
    </w:pPr>
  </w:style>
  <w:style w:type="character" w:customStyle="1" w:styleId="78">
    <w:name w:val="正文文本缩进 3 Char"/>
    <w:basedOn w:val="42"/>
    <w:link w:val="23"/>
    <w:qFormat/>
    <w:uiPriority w:val="0"/>
    <w:rPr>
      <w:rFonts w:eastAsia="仿宋_GB2312"/>
      <w:sz w:val="16"/>
      <w:szCs w:val="16"/>
    </w:rPr>
  </w:style>
  <w:style w:type="character" w:customStyle="1" w:styleId="79">
    <w:name w:val="列出段落 Char"/>
    <w:basedOn w:val="42"/>
    <w:link w:val="77"/>
    <w:qFormat/>
    <w:uiPriority w:val="34"/>
    <w:rPr>
      <w:szCs w:val="24"/>
    </w:rPr>
  </w:style>
  <w:style w:type="character" w:customStyle="1" w:styleId="80">
    <w:name w:val="日期 Char"/>
    <w:basedOn w:val="42"/>
    <w:link w:val="14"/>
    <w:qFormat/>
    <w:uiPriority w:val="0"/>
    <w:rPr>
      <w:rFonts w:eastAsia="仿宋_GB2312"/>
      <w:sz w:val="32"/>
      <w:szCs w:val="24"/>
    </w:rPr>
  </w:style>
  <w:style w:type="character" w:customStyle="1" w:styleId="81">
    <w:name w:val="正文文本 Char"/>
    <w:basedOn w:val="42"/>
    <w:link w:val="9"/>
    <w:semiHidden/>
    <w:uiPriority w:val="99"/>
    <w:rPr>
      <w:rFonts w:eastAsia="仿宋_GB2312"/>
      <w:sz w:val="32"/>
      <w:szCs w:val="24"/>
    </w:rPr>
  </w:style>
  <w:style w:type="table" w:customStyle="1" w:styleId="82">
    <w:name w:val="网格型2"/>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3">
    <w:name w:val="脚注文本 Char"/>
    <w:basedOn w:val="42"/>
    <w:link w:val="21"/>
    <w:semiHidden/>
    <w:uiPriority w:val="99"/>
    <w:rPr>
      <w:rFonts w:eastAsia="仿宋_GB2312"/>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8A8EFB-320C-47FD-B6F3-19D4381E48C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73</Pages>
  <Words>32729</Words>
  <Characters>33658</Characters>
  <Lines>279</Lines>
  <Paragraphs>78</Paragraphs>
  <TotalTime>9</TotalTime>
  <ScaleCrop>false</ScaleCrop>
  <LinksUpToDate>false</LinksUpToDate>
  <CharactersWithSpaces>33799</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2021-08-30T09:42:00Z</dcterms:created>
  <dc:creator>cheny</dc:creator>
  <cp:lastModifiedBy>想为你盗花簪</cp:lastModifiedBy>
  <cp:lastPrinted>2021-05-31T02:44:00Z</cp:lastPrinted>
  <dcterms:modified xsi:type="dcterms:W3CDTF">2022-08-15T03:04:11Z</dcterms:modified>
  <dc:title>深圳市深汕特别合作区应急管理体系和能力建设“十四五”规划</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30A74AED1DD34ADF927E044E83D56732</vt:lpwstr>
  </property>
</Properties>
</file>