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附件1</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深圳市深汕特别合作区建设工程入围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和定标工作细则（修订稿）</w:t>
      </w:r>
    </w:p>
    <w:p>
      <w:pPr>
        <w:pStyle w:val="5"/>
        <w:keepNext w:val="0"/>
        <w:keepLines w:val="0"/>
        <w:pageBreakBefore w:val="0"/>
        <w:widowControl w:val="0"/>
        <w:kinsoku/>
        <w:wordWrap/>
        <w:overflowPunct/>
        <w:topLinePunct w:val="0"/>
        <w:bidi w:val="0"/>
        <w:snapToGrid/>
        <w:spacing w:line="560" w:lineRule="exact"/>
        <w:textAlignment w:val="auto"/>
        <w:rPr>
          <w:highlight w:val="none"/>
          <w:u w:val="none"/>
        </w:rPr>
      </w:pPr>
    </w:p>
    <w:p>
      <w:pPr>
        <w:pStyle w:val="6"/>
        <w:keepNext w:val="0"/>
        <w:keepLines w:val="0"/>
        <w:pageBreakBefore w:val="0"/>
        <w:kinsoku/>
        <w:wordWrap/>
        <w:overflowPunct/>
        <w:topLinePunct w:val="0"/>
        <w:bidi w:val="0"/>
        <w:snapToGrid/>
        <w:spacing w:line="560" w:lineRule="exact"/>
        <w:jc w:val="center"/>
        <w:textAlignment w:val="auto"/>
        <w:rPr>
          <w:rFonts w:hint="default" w:ascii="黑体" w:hAnsi="黑体" w:eastAsia="黑体" w:cs="黑体"/>
          <w:b w:val="0"/>
          <w:bCs w:val="0"/>
          <w:color w:val="000000"/>
          <w:kern w:val="2"/>
          <w:sz w:val="32"/>
          <w:szCs w:val="32"/>
          <w:highlight w:val="none"/>
          <w:u w:val="none"/>
          <w:lang w:val="en-US" w:eastAsia="zh-CN" w:bidi="ar-SA"/>
        </w:rPr>
      </w:pPr>
      <w:r>
        <w:rPr>
          <w:rFonts w:hint="eastAsia" w:ascii="黑体" w:hAnsi="黑体" w:eastAsia="黑体" w:cs="黑体"/>
          <w:b w:val="0"/>
          <w:bCs w:val="0"/>
          <w:color w:val="000000"/>
          <w:kern w:val="2"/>
          <w:sz w:val="32"/>
          <w:szCs w:val="32"/>
          <w:highlight w:val="none"/>
          <w:u w:val="none"/>
          <w:lang w:val="en-US" w:eastAsia="zh-CN" w:bidi="ar-SA"/>
        </w:rPr>
        <w:t>第一章 总则</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eastAsia" w:ascii="黑体" w:hAnsi="黑体" w:eastAsia="黑体" w:cs="黑体"/>
          <w:color w:val="000000"/>
          <w:sz w:val="32"/>
          <w:szCs w:val="32"/>
          <w:highlight w:val="none"/>
          <w:u w:val="none"/>
          <w:lang w:val="en-US" w:eastAsia="zh-CN"/>
        </w:rPr>
        <w:t xml:space="preserve">第一条 </w:t>
      </w:r>
      <w:r>
        <w:rPr>
          <w:rFonts w:hint="eastAsia" w:ascii="仿宋_GB2312" w:hAnsi="仿宋_GB2312" w:eastAsia="仿宋_GB2312" w:cs="仿宋_GB2312"/>
          <w:sz w:val="32"/>
          <w:szCs w:val="32"/>
          <w:highlight w:val="none"/>
          <w:u w:val="none"/>
        </w:rPr>
        <w:t>为规范</w:t>
      </w:r>
      <w:r>
        <w:rPr>
          <w:rFonts w:hint="eastAsia" w:ascii="仿宋_GB2312" w:hAnsi="仿宋_GB2312" w:eastAsia="仿宋_GB2312" w:cs="仿宋_GB2312"/>
          <w:sz w:val="32"/>
          <w:szCs w:val="32"/>
          <w:highlight w:val="none"/>
          <w:u w:val="none"/>
          <w:lang w:val="en-US" w:eastAsia="zh-CN"/>
        </w:rPr>
        <w:t>深汕特别合作区</w:t>
      </w:r>
      <w:r>
        <w:rPr>
          <w:rFonts w:hint="eastAsia" w:ascii="仿宋_GB2312" w:hAnsi="仿宋_GB2312" w:eastAsia="仿宋_GB2312" w:cs="仿宋_GB2312"/>
          <w:sz w:val="32"/>
          <w:szCs w:val="32"/>
          <w:highlight w:val="none"/>
          <w:u w:val="none"/>
        </w:rPr>
        <w:t>建设工程</w:t>
      </w:r>
      <w:r>
        <w:rPr>
          <w:rFonts w:hint="eastAsia" w:ascii="仿宋_GB2312" w:hAnsi="仿宋_GB2312" w:eastAsia="仿宋_GB2312" w:cs="仿宋_GB2312"/>
          <w:sz w:val="32"/>
          <w:szCs w:val="32"/>
          <w:highlight w:val="none"/>
          <w:u w:val="none"/>
          <w:lang w:val="en-US" w:eastAsia="zh-CN"/>
        </w:rPr>
        <w:t>入围和定标工作</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根据《深圳市人民政府印发关于建设工程招标投标改革若干规定的通知》（深府〔2015〕73号）、《深圳市住房和建设局印发&lt;关于进一步完善建设工程招标投标制度的若干措施&gt;的通知》（深建规〔2020〕1号）等文件精神，结合我区实际，</w:t>
      </w:r>
      <w:r>
        <w:rPr>
          <w:rFonts w:hint="eastAsia" w:ascii="仿宋_GB2312" w:hAnsi="仿宋_GB2312" w:eastAsia="仿宋_GB2312" w:cs="仿宋_GB2312"/>
          <w:sz w:val="32"/>
          <w:szCs w:val="32"/>
          <w:highlight w:val="none"/>
          <w:u w:val="none"/>
        </w:rPr>
        <w:t>制定全区适用的评定分离入围和定标工作操作细则</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color w:val="000000"/>
          <w:sz w:val="32"/>
          <w:szCs w:val="32"/>
          <w:highlight w:val="none"/>
          <w:u w:val="none"/>
          <w:lang w:val="en-US" w:eastAsia="zh-CN"/>
        </w:rPr>
        <w:t xml:space="preserve">第二条 </w:t>
      </w:r>
      <w:r>
        <w:rPr>
          <w:rFonts w:hint="eastAsia" w:ascii="仿宋_GB2312" w:hAnsi="仿宋_GB2312" w:eastAsia="仿宋_GB2312" w:cs="仿宋_GB2312"/>
          <w:sz w:val="32"/>
          <w:szCs w:val="32"/>
          <w:highlight w:val="none"/>
          <w:u w:val="none"/>
        </w:rPr>
        <w:t>分级分类考量择优，入围“重择优、</w:t>
      </w:r>
      <w:r>
        <w:rPr>
          <w:rFonts w:hint="eastAsia" w:ascii="仿宋_GB2312" w:hAnsi="仿宋_GB2312" w:eastAsia="仿宋_GB2312" w:cs="仿宋_GB2312"/>
          <w:sz w:val="32"/>
          <w:szCs w:val="32"/>
          <w:highlight w:val="none"/>
          <w:u w:val="none"/>
          <w:lang w:val="en-US" w:eastAsia="zh-CN"/>
        </w:rPr>
        <w:t>合理</w:t>
      </w:r>
      <w:r>
        <w:rPr>
          <w:rFonts w:hint="eastAsia" w:ascii="仿宋_GB2312" w:hAnsi="仿宋_GB2312" w:eastAsia="仿宋_GB2312" w:cs="仿宋_GB2312"/>
          <w:sz w:val="32"/>
          <w:szCs w:val="32"/>
          <w:highlight w:val="none"/>
          <w:u w:val="none"/>
        </w:rPr>
        <w:t>价”，采用逐轮择优的形式，挑选出一批良好企业；定标“先去劣竞价、后择优”，</w:t>
      </w:r>
      <w:r>
        <w:rPr>
          <w:rFonts w:hint="eastAsia" w:ascii="仿宋_GB2312" w:hAnsi="仿宋_GB2312" w:eastAsia="仿宋_GB2312" w:cs="仿宋_GB2312"/>
          <w:sz w:val="32"/>
          <w:szCs w:val="32"/>
          <w:highlight w:val="none"/>
          <w:u w:val="none"/>
          <w:lang w:val="en-US" w:eastAsia="zh-CN"/>
        </w:rPr>
        <w:t>直接</w:t>
      </w:r>
      <w:r>
        <w:rPr>
          <w:rFonts w:hint="eastAsia" w:ascii="仿宋_GB2312" w:hAnsi="仿宋_GB2312" w:eastAsia="仿宋_GB2312" w:cs="仿宋_GB2312"/>
          <w:sz w:val="32"/>
          <w:szCs w:val="32"/>
          <w:highlight w:val="none"/>
          <w:u w:val="none"/>
        </w:rPr>
        <w:t>票决</w:t>
      </w:r>
      <w:r>
        <w:rPr>
          <w:rFonts w:hint="eastAsia" w:ascii="仿宋_GB2312" w:hAnsi="仿宋_GB2312" w:eastAsia="仿宋_GB2312" w:cs="仿宋_GB2312"/>
          <w:sz w:val="32"/>
          <w:szCs w:val="32"/>
          <w:highlight w:val="none"/>
          <w:u w:val="none"/>
          <w:lang w:val="en-US" w:eastAsia="zh-CN"/>
        </w:rPr>
        <w:t>或</w:t>
      </w:r>
      <w:r>
        <w:rPr>
          <w:rFonts w:hint="eastAsia" w:ascii="仿宋_GB2312" w:hAnsi="仿宋_GB2312" w:eastAsia="仿宋_GB2312" w:cs="仿宋_GB2312"/>
          <w:sz w:val="32"/>
          <w:szCs w:val="32"/>
          <w:highlight w:val="none"/>
          <w:u w:val="none"/>
        </w:rPr>
        <w:t>票决抽签选出优秀中标候选人，有效降低招标人廉政风险。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val="en-US" w:eastAsia="zh-CN"/>
        </w:rPr>
        <w:t>第三条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本细则适用于</w:t>
      </w:r>
      <w:r>
        <w:rPr>
          <w:rFonts w:hint="eastAsia" w:ascii="仿宋_GB2312" w:hAnsi="仿宋" w:eastAsia="仿宋_GB2312"/>
          <w:sz w:val="32"/>
          <w:szCs w:val="32"/>
          <w:highlight w:val="none"/>
          <w:u w:val="none"/>
          <w:lang w:eastAsia="zh-CN"/>
        </w:rPr>
        <w:t>深汕</w:t>
      </w:r>
      <w:r>
        <w:rPr>
          <w:rFonts w:hint="eastAsia" w:ascii="仿宋_GB2312" w:hAnsi="仿宋" w:eastAsia="仿宋_GB2312"/>
          <w:sz w:val="32"/>
          <w:szCs w:val="32"/>
          <w:highlight w:val="none"/>
          <w:u w:val="none"/>
          <w:lang w:val="en-US" w:eastAsia="zh-CN"/>
        </w:rPr>
        <w:t>特别</w:t>
      </w:r>
      <w:r>
        <w:rPr>
          <w:rFonts w:hint="eastAsia" w:ascii="仿宋_GB2312" w:hAnsi="仿宋" w:eastAsia="仿宋_GB2312"/>
          <w:sz w:val="32"/>
          <w:szCs w:val="32"/>
          <w:highlight w:val="none"/>
          <w:u w:val="none"/>
          <w:lang w:eastAsia="zh-CN"/>
        </w:rPr>
        <w:t>合作区</w:t>
      </w:r>
      <w:r>
        <w:rPr>
          <w:rFonts w:hint="eastAsia" w:ascii="仿宋_GB2312" w:hAnsi="仿宋" w:eastAsia="仿宋_GB2312"/>
          <w:sz w:val="32"/>
          <w:szCs w:val="32"/>
          <w:highlight w:val="none"/>
          <w:u w:val="none"/>
          <w:lang w:val="en-US" w:eastAsia="zh-CN"/>
        </w:rPr>
        <w:t>政府投资、区属国企投资建设工程</w:t>
      </w:r>
      <w:r>
        <w:rPr>
          <w:rFonts w:hint="eastAsia" w:ascii="仿宋_GB2312" w:hAnsi="仿宋_GB2312" w:eastAsia="仿宋_GB2312" w:cs="仿宋_GB2312"/>
          <w:sz w:val="32"/>
          <w:szCs w:val="32"/>
          <w:highlight w:val="none"/>
          <w:u w:val="none"/>
        </w:rPr>
        <w:t>项目。经</w:t>
      </w:r>
      <w:r>
        <w:rPr>
          <w:rFonts w:hint="eastAsia" w:ascii="仿宋_GB2312" w:hAnsi="仿宋" w:eastAsia="仿宋_GB2312"/>
          <w:sz w:val="32"/>
          <w:szCs w:val="32"/>
          <w:highlight w:val="none"/>
          <w:u w:val="none"/>
          <w:lang w:eastAsia="zh-CN"/>
        </w:rPr>
        <w:t>深汕</w:t>
      </w:r>
      <w:r>
        <w:rPr>
          <w:rFonts w:hint="eastAsia" w:ascii="仿宋_GB2312" w:hAnsi="仿宋" w:eastAsia="仿宋_GB2312"/>
          <w:sz w:val="32"/>
          <w:szCs w:val="32"/>
          <w:highlight w:val="none"/>
          <w:u w:val="none"/>
          <w:lang w:val="en-US" w:eastAsia="zh-CN"/>
        </w:rPr>
        <w:t>特别</w:t>
      </w:r>
      <w:r>
        <w:rPr>
          <w:rFonts w:hint="eastAsia" w:ascii="仿宋_GB2312" w:hAnsi="仿宋" w:eastAsia="仿宋_GB2312"/>
          <w:sz w:val="32"/>
          <w:szCs w:val="32"/>
          <w:highlight w:val="none"/>
          <w:u w:val="none"/>
          <w:lang w:eastAsia="zh-CN"/>
        </w:rPr>
        <w:t>合作区</w:t>
      </w:r>
      <w:r>
        <w:rPr>
          <w:rFonts w:hint="eastAsia" w:ascii="仿宋_GB2312" w:hAnsi="仿宋" w:eastAsia="仿宋_GB2312"/>
          <w:sz w:val="32"/>
          <w:szCs w:val="32"/>
          <w:highlight w:val="none"/>
          <w:u w:val="none"/>
        </w:rPr>
        <w:t>建设工程招投标领导小组审议，可采用</w:t>
      </w:r>
      <w:r>
        <w:rPr>
          <w:rFonts w:hint="eastAsia" w:ascii="仿宋_GB2312" w:hAnsi="仿宋" w:eastAsia="仿宋_GB2312"/>
          <w:sz w:val="32"/>
          <w:szCs w:val="32"/>
          <w:highlight w:val="none"/>
          <w:u w:val="none"/>
          <w:lang w:eastAsia="zh-CN"/>
        </w:rPr>
        <w:t>集体议事法等</w:t>
      </w:r>
      <w:r>
        <w:rPr>
          <w:rFonts w:hint="eastAsia" w:ascii="仿宋_GB2312" w:hAnsi="仿宋" w:eastAsia="仿宋_GB2312"/>
          <w:sz w:val="32"/>
          <w:szCs w:val="32"/>
          <w:highlight w:val="none"/>
          <w:u w:val="none"/>
        </w:rPr>
        <w:t>定标方式。</w:t>
      </w:r>
      <w:r>
        <w:rPr>
          <w:rFonts w:hint="eastAsia" w:ascii="仿宋_GB2312" w:hAnsi="仿宋_GB2312" w:eastAsia="仿宋_GB2312" w:cs="仿宋_GB2312"/>
          <w:sz w:val="32"/>
          <w:szCs w:val="32"/>
          <w:highlight w:val="none"/>
          <w:u w:val="none"/>
        </w:rPr>
        <w:t>招标人亦可根据项目具体情况，经本单位法定代表人签字确认不按照本细则的有关规定执行，但须事先向区住建</w:t>
      </w:r>
      <w:r>
        <w:rPr>
          <w:rFonts w:hint="eastAsia" w:ascii="仿宋_GB2312" w:hAnsi="仿宋_GB2312" w:eastAsia="仿宋_GB2312" w:cs="仿宋_GB2312"/>
          <w:sz w:val="32"/>
          <w:szCs w:val="32"/>
          <w:highlight w:val="none"/>
          <w:u w:val="none"/>
          <w:lang w:val="en-US" w:eastAsia="zh-CN"/>
        </w:rPr>
        <w:t>水务</w:t>
      </w:r>
      <w:r>
        <w:rPr>
          <w:rFonts w:hint="eastAsia" w:ascii="仿宋_GB2312" w:hAnsi="仿宋_GB2312" w:eastAsia="仿宋_GB2312" w:cs="仿宋_GB2312"/>
          <w:sz w:val="32"/>
          <w:szCs w:val="32"/>
          <w:highlight w:val="none"/>
          <w:u w:val="none"/>
        </w:rPr>
        <w:t>局备案。</w:t>
      </w:r>
    </w:p>
    <w:p>
      <w:pPr>
        <w:pStyle w:val="2"/>
        <w:keepNext w:val="0"/>
        <w:keepLines w:val="0"/>
        <w:pageBreakBefore w:val="0"/>
        <w:kinsoku/>
        <w:wordWrap/>
        <w:overflowPunct/>
        <w:topLinePunct w:val="0"/>
        <w:bidi w:val="0"/>
        <w:snapToGrid/>
        <w:spacing w:line="560" w:lineRule="exact"/>
        <w:textAlignment w:val="auto"/>
        <w:rPr>
          <w:rFonts w:hint="eastAsia"/>
          <w:highlight w:val="none"/>
        </w:rPr>
      </w:pP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2"/>
          <w:sz w:val="32"/>
          <w:szCs w:val="32"/>
          <w:highlight w:val="none"/>
          <w:u w:val="none"/>
          <w:lang w:val="en-US" w:eastAsia="zh-CN" w:bidi="ar-SA"/>
        </w:rPr>
      </w:pPr>
      <w:r>
        <w:rPr>
          <w:rFonts w:hint="eastAsia" w:ascii="黑体" w:hAnsi="黑体" w:eastAsia="黑体" w:cs="黑体"/>
          <w:b w:val="0"/>
          <w:bCs w:val="0"/>
          <w:color w:val="000000"/>
          <w:kern w:val="2"/>
          <w:sz w:val="32"/>
          <w:szCs w:val="32"/>
          <w:highlight w:val="none"/>
          <w:u w:val="none"/>
          <w:lang w:val="en-US" w:eastAsia="zh-CN" w:bidi="ar-SA"/>
        </w:rPr>
        <w:t>第二章 项目分类与招标方案审批</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val="en-US" w:eastAsia="zh-CN"/>
        </w:rPr>
        <w:t xml:space="preserve">第四条 </w:t>
      </w:r>
      <w:r>
        <w:rPr>
          <w:rFonts w:hint="eastAsia" w:ascii="仿宋_GB2312" w:hAnsi="仿宋_GB2312" w:eastAsia="仿宋_GB2312" w:cs="仿宋_GB2312"/>
          <w:sz w:val="32"/>
          <w:szCs w:val="32"/>
          <w:highlight w:val="none"/>
          <w:u w:val="none"/>
        </w:rPr>
        <w:t>根据发改部门投资额度的划分，综合考虑工程项目建设实际情况，为高质、高效完成建设任务，将工程</w:t>
      </w:r>
      <w:r>
        <w:rPr>
          <w:rFonts w:hint="eastAsia" w:ascii="仿宋_GB2312" w:hAnsi="仿宋_GB2312" w:eastAsia="仿宋_GB2312" w:cs="仿宋_GB2312"/>
          <w:sz w:val="32"/>
          <w:szCs w:val="32"/>
          <w:highlight w:val="none"/>
          <w:u w:val="none"/>
          <w:lang w:val="en-US" w:eastAsia="zh-CN"/>
        </w:rPr>
        <w:t>施工类</w:t>
      </w:r>
      <w:r>
        <w:rPr>
          <w:rFonts w:hint="eastAsia" w:ascii="仿宋_GB2312" w:hAnsi="仿宋_GB2312" w:eastAsia="仿宋_GB2312" w:cs="仿宋_GB2312"/>
          <w:sz w:val="32"/>
          <w:szCs w:val="32"/>
          <w:highlight w:val="none"/>
          <w:u w:val="none"/>
        </w:rPr>
        <w:t>分为一般项目、</w:t>
      </w:r>
      <w:r>
        <w:rPr>
          <w:rFonts w:hint="eastAsia" w:ascii="仿宋_GB2312" w:hAnsi="仿宋_GB2312" w:eastAsia="仿宋_GB2312" w:cs="仿宋_GB2312"/>
          <w:sz w:val="32"/>
          <w:szCs w:val="32"/>
          <w:highlight w:val="none"/>
          <w:u w:val="none"/>
          <w:lang w:val="en-US" w:eastAsia="zh-CN"/>
        </w:rPr>
        <w:t>较大</w:t>
      </w:r>
      <w:r>
        <w:rPr>
          <w:rFonts w:hint="eastAsia" w:ascii="仿宋_GB2312" w:hAnsi="仿宋_GB2312" w:eastAsia="仿宋_GB2312" w:cs="仿宋_GB2312"/>
          <w:sz w:val="32"/>
          <w:szCs w:val="32"/>
          <w:highlight w:val="none"/>
          <w:u w:val="none"/>
        </w:rPr>
        <w:t>项目、大型项目及重大项目或技术复杂项目</w:t>
      </w: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sz w:val="32"/>
          <w:szCs w:val="32"/>
          <w:highlight w:val="none"/>
          <w:u w:val="none"/>
        </w:rPr>
        <w:t>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楷体_GB2312" w:hAnsi="楷体_GB2312" w:eastAsia="楷体_GB2312" w:cs="楷体_GB2312"/>
          <w:bCs/>
          <w:sz w:val="32"/>
          <w:szCs w:val="32"/>
          <w:highlight w:val="none"/>
          <w:u w:val="none"/>
        </w:rPr>
        <w:t>（</w:t>
      </w:r>
      <w:r>
        <w:rPr>
          <w:rFonts w:hint="eastAsia" w:ascii="楷体_GB2312" w:hAnsi="楷体_GB2312" w:eastAsia="楷体_GB2312" w:cs="楷体_GB2312"/>
          <w:bCs/>
          <w:sz w:val="32"/>
          <w:szCs w:val="32"/>
          <w:highlight w:val="none"/>
          <w:u w:val="none"/>
          <w:lang w:val="en-US" w:eastAsia="zh-CN"/>
        </w:rPr>
        <w:t>一</w:t>
      </w:r>
      <w:r>
        <w:rPr>
          <w:rFonts w:hint="eastAsia" w:ascii="楷体_GB2312" w:hAnsi="楷体_GB2312" w:eastAsia="楷体_GB2312" w:cs="楷体_GB2312"/>
          <w:bCs/>
          <w:sz w:val="32"/>
          <w:szCs w:val="32"/>
          <w:highlight w:val="none"/>
          <w:u w:val="none"/>
        </w:rPr>
        <w:t>）重大项目或技术复杂项目</w:t>
      </w:r>
      <w:r>
        <w:rPr>
          <w:rFonts w:hint="eastAsia" w:ascii="楷体_GB2312" w:hAnsi="楷体_GB2312" w:eastAsia="楷体_GB2312" w:cs="楷体_GB2312"/>
          <w:bCs/>
          <w:sz w:val="32"/>
          <w:szCs w:val="32"/>
          <w:highlight w:val="none"/>
          <w:u w:val="none"/>
          <w:lang w:eastAsia="zh-CN"/>
        </w:rPr>
        <w:t>：</w:t>
      </w:r>
      <w:r>
        <w:rPr>
          <w:rFonts w:hint="eastAsia" w:ascii="仿宋_GB2312" w:hAnsi="仿宋" w:eastAsia="仿宋_GB2312"/>
          <w:sz w:val="32"/>
          <w:szCs w:val="32"/>
          <w:highlight w:val="none"/>
          <w:u w:val="none"/>
        </w:rPr>
        <w:t>估算、匡算或概算房建类3亿元以上、市政类2亿元以上、市容环境提升类1亿元以上的，为重大项目；</w:t>
      </w:r>
      <w:r>
        <w:rPr>
          <w:rFonts w:ascii="仿宋_GB2312" w:hAnsi="仿宋_GB2312" w:eastAsia="仿宋_GB2312" w:cs="仿宋_GB2312"/>
          <w:sz w:val="32"/>
          <w:szCs w:val="32"/>
          <w:highlight w:val="none"/>
          <w:u w:val="none"/>
        </w:rPr>
        <w:t>《关于建设工程招标投标改革的若干规定》（深府〔2015〕73号）</w:t>
      </w:r>
      <w:r>
        <w:rPr>
          <w:rFonts w:hint="eastAsia" w:ascii="仿宋_GB2312" w:hAnsi="仿宋_GB2312" w:eastAsia="仿宋_GB2312" w:cs="仿宋_GB2312"/>
          <w:sz w:val="32"/>
          <w:szCs w:val="32"/>
          <w:highlight w:val="none"/>
          <w:u w:val="none"/>
        </w:rPr>
        <w:t>允许投标人资格条件中设置同类工程经验的，为技术复杂项目。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Cs/>
          <w:sz w:val="32"/>
          <w:szCs w:val="32"/>
          <w:highlight w:val="none"/>
          <w:u w:val="none"/>
        </w:rPr>
        <w:t>（二）大型项目：</w:t>
      </w:r>
      <w:r>
        <w:rPr>
          <w:rFonts w:hint="eastAsia" w:ascii="仿宋_GB2312" w:hAnsi="仿宋_GB2312" w:eastAsia="仿宋_GB2312" w:cs="仿宋_GB2312"/>
          <w:sz w:val="32"/>
          <w:szCs w:val="32"/>
          <w:highlight w:val="none"/>
          <w:u w:val="none"/>
        </w:rPr>
        <w:t>项目</w:t>
      </w:r>
      <w:r>
        <w:rPr>
          <w:rFonts w:hint="eastAsia" w:ascii="仿宋_GB2312" w:hAnsi="仿宋_GB2312" w:eastAsia="仿宋_GB2312" w:cs="仿宋_GB2312"/>
          <w:sz w:val="32"/>
          <w:szCs w:val="32"/>
          <w:highlight w:val="none"/>
          <w:u w:val="none"/>
          <w:lang w:val="en-US" w:eastAsia="zh-CN"/>
        </w:rPr>
        <w:t>概算</w:t>
      </w:r>
      <w:r>
        <w:rPr>
          <w:rFonts w:hint="eastAsia" w:ascii="仿宋_GB2312" w:hAnsi="仿宋_GB2312" w:eastAsia="仿宋_GB2312" w:cs="仿宋_GB2312"/>
          <w:sz w:val="32"/>
          <w:szCs w:val="32"/>
          <w:highlight w:val="none"/>
          <w:u w:val="none"/>
        </w:rPr>
        <w:t>投资额</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000万元以上，但不包含</w:t>
      </w:r>
      <w:r>
        <w:rPr>
          <w:rFonts w:hint="eastAsia" w:ascii="仿宋_GB2312" w:hAnsi="仿宋_GB2312" w:eastAsia="仿宋_GB2312" w:cs="仿宋_GB2312"/>
          <w:sz w:val="32"/>
          <w:szCs w:val="32"/>
          <w:highlight w:val="none"/>
          <w:u w:val="none"/>
          <w:lang w:val="en-US" w:eastAsia="zh-CN"/>
        </w:rPr>
        <w:t>重大和</w:t>
      </w:r>
      <w:r>
        <w:rPr>
          <w:rFonts w:hint="eastAsia" w:ascii="仿宋_GB2312" w:hAnsi="仿宋_GB2312" w:eastAsia="仿宋_GB2312" w:cs="仿宋_GB2312"/>
          <w:sz w:val="32"/>
          <w:szCs w:val="32"/>
          <w:highlight w:val="none"/>
          <w:u w:val="none"/>
        </w:rPr>
        <w:t>技术复杂项目。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highlight w:val="none"/>
          <w:u w:val="none"/>
          <w:lang w:val="en-US" w:eastAsia="zh-CN"/>
        </w:rPr>
      </w:pPr>
      <w:r>
        <w:rPr>
          <w:rFonts w:hint="eastAsia" w:ascii="楷体_GB2312" w:hAnsi="楷体_GB2312" w:eastAsia="楷体_GB2312" w:cs="楷体_GB2312"/>
          <w:bCs/>
          <w:sz w:val="32"/>
          <w:szCs w:val="32"/>
          <w:highlight w:val="none"/>
          <w:u w:val="none"/>
        </w:rPr>
        <w:t>（三）</w:t>
      </w:r>
      <w:r>
        <w:rPr>
          <w:rFonts w:hint="eastAsia" w:ascii="楷体_GB2312" w:hAnsi="楷体_GB2312" w:eastAsia="楷体_GB2312" w:cs="楷体_GB2312"/>
          <w:bCs/>
          <w:sz w:val="32"/>
          <w:szCs w:val="32"/>
          <w:highlight w:val="none"/>
          <w:u w:val="none"/>
          <w:lang w:val="en-US" w:eastAsia="zh-CN"/>
        </w:rPr>
        <w:t>较大</w:t>
      </w:r>
      <w:r>
        <w:rPr>
          <w:rFonts w:hint="eastAsia" w:ascii="楷体_GB2312" w:hAnsi="楷体_GB2312" w:eastAsia="楷体_GB2312" w:cs="楷体_GB2312"/>
          <w:bCs/>
          <w:sz w:val="32"/>
          <w:szCs w:val="32"/>
          <w:highlight w:val="none"/>
          <w:u w:val="none"/>
        </w:rPr>
        <w:t>项目：</w:t>
      </w:r>
      <w:r>
        <w:rPr>
          <w:rFonts w:hint="eastAsia" w:ascii="仿宋_GB2312" w:hAnsi="仿宋_GB2312" w:eastAsia="仿宋_GB2312" w:cs="仿宋_GB2312"/>
          <w:sz w:val="32"/>
          <w:szCs w:val="32"/>
          <w:highlight w:val="none"/>
          <w:u w:val="none"/>
        </w:rPr>
        <w:t>项目</w:t>
      </w:r>
      <w:r>
        <w:rPr>
          <w:rFonts w:hint="eastAsia" w:ascii="仿宋_GB2312" w:hAnsi="仿宋_GB2312" w:eastAsia="仿宋_GB2312" w:cs="仿宋_GB2312"/>
          <w:sz w:val="32"/>
          <w:szCs w:val="32"/>
          <w:highlight w:val="none"/>
          <w:u w:val="none"/>
          <w:lang w:val="en-US" w:eastAsia="zh-CN"/>
        </w:rPr>
        <w:t>概算</w:t>
      </w:r>
      <w:r>
        <w:rPr>
          <w:rFonts w:hint="eastAsia" w:ascii="仿宋_GB2312" w:hAnsi="仿宋_GB2312" w:eastAsia="仿宋_GB2312" w:cs="仿宋_GB2312"/>
          <w:sz w:val="32"/>
          <w:szCs w:val="32"/>
          <w:highlight w:val="none"/>
          <w:u w:val="none"/>
        </w:rPr>
        <w:t>投资额</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000万元</w:t>
      </w:r>
      <w:r>
        <w:rPr>
          <w:rFonts w:hint="eastAsia" w:ascii="仿宋_GB2312" w:hAnsi="仿宋_GB2312" w:eastAsia="仿宋_GB2312" w:cs="仿宋_GB2312"/>
          <w:sz w:val="32"/>
          <w:szCs w:val="32"/>
          <w:highlight w:val="none"/>
          <w:u w:val="none"/>
          <w:lang w:val="en-US" w:eastAsia="zh-CN"/>
        </w:rPr>
        <w:t>以上，5</w:t>
      </w:r>
      <w:r>
        <w:rPr>
          <w:rFonts w:hint="eastAsia" w:ascii="仿宋_GB2312" w:hAnsi="仿宋_GB2312" w:eastAsia="仿宋_GB2312" w:cs="仿宋_GB2312"/>
          <w:sz w:val="32"/>
          <w:szCs w:val="32"/>
          <w:highlight w:val="none"/>
          <w:u w:val="none"/>
        </w:rPr>
        <w:t>000万元</w:t>
      </w:r>
      <w:r>
        <w:rPr>
          <w:rFonts w:hint="eastAsia" w:ascii="仿宋_GB2312" w:hAnsi="仿宋_GB2312" w:eastAsia="仿宋_GB2312" w:cs="仿宋_GB2312"/>
          <w:sz w:val="32"/>
          <w:szCs w:val="32"/>
          <w:highlight w:val="none"/>
          <w:u w:val="none"/>
          <w:lang w:val="en-US" w:eastAsia="zh-CN"/>
        </w:rPr>
        <w:t>以下</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Cs/>
          <w:sz w:val="32"/>
          <w:szCs w:val="32"/>
          <w:highlight w:val="none"/>
          <w:u w:val="none"/>
        </w:rPr>
        <w:t>（</w:t>
      </w:r>
      <w:r>
        <w:rPr>
          <w:rFonts w:hint="eastAsia" w:ascii="楷体_GB2312" w:hAnsi="楷体_GB2312" w:eastAsia="楷体_GB2312" w:cs="楷体_GB2312"/>
          <w:bCs/>
          <w:sz w:val="32"/>
          <w:szCs w:val="32"/>
          <w:highlight w:val="none"/>
          <w:u w:val="none"/>
          <w:lang w:val="en-US" w:eastAsia="zh-CN"/>
        </w:rPr>
        <w:t>四</w:t>
      </w:r>
      <w:r>
        <w:rPr>
          <w:rFonts w:hint="eastAsia" w:ascii="楷体_GB2312" w:hAnsi="楷体_GB2312" w:eastAsia="楷体_GB2312" w:cs="楷体_GB2312"/>
          <w:bCs/>
          <w:sz w:val="32"/>
          <w:szCs w:val="32"/>
          <w:highlight w:val="none"/>
          <w:u w:val="none"/>
        </w:rPr>
        <w:t>）一般项目：</w:t>
      </w:r>
      <w:r>
        <w:rPr>
          <w:rFonts w:hint="eastAsia" w:ascii="仿宋_GB2312" w:hAnsi="仿宋_GB2312" w:eastAsia="仿宋_GB2312" w:cs="仿宋_GB2312"/>
          <w:sz w:val="32"/>
          <w:szCs w:val="32"/>
          <w:highlight w:val="none"/>
          <w:u w:val="none"/>
        </w:rPr>
        <w:t>项目</w:t>
      </w:r>
      <w:r>
        <w:rPr>
          <w:rFonts w:hint="eastAsia" w:ascii="仿宋_GB2312" w:hAnsi="仿宋_GB2312" w:eastAsia="仿宋_GB2312" w:cs="仿宋_GB2312"/>
          <w:sz w:val="32"/>
          <w:szCs w:val="32"/>
          <w:highlight w:val="none"/>
          <w:u w:val="none"/>
          <w:lang w:val="en-US" w:eastAsia="zh-CN"/>
        </w:rPr>
        <w:t>概算</w:t>
      </w:r>
      <w:r>
        <w:rPr>
          <w:rFonts w:hint="eastAsia" w:ascii="仿宋_GB2312" w:hAnsi="仿宋_GB2312" w:eastAsia="仿宋_GB2312" w:cs="仿宋_GB2312"/>
          <w:sz w:val="32"/>
          <w:szCs w:val="32"/>
          <w:highlight w:val="none"/>
          <w:u w:val="none"/>
        </w:rPr>
        <w:t>投资额</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000万元以下。</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hAnsi="仿宋_GB2312" w:eastAsia="仿宋_GB2312" w:cs="仿宋_GB2312"/>
          <w:sz w:val="32"/>
          <w:szCs w:val="32"/>
          <w:highlight w:val="none"/>
          <w:u w:val="none"/>
          <w:lang w:val="en-US" w:eastAsia="zh-CN"/>
        </w:rPr>
        <w:t xml:space="preserve"> 以上四类项目，</w:t>
      </w:r>
      <w:r>
        <w:rPr>
          <w:rFonts w:hint="eastAsia" w:ascii="仿宋_GB2312" w:hAnsi="仿宋_GB2312" w:eastAsia="仿宋_GB2312" w:cs="仿宋_GB2312"/>
          <w:sz w:val="32"/>
          <w:szCs w:val="32"/>
          <w:highlight w:val="none"/>
          <w:u w:val="none"/>
          <w:lang w:val="en-US" w:eastAsia="zh-CN"/>
        </w:rPr>
        <w:t>市委市政府、区党工委区管委会明确要求在较短时间内尽快开展实质性工作的民生实事工程,包括应急工程及其他工期紧急工程,招标方案经区建设工程招投标领导小组或深汕特别合作区成立的相关项目工作专班会议审议同意，可按照深府〔2015〕73号文规定简易程序进行公开招标。</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第五条 </w:t>
      </w:r>
      <w:r>
        <w:rPr>
          <w:rFonts w:hint="eastAsia" w:ascii="仿宋_GB2312" w:hAnsi="仿宋_GB2312" w:eastAsia="仿宋_GB2312" w:cs="仿宋_GB2312"/>
          <w:sz w:val="32"/>
          <w:szCs w:val="32"/>
          <w:highlight w:val="none"/>
          <w:u w:val="none"/>
          <w:lang w:val="en-US" w:eastAsia="zh-CN"/>
        </w:rPr>
        <w:t>招标方案审批实行分级管理：</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w:t>
      </w:r>
      <w:r>
        <w:rPr>
          <w:rFonts w:hint="eastAsia" w:ascii="仿宋_GB2312" w:hAnsi="仿宋_GB2312" w:eastAsia="仿宋_GB2312" w:cs="仿宋_GB2312"/>
          <w:b w:val="0"/>
          <w:bCs w:val="0"/>
          <w:sz w:val="32"/>
          <w:szCs w:val="32"/>
          <w:highlight w:val="none"/>
          <w:u w:val="none"/>
          <w:lang w:val="en-US" w:eastAsia="zh-CN"/>
        </w:rPr>
        <w:t>区建设工程招投标领导小组会议审定</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hAnsi="仿宋_GB2312" w:eastAsia="仿宋_GB2312" w:cs="仿宋_GB2312"/>
          <w:color w:val="000000"/>
          <w:sz w:val="32"/>
          <w:szCs w:val="32"/>
          <w:highlight w:val="none"/>
          <w:u w:val="none"/>
          <w:lang w:eastAsia="zh-CN"/>
        </w:rPr>
      </w:pPr>
      <w:r>
        <w:rPr>
          <w:rFonts w:hint="eastAsia" w:hAnsi="仿宋_GB2312" w:eastAsia="仿宋_GB2312" w:cs="仿宋_GB2312"/>
          <w:color w:val="000000"/>
          <w:sz w:val="32"/>
          <w:szCs w:val="32"/>
          <w:highlight w:val="none"/>
          <w:u w:val="none"/>
          <w:lang w:val="en-US" w:eastAsia="zh-CN"/>
        </w:rPr>
        <w:t>1.</w:t>
      </w:r>
      <w:r>
        <w:rPr>
          <w:rFonts w:hint="eastAsia" w:hAnsi="仿宋_GB2312" w:eastAsia="仿宋_GB2312" w:cs="仿宋_GB2312"/>
          <w:color w:val="000000"/>
          <w:sz w:val="32"/>
          <w:szCs w:val="32"/>
          <w:highlight w:val="none"/>
          <w:u w:val="none"/>
        </w:rPr>
        <w:t>大型项目、</w:t>
      </w:r>
      <w:r>
        <w:rPr>
          <w:rFonts w:hAnsi="仿宋_GB2312" w:eastAsia="仿宋_GB2312" w:cs="仿宋_GB2312"/>
          <w:color w:val="000000"/>
          <w:sz w:val="32"/>
          <w:szCs w:val="32"/>
          <w:highlight w:val="none"/>
          <w:u w:val="none"/>
        </w:rPr>
        <w:t>重大项目</w:t>
      </w:r>
      <w:r>
        <w:rPr>
          <w:rFonts w:hint="eastAsia" w:hAnsi="仿宋_GB2312" w:eastAsia="仿宋_GB2312" w:cs="仿宋_GB2312"/>
          <w:color w:val="000000"/>
          <w:sz w:val="32"/>
          <w:szCs w:val="32"/>
          <w:highlight w:val="none"/>
          <w:u w:val="none"/>
        </w:rPr>
        <w:t>、</w:t>
      </w:r>
      <w:r>
        <w:rPr>
          <w:rFonts w:hAnsi="仿宋_GB2312" w:eastAsia="仿宋_GB2312" w:cs="仿宋_GB2312"/>
          <w:color w:val="000000"/>
          <w:sz w:val="32"/>
          <w:szCs w:val="32"/>
          <w:highlight w:val="none"/>
          <w:u w:val="none"/>
        </w:rPr>
        <w:t>技术复杂项目</w:t>
      </w:r>
      <w:r>
        <w:rPr>
          <w:rFonts w:hint="eastAsia" w:hAnsi="仿宋_GB2312" w:eastAsia="仿宋_GB2312" w:cs="仿宋_GB2312"/>
          <w:color w:val="000000"/>
          <w:sz w:val="32"/>
          <w:szCs w:val="32"/>
          <w:highlight w:val="none"/>
          <w:u w:val="none"/>
        </w:rPr>
        <w:t>或</w:t>
      </w:r>
      <w:r>
        <w:rPr>
          <w:rFonts w:hAnsi="仿宋_GB2312" w:eastAsia="仿宋_GB2312" w:cs="仿宋_GB2312"/>
          <w:color w:val="000000"/>
          <w:sz w:val="32"/>
          <w:szCs w:val="32"/>
          <w:highlight w:val="none"/>
          <w:u w:val="none"/>
        </w:rPr>
        <w:t>单项合同估算价大于等于</w:t>
      </w:r>
      <w:r>
        <w:rPr>
          <w:rFonts w:hint="eastAsia" w:hAnsi="仿宋_GB2312" w:eastAsia="仿宋_GB2312" w:cs="仿宋_GB2312"/>
          <w:color w:val="000000"/>
          <w:sz w:val="32"/>
          <w:szCs w:val="32"/>
          <w:highlight w:val="none"/>
          <w:u w:val="none"/>
        </w:rPr>
        <w:t>5</w:t>
      </w:r>
      <w:r>
        <w:rPr>
          <w:rFonts w:hAnsi="仿宋_GB2312" w:eastAsia="仿宋_GB2312" w:cs="仿宋_GB2312"/>
          <w:color w:val="000000"/>
          <w:sz w:val="32"/>
          <w:szCs w:val="32"/>
          <w:highlight w:val="none"/>
          <w:u w:val="none"/>
        </w:rPr>
        <w:t>000万元的施工招标方案；</w:t>
      </w:r>
    </w:p>
    <w:p>
      <w:pPr>
        <w:pStyle w:val="5"/>
        <w:keepNext w:val="0"/>
        <w:keepLines w:val="0"/>
        <w:pageBreakBefore w:val="0"/>
        <w:kinsoku/>
        <w:wordWrap/>
        <w:overflowPunct/>
        <w:topLinePunct w:val="0"/>
        <w:bidi w:val="0"/>
        <w:snapToGrid/>
        <w:spacing w:line="560" w:lineRule="exact"/>
        <w:ind w:firstLine="640" w:firstLineChars="200"/>
        <w:textAlignment w:val="auto"/>
        <w:rPr>
          <w:rFonts w:hAnsi="仿宋_GB2312" w:eastAsia="仿宋_GB2312" w:cs="仿宋_GB2312"/>
          <w:color w:val="000000"/>
          <w:sz w:val="32"/>
          <w:szCs w:val="32"/>
          <w:highlight w:val="none"/>
          <w:u w:val="none"/>
        </w:rPr>
      </w:pPr>
      <w:r>
        <w:rPr>
          <w:rFonts w:hint="eastAsia" w:hAnsi="仿宋_GB2312" w:eastAsia="仿宋_GB2312" w:cs="仿宋_GB2312"/>
          <w:color w:val="000000"/>
          <w:sz w:val="32"/>
          <w:szCs w:val="32"/>
          <w:highlight w:val="none"/>
          <w:u w:val="none"/>
          <w:lang w:val="en-US" w:eastAsia="zh-CN"/>
        </w:rPr>
        <w:t>2.</w:t>
      </w:r>
      <w:r>
        <w:rPr>
          <w:rFonts w:hAnsi="仿宋_GB2312" w:eastAsia="仿宋_GB2312" w:cs="仿宋_GB2312"/>
          <w:color w:val="000000"/>
          <w:sz w:val="32"/>
          <w:szCs w:val="32"/>
          <w:highlight w:val="none"/>
          <w:u w:val="none"/>
        </w:rPr>
        <w:t>单项合同估算价大于等于</w:t>
      </w:r>
      <w:r>
        <w:rPr>
          <w:rFonts w:hint="eastAsia" w:hAnsi="仿宋_GB2312" w:eastAsia="仿宋_GB2312" w:cs="仿宋_GB2312"/>
          <w:color w:val="000000"/>
          <w:sz w:val="32"/>
          <w:szCs w:val="32"/>
          <w:highlight w:val="none"/>
          <w:u w:val="none"/>
        </w:rPr>
        <w:t>5</w:t>
      </w:r>
      <w:r>
        <w:rPr>
          <w:rFonts w:hAnsi="仿宋_GB2312" w:eastAsia="仿宋_GB2312" w:cs="仿宋_GB2312"/>
          <w:color w:val="000000"/>
          <w:sz w:val="32"/>
          <w:szCs w:val="32"/>
          <w:highlight w:val="none"/>
          <w:u w:val="none"/>
        </w:rPr>
        <w:t>00万元的工程服务类项目的招标方案；</w:t>
      </w:r>
    </w:p>
    <w:p>
      <w:pPr>
        <w:pStyle w:val="5"/>
        <w:keepNext w:val="0"/>
        <w:keepLines w:val="0"/>
        <w:pageBreakBefore w:val="0"/>
        <w:kinsoku/>
        <w:wordWrap/>
        <w:overflowPunct/>
        <w:topLinePunct w:val="0"/>
        <w:bidi w:val="0"/>
        <w:snapToGrid/>
        <w:spacing w:line="560" w:lineRule="exact"/>
        <w:ind w:firstLine="640" w:firstLineChars="200"/>
        <w:textAlignment w:val="auto"/>
        <w:rPr>
          <w:rFonts w:hAnsi="仿宋_GB2312" w:eastAsia="仿宋_GB2312" w:cs="仿宋_GB2312"/>
          <w:color w:val="000000"/>
          <w:sz w:val="32"/>
          <w:szCs w:val="32"/>
          <w:highlight w:val="none"/>
          <w:u w:val="none"/>
        </w:rPr>
      </w:pPr>
      <w:r>
        <w:rPr>
          <w:rFonts w:hint="eastAsia" w:hAnsi="仿宋_GB2312" w:eastAsia="仿宋_GB2312" w:cs="仿宋_GB2312"/>
          <w:color w:val="000000"/>
          <w:sz w:val="32"/>
          <w:szCs w:val="32"/>
          <w:highlight w:val="none"/>
          <w:u w:val="none"/>
          <w:lang w:val="en-US" w:eastAsia="zh-CN"/>
        </w:rPr>
        <w:t>3.</w:t>
      </w:r>
      <w:r>
        <w:rPr>
          <w:rFonts w:hAnsi="仿宋_GB2312" w:eastAsia="仿宋_GB2312" w:cs="仿宋_GB2312"/>
          <w:color w:val="000000"/>
          <w:sz w:val="32"/>
          <w:szCs w:val="32"/>
          <w:highlight w:val="none"/>
          <w:u w:val="none"/>
        </w:rPr>
        <w:t>单项合同估算价大于等于</w:t>
      </w:r>
      <w:r>
        <w:rPr>
          <w:rFonts w:hint="eastAsia" w:hAnsi="仿宋_GB2312" w:eastAsia="仿宋_GB2312" w:cs="仿宋_GB2312"/>
          <w:color w:val="000000"/>
          <w:sz w:val="32"/>
          <w:szCs w:val="32"/>
          <w:highlight w:val="none"/>
          <w:u w:val="none"/>
        </w:rPr>
        <w:t>5</w:t>
      </w:r>
      <w:r>
        <w:rPr>
          <w:rFonts w:hAnsi="仿宋_GB2312" w:eastAsia="仿宋_GB2312" w:cs="仿宋_GB2312"/>
          <w:color w:val="000000"/>
          <w:sz w:val="32"/>
          <w:szCs w:val="32"/>
          <w:highlight w:val="none"/>
          <w:u w:val="none"/>
        </w:rPr>
        <w:t>00万元的房屋建筑设计招标方案及方案比选；</w:t>
      </w:r>
    </w:p>
    <w:p>
      <w:pPr>
        <w:pStyle w:val="5"/>
        <w:keepNext w:val="0"/>
        <w:keepLines w:val="0"/>
        <w:pageBreakBefore w:val="0"/>
        <w:kinsoku/>
        <w:wordWrap/>
        <w:overflowPunct/>
        <w:topLinePunct w:val="0"/>
        <w:bidi w:val="0"/>
        <w:snapToGrid/>
        <w:spacing w:line="560" w:lineRule="exact"/>
        <w:ind w:firstLine="640" w:firstLineChars="200"/>
        <w:textAlignment w:val="auto"/>
        <w:rPr>
          <w:rFonts w:hAnsi="仿宋_GB2312" w:eastAsia="仿宋_GB2312" w:cs="仿宋_GB2312"/>
          <w:color w:val="000000"/>
          <w:sz w:val="32"/>
          <w:szCs w:val="32"/>
          <w:highlight w:val="none"/>
          <w:u w:val="none"/>
        </w:rPr>
      </w:pPr>
      <w:r>
        <w:rPr>
          <w:rFonts w:hint="eastAsia" w:hAnsi="仿宋_GB2312" w:eastAsia="仿宋_GB2312" w:cs="仿宋_GB2312"/>
          <w:color w:val="000000"/>
          <w:sz w:val="32"/>
          <w:szCs w:val="32"/>
          <w:highlight w:val="none"/>
          <w:u w:val="none"/>
          <w:lang w:val="en-US" w:eastAsia="zh-CN"/>
        </w:rPr>
        <w:t>4.</w:t>
      </w:r>
      <w:r>
        <w:rPr>
          <w:rFonts w:hAnsi="仿宋_GB2312" w:eastAsia="仿宋_GB2312" w:cs="仿宋_GB2312"/>
          <w:color w:val="000000"/>
          <w:sz w:val="32"/>
          <w:szCs w:val="32"/>
          <w:highlight w:val="none"/>
          <w:u w:val="none"/>
        </w:rPr>
        <w:t>行业主管部门认为特别重大、复杂，或存在较大争议的招标方案或其他事项。</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hAnsi="仿宋_GB2312" w:eastAsia="仿宋_GB2312" w:cs="仿宋_GB2312"/>
          <w:color w:val="000000"/>
          <w:sz w:val="32"/>
          <w:szCs w:val="32"/>
          <w:highlight w:val="none"/>
          <w:u w:val="none"/>
          <w:lang w:val="en-US" w:eastAsia="zh-CN"/>
        </w:rPr>
        <w:t>（二）</w:t>
      </w:r>
      <w:r>
        <w:rPr>
          <w:rFonts w:hint="eastAsia" w:ascii="仿宋_GB2312" w:hAnsi="仿宋_GB2312" w:eastAsia="仿宋_GB2312" w:cs="仿宋_GB2312"/>
          <w:b w:val="0"/>
          <w:bCs w:val="0"/>
          <w:sz w:val="32"/>
          <w:szCs w:val="32"/>
          <w:highlight w:val="none"/>
          <w:u w:val="none"/>
          <w:lang w:val="en-US" w:eastAsia="zh-CN"/>
        </w:rPr>
        <w:t>区建设工程招投标领导小组办公室会议审定</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hAnsi="仿宋_GB2312" w:eastAsia="仿宋_GB2312" w:cs="仿宋_GB2312"/>
          <w:color w:val="000000"/>
          <w:sz w:val="32"/>
          <w:szCs w:val="32"/>
          <w:highlight w:val="none"/>
          <w:u w:val="none"/>
          <w:lang w:eastAsia="zh-CN"/>
        </w:rPr>
      </w:pPr>
      <w:r>
        <w:rPr>
          <w:rFonts w:hint="eastAsia" w:hAnsi="仿宋_GB2312" w:eastAsia="仿宋_GB2312" w:cs="仿宋_GB2312"/>
          <w:color w:val="000000"/>
          <w:sz w:val="32"/>
          <w:szCs w:val="32"/>
          <w:highlight w:val="none"/>
          <w:u w:val="none"/>
          <w:lang w:val="en-US" w:eastAsia="zh-CN"/>
        </w:rPr>
        <w:t>1.较大</w:t>
      </w:r>
      <w:r>
        <w:rPr>
          <w:rFonts w:hint="eastAsia" w:hAnsi="仿宋_GB2312" w:eastAsia="仿宋_GB2312" w:cs="仿宋_GB2312"/>
          <w:color w:val="000000"/>
          <w:sz w:val="32"/>
          <w:szCs w:val="32"/>
          <w:highlight w:val="none"/>
          <w:u w:val="none"/>
        </w:rPr>
        <w:t>项目或单项合同估算价在3</w:t>
      </w:r>
      <w:r>
        <w:rPr>
          <w:rFonts w:hAnsi="仿宋_GB2312" w:eastAsia="仿宋_GB2312" w:cs="仿宋_GB2312"/>
          <w:color w:val="000000"/>
          <w:sz w:val="32"/>
          <w:szCs w:val="32"/>
          <w:highlight w:val="none"/>
          <w:u w:val="none"/>
        </w:rPr>
        <w:t>00</w:t>
      </w:r>
      <w:r>
        <w:rPr>
          <w:rFonts w:hint="eastAsia" w:hAnsi="仿宋_GB2312" w:eastAsia="仿宋_GB2312" w:cs="仿宋_GB2312"/>
          <w:color w:val="000000"/>
          <w:sz w:val="32"/>
          <w:szCs w:val="32"/>
          <w:highlight w:val="none"/>
          <w:u w:val="none"/>
        </w:rPr>
        <w:t>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以上</w:t>
      </w:r>
      <w:r>
        <w:rPr>
          <w:rFonts w:hint="eastAsia" w:hAnsi="仿宋_GB2312" w:eastAsia="仿宋_GB2312" w:cs="仿宋_GB2312"/>
          <w:color w:val="000000"/>
          <w:sz w:val="32"/>
          <w:szCs w:val="32"/>
          <w:highlight w:val="none"/>
          <w:u w:val="none"/>
          <w:lang w:eastAsia="zh-CN"/>
        </w:rPr>
        <w:t>，</w:t>
      </w:r>
      <w:r>
        <w:rPr>
          <w:rFonts w:hint="eastAsia" w:hAnsi="仿宋_GB2312" w:eastAsia="仿宋_GB2312" w:cs="仿宋_GB2312"/>
          <w:color w:val="000000"/>
          <w:sz w:val="32"/>
          <w:szCs w:val="32"/>
          <w:highlight w:val="none"/>
          <w:u w:val="none"/>
        </w:rPr>
        <w:t>5000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以下</w:t>
      </w:r>
      <w:r>
        <w:rPr>
          <w:rFonts w:hAnsi="仿宋_GB2312" w:eastAsia="仿宋_GB2312" w:cs="仿宋_GB2312"/>
          <w:color w:val="000000"/>
          <w:sz w:val="32"/>
          <w:szCs w:val="32"/>
          <w:highlight w:val="none"/>
          <w:u w:val="none"/>
        </w:rPr>
        <w:t>的</w:t>
      </w:r>
      <w:r>
        <w:rPr>
          <w:rFonts w:hint="eastAsia" w:hAnsi="仿宋_GB2312" w:eastAsia="仿宋_GB2312" w:cs="仿宋_GB2312"/>
          <w:color w:val="000000"/>
          <w:sz w:val="32"/>
          <w:szCs w:val="32"/>
          <w:highlight w:val="none"/>
          <w:u w:val="none"/>
        </w:rPr>
        <w:t>施工</w:t>
      </w:r>
      <w:r>
        <w:rPr>
          <w:rFonts w:hAnsi="仿宋_GB2312" w:eastAsia="仿宋_GB2312" w:cs="仿宋_GB2312"/>
          <w:color w:val="000000"/>
          <w:sz w:val="32"/>
          <w:szCs w:val="32"/>
          <w:highlight w:val="none"/>
          <w:u w:val="none"/>
        </w:rPr>
        <w:t>招标方案；</w:t>
      </w:r>
    </w:p>
    <w:p>
      <w:pPr>
        <w:pStyle w:val="5"/>
        <w:keepNext w:val="0"/>
        <w:keepLines w:val="0"/>
        <w:pageBreakBefore w:val="0"/>
        <w:kinsoku/>
        <w:wordWrap/>
        <w:overflowPunct/>
        <w:topLinePunct w:val="0"/>
        <w:bidi w:val="0"/>
        <w:snapToGrid/>
        <w:spacing w:line="560" w:lineRule="exact"/>
        <w:ind w:firstLine="640" w:firstLineChars="200"/>
        <w:textAlignment w:val="auto"/>
        <w:rPr>
          <w:rFonts w:hAnsi="仿宋_GB2312" w:eastAsia="仿宋_GB2312" w:cs="仿宋_GB2312"/>
          <w:color w:val="000000"/>
          <w:sz w:val="32"/>
          <w:szCs w:val="32"/>
          <w:highlight w:val="none"/>
          <w:u w:val="none"/>
        </w:rPr>
      </w:pPr>
      <w:r>
        <w:rPr>
          <w:rFonts w:hint="eastAsia" w:hAnsi="仿宋_GB2312" w:eastAsia="仿宋_GB2312" w:cs="仿宋_GB2312"/>
          <w:color w:val="000000"/>
          <w:sz w:val="32"/>
          <w:szCs w:val="32"/>
          <w:highlight w:val="none"/>
          <w:u w:val="none"/>
          <w:lang w:val="en-US" w:eastAsia="zh-CN"/>
        </w:rPr>
        <w:t>2.</w:t>
      </w:r>
      <w:r>
        <w:rPr>
          <w:rFonts w:hAnsi="仿宋_GB2312" w:eastAsia="仿宋_GB2312" w:cs="仿宋_GB2312"/>
          <w:color w:val="000000"/>
          <w:sz w:val="32"/>
          <w:szCs w:val="32"/>
          <w:highlight w:val="none"/>
          <w:u w:val="none"/>
        </w:rPr>
        <w:t>单项合同估算价</w:t>
      </w:r>
      <w:r>
        <w:rPr>
          <w:rFonts w:hint="eastAsia" w:hAnsi="仿宋_GB2312" w:eastAsia="仿宋_GB2312" w:cs="仿宋_GB2312"/>
          <w:color w:val="000000"/>
          <w:sz w:val="32"/>
          <w:szCs w:val="32"/>
          <w:highlight w:val="none"/>
          <w:u w:val="none"/>
        </w:rPr>
        <w:t>3</w:t>
      </w:r>
      <w:r>
        <w:rPr>
          <w:rFonts w:hAnsi="仿宋_GB2312" w:eastAsia="仿宋_GB2312" w:cs="仿宋_GB2312"/>
          <w:color w:val="000000"/>
          <w:sz w:val="32"/>
          <w:szCs w:val="32"/>
          <w:highlight w:val="none"/>
          <w:u w:val="none"/>
        </w:rPr>
        <w:t>00万元</w:t>
      </w:r>
      <w:r>
        <w:rPr>
          <w:rFonts w:hint="eastAsia" w:hAnsi="仿宋_GB2312" w:eastAsia="仿宋_GB2312" w:cs="仿宋_GB2312"/>
          <w:color w:val="000000"/>
          <w:sz w:val="32"/>
          <w:szCs w:val="32"/>
          <w:highlight w:val="none"/>
          <w:u w:val="none"/>
          <w:lang w:val="en-US" w:eastAsia="zh-CN"/>
        </w:rPr>
        <w:t>以上，</w:t>
      </w:r>
      <w:r>
        <w:rPr>
          <w:rFonts w:hint="eastAsia" w:hAnsi="仿宋_GB2312" w:eastAsia="仿宋_GB2312" w:cs="仿宋_GB2312"/>
          <w:color w:val="000000"/>
          <w:sz w:val="32"/>
          <w:szCs w:val="32"/>
          <w:highlight w:val="none"/>
          <w:u w:val="none"/>
        </w:rPr>
        <w:t>500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以下</w:t>
      </w:r>
      <w:r>
        <w:rPr>
          <w:rFonts w:hAnsi="仿宋_GB2312" w:eastAsia="仿宋_GB2312" w:cs="仿宋_GB2312"/>
          <w:color w:val="000000"/>
          <w:sz w:val="32"/>
          <w:szCs w:val="32"/>
          <w:highlight w:val="none"/>
          <w:u w:val="none"/>
        </w:rPr>
        <w:t>的工程服务类项目的招标方案；</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hAnsi="仿宋_GB2312" w:eastAsia="仿宋_GB2312" w:cs="仿宋_GB2312"/>
          <w:color w:val="000000"/>
          <w:sz w:val="32"/>
          <w:szCs w:val="32"/>
          <w:highlight w:val="none"/>
          <w:u w:val="none"/>
          <w:lang w:eastAsia="zh-CN"/>
        </w:rPr>
      </w:pPr>
      <w:r>
        <w:rPr>
          <w:rFonts w:hint="eastAsia" w:hAnsi="仿宋_GB2312" w:eastAsia="仿宋_GB2312" w:cs="仿宋_GB2312"/>
          <w:color w:val="000000"/>
          <w:sz w:val="32"/>
          <w:szCs w:val="32"/>
          <w:highlight w:val="none"/>
          <w:u w:val="none"/>
          <w:lang w:val="en-US" w:eastAsia="zh-CN"/>
        </w:rPr>
        <w:t>3.</w:t>
      </w:r>
      <w:r>
        <w:rPr>
          <w:rFonts w:hAnsi="仿宋_GB2312" w:eastAsia="仿宋_GB2312" w:cs="仿宋_GB2312"/>
          <w:color w:val="000000"/>
          <w:sz w:val="32"/>
          <w:szCs w:val="32"/>
          <w:highlight w:val="none"/>
          <w:u w:val="none"/>
        </w:rPr>
        <w:t>单项合同估算价</w:t>
      </w:r>
      <w:r>
        <w:rPr>
          <w:rFonts w:hint="eastAsia" w:hAnsi="仿宋_GB2312" w:eastAsia="仿宋_GB2312" w:cs="仿宋_GB2312"/>
          <w:color w:val="000000"/>
          <w:sz w:val="32"/>
          <w:szCs w:val="32"/>
          <w:highlight w:val="none"/>
          <w:u w:val="none"/>
        </w:rPr>
        <w:t>3</w:t>
      </w:r>
      <w:r>
        <w:rPr>
          <w:rFonts w:hAnsi="仿宋_GB2312" w:eastAsia="仿宋_GB2312" w:cs="仿宋_GB2312"/>
          <w:color w:val="000000"/>
          <w:sz w:val="32"/>
          <w:szCs w:val="32"/>
          <w:highlight w:val="none"/>
          <w:u w:val="none"/>
        </w:rPr>
        <w:t>00万元</w:t>
      </w:r>
      <w:r>
        <w:rPr>
          <w:rFonts w:hint="eastAsia" w:hAnsi="仿宋_GB2312" w:eastAsia="仿宋_GB2312" w:cs="仿宋_GB2312"/>
          <w:color w:val="000000"/>
          <w:sz w:val="32"/>
          <w:szCs w:val="32"/>
          <w:highlight w:val="none"/>
          <w:u w:val="none"/>
          <w:lang w:val="en-US" w:eastAsia="zh-CN"/>
        </w:rPr>
        <w:t>以上，</w:t>
      </w:r>
      <w:r>
        <w:rPr>
          <w:rFonts w:hint="eastAsia" w:hAnsi="仿宋_GB2312" w:eastAsia="仿宋_GB2312" w:cs="仿宋_GB2312"/>
          <w:color w:val="000000"/>
          <w:sz w:val="32"/>
          <w:szCs w:val="32"/>
          <w:highlight w:val="none"/>
          <w:u w:val="none"/>
        </w:rPr>
        <w:t>500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以下</w:t>
      </w:r>
      <w:r>
        <w:rPr>
          <w:rFonts w:hAnsi="仿宋_GB2312" w:eastAsia="仿宋_GB2312" w:cs="仿宋_GB2312"/>
          <w:color w:val="000000"/>
          <w:sz w:val="32"/>
          <w:szCs w:val="32"/>
          <w:highlight w:val="none"/>
          <w:u w:val="none"/>
        </w:rPr>
        <w:t>的房屋建筑设计招标方案及方案比选</w:t>
      </w:r>
      <w:r>
        <w:rPr>
          <w:rFonts w:hint="eastAsia" w:hAnsi="仿宋_GB2312" w:eastAsia="仿宋_GB2312" w:cs="仿宋_GB2312"/>
          <w:color w:val="000000"/>
          <w:sz w:val="32"/>
          <w:szCs w:val="32"/>
          <w:highlight w:val="none"/>
          <w:u w:val="none"/>
          <w:lang w:eastAsia="zh-CN"/>
        </w:rPr>
        <w:t>。</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hAnsi="仿宋_GB2312" w:eastAsia="仿宋_GB2312" w:cs="仿宋_GB2312"/>
          <w:b w:val="0"/>
          <w:bCs w:val="0"/>
          <w:sz w:val="32"/>
          <w:szCs w:val="32"/>
          <w:highlight w:val="none"/>
          <w:u w:val="none"/>
          <w:lang w:val="en-US" w:eastAsia="zh-CN"/>
        </w:rPr>
        <w:t>（三）</w:t>
      </w:r>
      <w:r>
        <w:rPr>
          <w:rFonts w:hint="eastAsia" w:ascii="仿宋_GB2312" w:hAnsi="仿宋_GB2312" w:eastAsia="仿宋_GB2312" w:cs="仿宋_GB2312"/>
          <w:b w:val="0"/>
          <w:bCs w:val="0"/>
          <w:sz w:val="32"/>
          <w:szCs w:val="32"/>
          <w:highlight w:val="none"/>
          <w:u w:val="none"/>
          <w:lang w:val="en-US" w:eastAsia="zh-CN"/>
        </w:rPr>
        <w:t>直接申请办理招标备案</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hAnsi="仿宋_GB2312" w:eastAsia="仿宋_GB2312" w:cs="仿宋_GB2312"/>
          <w:color w:val="000000"/>
          <w:sz w:val="32"/>
          <w:szCs w:val="32"/>
          <w:highlight w:val="none"/>
          <w:u w:val="none"/>
          <w:lang w:val="en-US" w:eastAsia="zh-CN"/>
        </w:rPr>
      </w:pPr>
      <w:r>
        <w:rPr>
          <w:rFonts w:hint="eastAsia" w:hAnsi="仿宋_GB2312" w:eastAsia="仿宋_GB2312" w:cs="仿宋_GB2312"/>
          <w:color w:val="000000"/>
          <w:sz w:val="32"/>
          <w:szCs w:val="32"/>
          <w:highlight w:val="none"/>
          <w:u w:val="none"/>
          <w:lang w:val="en-US" w:eastAsia="zh-CN"/>
        </w:rPr>
        <w:t>以下四项，</w:t>
      </w:r>
      <w:r>
        <w:rPr>
          <w:rFonts w:hint="eastAsia" w:hAnsi="仿宋_GB2312" w:eastAsia="仿宋_GB2312" w:cs="仿宋_GB2312"/>
          <w:color w:val="000000"/>
          <w:sz w:val="32"/>
          <w:szCs w:val="32"/>
          <w:highlight w:val="none"/>
          <w:u w:val="none"/>
        </w:rPr>
        <w:t>招标人</w:t>
      </w:r>
      <w:r>
        <w:rPr>
          <w:rFonts w:hint="eastAsia" w:hAnsi="仿宋_GB2312" w:eastAsia="仿宋_GB2312" w:cs="仿宋_GB2312"/>
          <w:color w:val="000000"/>
          <w:sz w:val="32"/>
          <w:szCs w:val="32"/>
          <w:highlight w:val="none"/>
          <w:u w:val="none"/>
          <w:lang w:val="en-US" w:eastAsia="zh-CN"/>
        </w:rPr>
        <w:t>可</w:t>
      </w:r>
      <w:r>
        <w:rPr>
          <w:rFonts w:hint="eastAsia" w:hAnsi="仿宋_GB2312" w:eastAsia="仿宋_GB2312" w:cs="仿宋_GB2312"/>
          <w:color w:val="000000"/>
          <w:sz w:val="32"/>
          <w:szCs w:val="32"/>
          <w:highlight w:val="none"/>
          <w:u w:val="none"/>
        </w:rPr>
        <w:t>直接在建设工程交易行政监督平台提交招标备案申请，由区住建水务局直接办理招标备案审核。</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hAnsi="仿宋_GB2312" w:eastAsia="仿宋_GB2312" w:cs="仿宋_GB2312"/>
          <w:color w:val="000000"/>
          <w:sz w:val="32"/>
          <w:szCs w:val="32"/>
          <w:highlight w:val="none"/>
          <w:u w:val="none"/>
          <w:lang w:eastAsia="zh-CN"/>
        </w:rPr>
      </w:pPr>
      <w:r>
        <w:rPr>
          <w:rFonts w:hint="eastAsia" w:hAnsi="仿宋_GB2312" w:eastAsia="仿宋_GB2312" w:cs="仿宋_GB2312"/>
          <w:color w:val="000000"/>
          <w:sz w:val="32"/>
          <w:szCs w:val="32"/>
          <w:highlight w:val="none"/>
          <w:u w:val="none"/>
          <w:lang w:val="en-US" w:eastAsia="zh-CN"/>
        </w:rPr>
        <w:t>1.</w:t>
      </w:r>
      <w:r>
        <w:rPr>
          <w:rFonts w:hint="eastAsia" w:hAnsi="仿宋_GB2312" w:eastAsia="仿宋_GB2312" w:cs="仿宋_GB2312"/>
          <w:color w:val="000000"/>
          <w:sz w:val="32"/>
          <w:szCs w:val="32"/>
          <w:highlight w:val="none"/>
          <w:u w:val="none"/>
        </w:rPr>
        <w:t>一般项目</w:t>
      </w:r>
      <w:r>
        <w:rPr>
          <w:rFonts w:hint="eastAsia" w:hAnsi="仿宋_GB2312" w:eastAsia="仿宋_GB2312" w:cs="仿宋_GB2312"/>
          <w:color w:val="000000"/>
          <w:sz w:val="32"/>
          <w:szCs w:val="32"/>
          <w:highlight w:val="none"/>
          <w:u w:val="none"/>
          <w:lang w:val="en-US" w:eastAsia="zh-CN"/>
        </w:rPr>
        <w:t>中</w:t>
      </w:r>
      <w:r>
        <w:rPr>
          <w:rFonts w:hint="eastAsia" w:ascii="仿宋_GB2312" w:hAnsi="仿宋_GB2312" w:eastAsia="仿宋_GB2312" w:cs="仿宋_GB2312"/>
          <w:sz w:val="32"/>
          <w:szCs w:val="32"/>
          <w:highlight w:val="none"/>
          <w:u w:val="none"/>
          <w:lang w:val="en-US" w:eastAsia="zh-CN"/>
        </w:rPr>
        <w:t>概算</w:t>
      </w:r>
      <w:r>
        <w:rPr>
          <w:rFonts w:hint="eastAsia" w:hAnsi="仿宋_GB2312" w:eastAsia="仿宋_GB2312" w:cs="仿宋_GB2312"/>
          <w:color w:val="000000"/>
          <w:sz w:val="32"/>
          <w:szCs w:val="32"/>
          <w:highlight w:val="none"/>
          <w:u w:val="none"/>
          <w:lang w:val="en-US" w:eastAsia="zh-CN"/>
        </w:rPr>
        <w:t>建安费</w:t>
      </w:r>
      <w:r>
        <w:rPr>
          <w:rFonts w:hint="eastAsia" w:hAnsi="仿宋_GB2312" w:eastAsia="仿宋_GB2312" w:cs="仿宋_GB2312"/>
          <w:color w:val="000000"/>
          <w:sz w:val="32"/>
          <w:szCs w:val="32"/>
          <w:highlight w:val="none"/>
          <w:u w:val="none"/>
        </w:rPr>
        <w:t>在</w:t>
      </w:r>
      <w:r>
        <w:rPr>
          <w:rFonts w:hint="eastAsia" w:hAnsi="仿宋_GB2312" w:eastAsia="仿宋_GB2312" w:cs="仿宋_GB2312"/>
          <w:color w:val="000000"/>
          <w:sz w:val="32"/>
          <w:szCs w:val="32"/>
          <w:highlight w:val="none"/>
          <w:u w:val="none"/>
          <w:lang w:val="en-US" w:eastAsia="zh-CN"/>
        </w:rPr>
        <w:t>4</w:t>
      </w:r>
      <w:r>
        <w:rPr>
          <w:rFonts w:hAnsi="仿宋_GB2312" w:eastAsia="仿宋_GB2312" w:cs="仿宋_GB2312"/>
          <w:color w:val="000000"/>
          <w:sz w:val="32"/>
          <w:szCs w:val="32"/>
          <w:highlight w:val="none"/>
          <w:u w:val="none"/>
        </w:rPr>
        <w:t>0</w:t>
      </w:r>
      <w:r>
        <w:rPr>
          <w:rFonts w:hint="eastAsia" w:hAnsi="仿宋_GB2312" w:eastAsia="仿宋_GB2312" w:cs="仿宋_GB2312"/>
          <w:color w:val="000000"/>
          <w:sz w:val="32"/>
          <w:szCs w:val="32"/>
          <w:highlight w:val="none"/>
          <w:u w:val="none"/>
        </w:rPr>
        <w:t>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以上的项目，或</w:t>
      </w:r>
      <w:r>
        <w:rPr>
          <w:rFonts w:hint="eastAsia" w:hAnsi="仿宋_GB2312" w:eastAsia="仿宋_GB2312" w:cs="仿宋_GB2312"/>
          <w:color w:val="000000"/>
          <w:sz w:val="32"/>
          <w:szCs w:val="32"/>
          <w:highlight w:val="none"/>
          <w:u w:val="none"/>
        </w:rPr>
        <w:t>单项合同估算价在</w:t>
      </w:r>
      <w:r>
        <w:rPr>
          <w:rFonts w:hint="eastAsia" w:hAnsi="仿宋_GB2312" w:eastAsia="仿宋_GB2312" w:cs="仿宋_GB2312"/>
          <w:color w:val="000000"/>
          <w:sz w:val="32"/>
          <w:szCs w:val="32"/>
          <w:highlight w:val="none"/>
          <w:u w:val="none"/>
          <w:lang w:val="en-US" w:eastAsia="zh-CN"/>
        </w:rPr>
        <w:t>4</w:t>
      </w:r>
      <w:r>
        <w:rPr>
          <w:rFonts w:hAnsi="仿宋_GB2312" w:eastAsia="仿宋_GB2312" w:cs="仿宋_GB2312"/>
          <w:color w:val="000000"/>
          <w:sz w:val="32"/>
          <w:szCs w:val="32"/>
          <w:highlight w:val="none"/>
          <w:u w:val="none"/>
        </w:rPr>
        <w:t>0</w:t>
      </w:r>
      <w:r>
        <w:rPr>
          <w:rFonts w:hint="eastAsia" w:hAnsi="仿宋_GB2312" w:eastAsia="仿宋_GB2312" w:cs="仿宋_GB2312"/>
          <w:color w:val="000000"/>
          <w:sz w:val="32"/>
          <w:szCs w:val="32"/>
          <w:highlight w:val="none"/>
          <w:u w:val="none"/>
        </w:rPr>
        <w:t>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以上</w:t>
      </w:r>
      <w:r>
        <w:rPr>
          <w:rFonts w:hint="eastAsia" w:hAnsi="仿宋_GB2312" w:eastAsia="仿宋_GB2312" w:cs="仿宋_GB2312"/>
          <w:color w:val="000000"/>
          <w:sz w:val="32"/>
          <w:szCs w:val="32"/>
          <w:highlight w:val="none"/>
          <w:u w:val="none"/>
          <w:lang w:eastAsia="zh-CN"/>
        </w:rPr>
        <w:t>，</w:t>
      </w:r>
      <w:r>
        <w:rPr>
          <w:rFonts w:hint="eastAsia" w:hAnsi="仿宋_GB2312" w:eastAsia="仿宋_GB2312" w:cs="仿宋_GB2312"/>
          <w:color w:val="000000"/>
          <w:sz w:val="32"/>
          <w:szCs w:val="32"/>
          <w:highlight w:val="none"/>
          <w:u w:val="none"/>
          <w:lang w:val="en-US" w:eastAsia="zh-CN"/>
        </w:rPr>
        <w:t>3</w:t>
      </w:r>
      <w:r>
        <w:rPr>
          <w:rFonts w:hint="eastAsia" w:hAnsi="仿宋_GB2312" w:eastAsia="仿宋_GB2312" w:cs="仿宋_GB2312"/>
          <w:color w:val="000000"/>
          <w:sz w:val="32"/>
          <w:szCs w:val="32"/>
          <w:highlight w:val="none"/>
          <w:u w:val="none"/>
        </w:rPr>
        <w:t>000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以下</w:t>
      </w:r>
      <w:r>
        <w:rPr>
          <w:rFonts w:hAnsi="仿宋_GB2312" w:eastAsia="仿宋_GB2312" w:cs="仿宋_GB2312"/>
          <w:color w:val="000000"/>
          <w:sz w:val="32"/>
          <w:szCs w:val="32"/>
          <w:highlight w:val="none"/>
          <w:u w:val="none"/>
        </w:rPr>
        <w:t>的</w:t>
      </w:r>
      <w:r>
        <w:rPr>
          <w:rFonts w:hint="eastAsia" w:hAnsi="仿宋_GB2312" w:eastAsia="仿宋_GB2312" w:cs="仿宋_GB2312"/>
          <w:color w:val="000000"/>
          <w:sz w:val="32"/>
          <w:szCs w:val="32"/>
          <w:highlight w:val="none"/>
          <w:u w:val="none"/>
        </w:rPr>
        <w:t>施工</w:t>
      </w:r>
      <w:r>
        <w:rPr>
          <w:rFonts w:hAnsi="仿宋_GB2312" w:eastAsia="仿宋_GB2312" w:cs="仿宋_GB2312"/>
          <w:color w:val="000000"/>
          <w:sz w:val="32"/>
          <w:szCs w:val="32"/>
          <w:highlight w:val="none"/>
          <w:u w:val="none"/>
        </w:rPr>
        <w:t>招标方案；</w:t>
      </w:r>
    </w:p>
    <w:p>
      <w:pPr>
        <w:pStyle w:val="5"/>
        <w:keepNext w:val="0"/>
        <w:keepLines w:val="0"/>
        <w:pageBreakBefore w:val="0"/>
        <w:kinsoku/>
        <w:wordWrap/>
        <w:overflowPunct/>
        <w:topLinePunct w:val="0"/>
        <w:bidi w:val="0"/>
        <w:snapToGrid/>
        <w:spacing w:line="560" w:lineRule="exact"/>
        <w:ind w:firstLine="640" w:firstLineChars="200"/>
        <w:textAlignment w:val="auto"/>
        <w:rPr>
          <w:rFonts w:hAnsi="仿宋_GB2312" w:eastAsia="仿宋_GB2312" w:cs="仿宋_GB2312"/>
          <w:color w:val="000000"/>
          <w:sz w:val="32"/>
          <w:szCs w:val="32"/>
          <w:highlight w:val="none"/>
          <w:u w:val="none"/>
        </w:rPr>
      </w:pPr>
      <w:r>
        <w:rPr>
          <w:rFonts w:hint="eastAsia" w:hAnsi="仿宋_GB2312" w:eastAsia="仿宋_GB2312" w:cs="仿宋_GB2312"/>
          <w:color w:val="000000"/>
          <w:sz w:val="32"/>
          <w:szCs w:val="32"/>
          <w:highlight w:val="none"/>
          <w:u w:val="none"/>
          <w:lang w:val="en-US" w:eastAsia="zh-CN"/>
        </w:rPr>
        <w:t>2.</w:t>
      </w:r>
      <w:r>
        <w:rPr>
          <w:rFonts w:hAnsi="仿宋_GB2312" w:eastAsia="仿宋_GB2312" w:cs="仿宋_GB2312"/>
          <w:color w:val="000000"/>
          <w:sz w:val="32"/>
          <w:szCs w:val="32"/>
          <w:highlight w:val="none"/>
          <w:u w:val="none"/>
        </w:rPr>
        <w:t>单项合同估算价</w:t>
      </w:r>
      <w:r>
        <w:rPr>
          <w:rFonts w:hint="eastAsia" w:hAnsi="仿宋_GB2312" w:eastAsia="仿宋_GB2312" w:cs="仿宋_GB2312"/>
          <w:color w:val="000000"/>
          <w:sz w:val="32"/>
          <w:szCs w:val="32"/>
          <w:highlight w:val="none"/>
          <w:u w:val="none"/>
          <w:lang w:val="en-US" w:eastAsia="zh-CN"/>
        </w:rPr>
        <w:t>1</w:t>
      </w:r>
      <w:r>
        <w:rPr>
          <w:rFonts w:hAnsi="仿宋_GB2312" w:eastAsia="仿宋_GB2312" w:cs="仿宋_GB2312"/>
          <w:color w:val="000000"/>
          <w:sz w:val="32"/>
          <w:szCs w:val="32"/>
          <w:highlight w:val="none"/>
          <w:u w:val="none"/>
        </w:rPr>
        <w:t>00万元</w:t>
      </w:r>
      <w:r>
        <w:rPr>
          <w:rFonts w:hint="eastAsia" w:hAnsi="仿宋_GB2312" w:eastAsia="仿宋_GB2312" w:cs="仿宋_GB2312"/>
          <w:color w:val="000000"/>
          <w:sz w:val="32"/>
          <w:szCs w:val="32"/>
          <w:highlight w:val="none"/>
          <w:u w:val="none"/>
          <w:lang w:val="en-US" w:eastAsia="zh-CN"/>
        </w:rPr>
        <w:t>以上，3</w:t>
      </w:r>
      <w:r>
        <w:rPr>
          <w:rFonts w:hint="eastAsia" w:hAnsi="仿宋_GB2312" w:eastAsia="仿宋_GB2312" w:cs="仿宋_GB2312"/>
          <w:color w:val="000000"/>
          <w:sz w:val="32"/>
          <w:szCs w:val="32"/>
          <w:highlight w:val="none"/>
          <w:u w:val="none"/>
        </w:rPr>
        <w:t>00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以下</w:t>
      </w:r>
      <w:r>
        <w:rPr>
          <w:rFonts w:hAnsi="仿宋_GB2312" w:eastAsia="仿宋_GB2312" w:cs="仿宋_GB2312"/>
          <w:color w:val="000000"/>
          <w:sz w:val="32"/>
          <w:szCs w:val="32"/>
          <w:highlight w:val="none"/>
          <w:u w:val="none"/>
        </w:rPr>
        <w:t>的工程服务类项目的招标方案；</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hint="eastAsia" w:hAnsi="仿宋_GB2312" w:eastAsia="仿宋_GB2312" w:cs="仿宋_GB2312"/>
          <w:color w:val="000000"/>
          <w:sz w:val="32"/>
          <w:szCs w:val="32"/>
          <w:highlight w:val="none"/>
          <w:u w:val="none"/>
          <w:lang w:eastAsia="zh-CN"/>
        </w:rPr>
      </w:pPr>
      <w:r>
        <w:rPr>
          <w:rFonts w:hint="eastAsia" w:hAnsi="仿宋_GB2312" w:eastAsia="仿宋_GB2312" w:cs="仿宋_GB2312"/>
          <w:color w:val="000000"/>
          <w:sz w:val="32"/>
          <w:szCs w:val="32"/>
          <w:highlight w:val="none"/>
          <w:u w:val="none"/>
          <w:lang w:val="en-US" w:eastAsia="zh-CN"/>
        </w:rPr>
        <w:t>3.</w:t>
      </w:r>
      <w:r>
        <w:rPr>
          <w:rFonts w:hAnsi="仿宋_GB2312" w:eastAsia="仿宋_GB2312" w:cs="仿宋_GB2312"/>
          <w:color w:val="000000"/>
          <w:sz w:val="32"/>
          <w:szCs w:val="32"/>
          <w:highlight w:val="none"/>
          <w:u w:val="none"/>
        </w:rPr>
        <w:t>单项合同估算价</w:t>
      </w:r>
      <w:r>
        <w:rPr>
          <w:rFonts w:hint="eastAsia" w:hAnsi="仿宋_GB2312" w:eastAsia="仿宋_GB2312" w:cs="仿宋_GB2312"/>
          <w:color w:val="000000"/>
          <w:sz w:val="32"/>
          <w:szCs w:val="32"/>
          <w:highlight w:val="none"/>
          <w:u w:val="none"/>
          <w:lang w:val="en-US" w:eastAsia="zh-CN"/>
        </w:rPr>
        <w:t>1</w:t>
      </w:r>
      <w:r>
        <w:rPr>
          <w:rFonts w:hAnsi="仿宋_GB2312" w:eastAsia="仿宋_GB2312" w:cs="仿宋_GB2312"/>
          <w:color w:val="000000"/>
          <w:sz w:val="32"/>
          <w:szCs w:val="32"/>
          <w:highlight w:val="none"/>
          <w:u w:val="none"/>
        </w:rPr>
        <w:t>00万元</w:t>
      </w:r>
      <w:r>
        <w:rPr>
          <w:rFonts w:hint="eastAsia" w:hAnsi="仿宋_GB2312" w:eastAsia="仿宋_GB2312" w:cs="仿宋_GB2312"/>
          <w:color w:val="000000"/>
          <w:sz w:val="32"/>
          <w:szCs w:val="32"/>
          <w:highlight w:val="none"/>
          <w:u w:val="none"/>
          <w:lang w:val="en-US" w:eastAsia="zh-CN"/>
        </w:rPr>
        <w:t>以上，3</w:t>
      </w:r>
      <w:r>
        <w:rPr>
          <w:rFonts w:hint="eastAsia" w:hAnsi="仿宋_GB2312" w:eastAsia="仿宋_GB2312" w:cs="仿宋_GB2312"/>
          <w:color w:val="000000"/>
          <w:sz w:val="32"/>
          <w:szCs w:val="32"/>
          <w:highlight w:val="none"/>
          <w:u w:val="none"/>
        </w:rPr>
        <w:t>00</w:t>
      </w:r>
      <w:r>
        <w:rPr>
          <w:rFonts w:hAnsi="仿宋_GB2312" w:eastAsia="仿宋_GB2312" w:cs="仿宋_GB2312"/>
          <w:color w:val="000000"/>
          <w:sz w:val="32"/>
          <w:szCs w:val="32"/>
          <w:highlight w:val="none"/>
          <w:u w:val="none"/>
        </w:rPr>
        <w:t>万元</w:t>
      </w:r>
      <w:r>
        <w:rPr>
          <w:rFonts w:hint="eastAsia" w:hAnsi="仿宋_GB2312" w:eastAsia="仿宋_GB2312" w:cs="仿宋_GB2312"/>
          <w:color w:val="000000"/>
          <w:sz w:val="32"/>
          <w:szCs w:val="32"/>
          <w:highlight w:val="none"/>
          <w:u w:val="none"/>
          <w:lang w:val="en-US" w:eastAsia="zh-CN"/>
        </w:rPr>
        <w:t>以下</w:t>
      </w:r>
      <w:r>
        <w:rPr>
          <w:rFonts w:hAnsi="仿宋_GB2312" w:eastAsia="仿宋_GB2312" w:cs="仿宋_GB2312"/>
          <w:color w:val="000000"/>
          <w:sz w:val="32"/>
          <w:szCs w:val="32"/>
          <w:highlight w:val="none"/>
          <w:u w:val="none"/>
        </w:rPr>
        <w:t>的房屋建筑设计招标方案及方案比选</w:t>
      </w:r>
      <w:r>
        <w:rPr>
          <w:rFonts w:hint="eastAsia" w:hAnsi="仿宋_GB2312" w:eastAsia="仿宋_GB2312" w:cs="仿宋_GB2312"/>
          <w:color w:val="000000"/>
          <w:sz w:val="32"/>
          <w:szCs w:val="32"/>
          <w:highlight w:val="none"/>
          <w:u w:val="none"/>
          <w:lang w:eastAsia="zh-CN"/>
        </w:rPr>
        <w:t>；</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hint="eastAsia" w:hAnsi="仿宋_GB2312" w:eastAsia="仿宋_GB2312" w:cs="仿宋_GB2312"/>
          <w:color w:val="000000"/>
          <w:sz w:val="32"/>
          <w:szCs w:val="32"/>
          <w:highlight w:val="none"/>
          <w:u w:val="none"/>
          <w:lang w:eastAsia="zh-CN"/>
        </w:rPr>
      </w:pPr>
      <w:r>
        <w:rPr>
          <w:rFonts w:hint="eastAsia" w:hAnsi="仿宋_GB2312" w:eastAsia="仿宋_GB2312" w:cs="仿宋_GB2312"/>
          <w:color w:val="000000"/>
          <w:sz w:val="32"/>
          <w:szCs w:val="32"/>
          <w:highlight w:val="none"/>
          <w:u w:val="none"/>
          <w:lang w:val="en-US" w:eastAsia="zh-CN"/>
        </w:rPr>
        <w:t>4.</w:t>
      </w:r>
      <w:r>
        <w:rPr>
          <w:rFonts w:hint="eastAsia" w:hAnsi="仿宋_GB2312" w:eastAsia="仿宋_GB2312" w:cs="仿宋_GB2312"/>
          <w:color w:val="000000"/>
          <w:sz w:val="32"/>
          <w:szCs w:val="32"/>
          <w:highlight w:val="none"/>
          <w:u w:val="none"/>
        </w:rPr>
        <w:t>与工程建设有关的重要设备、材料等的采购</w:t>
      </w:r>
      <w:r>
        <w:rPr>
          <w:rFonts w:hint="eastAsia" w:hAnsi="仿宋_GB2312" w:eastAsia="仿宋_GB2312" w:cs="仿宋_GB2312"/>
          <w:color w:val="000000"/>
          <w:sz w:val="32"/>
          <w:szCs w:val="32"/>
          <w:highlight w:val="none"/>
          <w:u w:val="none"/>
          <w:lang w:eastAsia="zh-CN"/>
        </w:rPr>
        <w:t>，</w:t>
      </w:r>
      <w:r>
        <w:rPr>
          <w:rFonts w:hAnsi="仿宋_GB2312" w:eastAsia="仿宋_GB2312" w:cs="仿宋_GB2312"/>
          <w:color w:val="000000"/>
          <w:sz w:val="32"/>
          <w:szCs w:val="32"/>
          <w:highlight w:val="none"/>
          <w:u w:val="none"/>
        </w:rPr>
        <w:t>单项合同估算价</w:t>
      </w:r>
      <w:r>
        <w:rPr>
          <w:rFonts w:hint="eastAsia" w:hAnsi="仿宋_GB2312" w:eastAsia="仿宋_GB2312" w:cs="仿宋_GB2312"/>
          <w:color w:val="000000"/>
          <w:sz w:val="32"/>
          <w:szCs w:val="32"/>
          <w:highlight w:val="none"/>
          <w:u w:val="none"/>
          <w:lang w:val="en-US" w:eastAsia="zh-CN"/>
        </w:rPr>
        <w:t>2</w:t>
      </w:r>
      <w:r>
        <w:rPr>
          <w:rFonts w:hAnsi="仿宋_GB2312" w:eastAsia="仿宋_GB2312" w:cs="仿宋_GB2312"/>
          <w:color w:val="000000"/>
          <w:sz w:val="32"/>
          <w:szCs w:val="32"/>
          <w:highlight w:val="none"/>
          <w:u w:val="none"/>
        </w:rPr>
        <w:t>00万元</w:t>
      </w:r>
      <w:r>
        <w:rPr>
          <w:rFonts w:hint="eastAsia" w:hAnsi="仿宋_GB2312" w:eastAsia="仿宋_GB2312" w:cs="仿宋_GB2312"/>
          <w:color w:val="000000"/>
          <w:sz w:val="32"/>
          <w:szCs w:val="32"/>
          <w:highlight w:val="none"/>
          <w:u w:val="none"/>
          <w:lang w:val="en-US" w:eastAsia="zh-CN"/>
        </w:rPr>
        <w:t>以上的</w:t>
      </w:r>
      <w:r>
        <w:rPr>
          <w:rFonts w:hint="eastAsia" w:hAnsi="仿宋_GB2312" w:eastAsia="仿宋_GB2312" w:cs="仿宋_GB2312"/>
          <w:color w:val="000000"/>
          <w:sz w:val="32"/>
          <w:szCs w:val="32"/>
          <w:highlight w:val="none"/>
          <w:u w:val="none"/>
          <w:lang w:eastAsia="zh-CN"/>
        </w:rPr>
        <w:t>。</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hAnsi="仿宋_GB2312" w:eastAsia="仿宋_GB2312" w:cs="仿宋_GB2312"/>
          <w:color w:val="000000"/>
          <w:sz w:val="32"/>
          <w:szCs w:val="32"/>
          <w:highlight w:val="none"/>
          <w:u w:val="none"/>
          <w:lang w:val="en-US" w:eastAsia="zh-CN"/>
        </w:rPr>
        <w:t>（四）</w:t>
      </w:r>
      <w:r>
        <w:rPr>
          <w:rFonts w:hint="eastAsia" w:ascii="仿宋_GB2312" w:hAnsi="仿宋_GB2312" w:eastAsia="仿宋_GB2312" w:cs="仿宋_GB2312"/>
          <w:bCs/>
          <w:sz w:val="32"/>
          <w:szCs w:val="32"/>
          <w:highlight w:val="none"/>
          <w:u w:val="none"/>
          <w:lang w:val="en-US" w:eastAsia="zh-CN"/>
        </w:rPr>
        <w:t>余下金额的</w:t>
      </w:r>
      <w:r>
        <w:rPr>
          <w:rFonts w:hint="eastAsia" w:ascii="仿宋_GB2312" w:hAnsi="仿宋_GB2312" w:eastAsia="仿宋_GB2312" w:cs="仿宋_GB2312"/>
          <w:color w:val="000000"/>
          <w:sz w:val="32"/>
          <w:szCs w:val="32"/>
          <w:highlight w:val="none"/>
          <w:u w:val="none"/>
        </w:rPr>
        <w:t>建设工程项目</w:t>
      </w:r>
      <w:r>
        <w:rPr>
          <w:rFonts w:hint="eastAsia" w:ascii="仿宋_GB2312" w:hAnsi="仿宋_GB2312" w:eastAsia="仿宋_GB2312" w:cs="仿宋_GB2312"/>
          <w:color w:val="000000"/>
          <w:sz w:val="32"/>
          <w:szCs w:val="32"/>
          <w:highlight w:val="none"/>
          <w:u w:val="none"/>
          <w:lang w:val="en-US" w:eastAsia="zh-CN"/>
        </w:rPr>
        <w:t>招标</w:t>
      </w:r>
    </w:p>
    <w:p>
      <w:pPr>
        <w:pStyle w:val="5"/>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指单项合同估算价400万元</w:t>
      </w:r>
      <w:r>
        <w:rPr>
          <w:rFonts w:hint="eastAsia" w:ascii="仿宋_GB2312" w:hAnsi="仿宋_GB2312" w:eastAsia="仿宋_GB2312" w:cs="仿宋_GB2312"/>
          <w:color w:val="000000"/>
          <w:sz w:val="32"/>
          <w:szCs w:val="32"/>
          <w:highlight w:val="none"/>
          <w:u w:val="none"/>
          <w:lang w:val="en-US" w:eastAsia="zh-CN"/>
        </w:rPr>
        <w:t>以下</w:t>
      </w:r>
      <w:r>
        <w:rPr>
          <w:rFonts w:hint="eastAsia" w:ascii="仿宋_GB2312" w:hAnsi="仿宋_GB2312" w:eastAsia="仿宋_GB2312" w:cs="仿宋_GB2312"/>
          <w:color w:val="000000"/>
          <w:sz w:val="32"/>
          <w:szCs w:val="32"/>
          <w:highlight w:val="none"/>
          <w:u w:val="none"/>
        </w:rPr>
        <w:t>施工类</w:t>
      </w:r>
      <w:r>
        <w:rPr>
          <w:rFonts w:hint="eastAsia" w:hAnsi="仿宋_GB2312" w:eastAsia="仿宋_GB2312" w:cs="仿宋_GB2312"/>
          <w:color w:val="000000"/>
          <w:sz w:val="32"/>
          <w:szCs w:val="32"/>
          <w:highlight w:val="none"/>
          <w:u w:val="none"/>
          <w:lang w:val="en-US" w:eastAsia="zh-CN"/>
        </w:rPr>
        <w:t>招标</w:t>
      </w:r>
      <w:r>
        <w:rPr>
          <w:rFonts w:hint="eastAsia" w:ascii="仿宋_GB2312" w:hAnsi="仿宋_GB2312" w:eastAsia="仿宋_GB2312" w:cs="仿宋_GB2312"/>
          <w:color w:val="000000"/>
          <w:sz w:val="32"/>
          <w:szCs w:val="32"/>
          <w:highlight w:val="none"/>
          <w:u w:val="none"/>
        </w:rPr>
        <w:t>，单项合同估算价100万元</w:t>
      </w:r>
      <w:r>
        <w:rPr>
          <w:rFonts w:hint="eastAsia" w:ascii="仿宋_GB2312" w:hAnsi="仿宋_GB2312" w:eastAsia="仿宋_GB2312" w:cs="仿宋_GB2312"/>
          <w:color w:val="000000"/>
          <w:sz w:val="32"/>
          <w:szCs w:val="32"/>
          <w:highlight w:val="none"/>
          <w:u w:val="none"/>
          <w:lang w:val="en-US" w:eastAsia="zh-CN"/>
        </w:rPr>
        <w:t>以下</w:t>
      </w:r>
      <w:r>
        <w:rPr>
          <w:rFonts w:hint="eastAsia" w:ascii="仿宋_GB2312" w:hAnsi="仿宋_GB2312" w:eastAsia="仿宋_GB2312" w:cs="仿宋_GB2312"/>
          <w:color w:val="000000"/>
          <w:sz w:val="32"/>
          <w:szCs w:val="32"/>
          <w:highlight w:val="none"/>
          <w:u w:val="none"/>
        </w:rPr>
        <w:t>的服务类</w:t>
      </w:r>
      <w:r>
        <w:rPr>
          <w:rFonts w:hint="eastAsia" w:hAnsi="仿宋_GB2312" w:eastAsia="仿宋_GB2312" w:cs="仿宋_GB2312"/>
          <w:color w:val="000000"/>
          <w:sz w:val="32"/>
          <w:szCs w:val="32"/>
          <w:highlight w:val="none"/>
          <w:u w:val="none"/>
          <w:lang w:val="en-US" w:eastAsia="zh-CN"/>
        </w:rPr>
        <w:t>招标,</w:t>
      </w:r>
      <w:r>
        <w:rPr>
          <w:rFonts w:hint="eastAsia" w:ascii="仿宋_GB2312" w:hAnsi="仿宋_GB2312" w:eastAsia="仿宋_GB2312" w:cs="仿宋_GB2312"/>
          <w:color w:val="000000"/>
          <w:sz w:val="32"/>
          <w:szCs w:val="32"/>
          <w:highlight w:val="none"/>
          <w:u w:val="none"/>
        </w:rPr>
        <w:t>单项合同估算价</w:t>
      </w:r>
      <w:r>
        <w:rPr>
          <w:rFonts w:hint="eastAsia" w:hAnsi="仿宋_GB2312" w:eastAsia="仿宋_GB2312" w:cs="仿宋_GB2312"/>
          <w:color w:val="000000"/>
          <w:sz w:val="32"/>
          <w:szCs w:val="32"/>
          <w:highlight w:val="none"/>
          <w:u w:val="none"/>
          <w:lang w:val="en-US" w:eastAsia="zh-CN"/>
        </w:rPr>
        <w:t>2</w:t>
      </w:r>
      <w:r>
        <w:rPr>
          <w:rFonts w:hint="eastAsia" w:ascii="仿宋_GB2312" w:hAnsi="仿宋_GB2312" w:eastAsia="仿宋_GB2312" w:cs="仿宋_GB2312"/>
          <w:color w:val="000000"/>
          <w:sz w:val="32"/>
          <w:szCs w:val="32"/>
          <w:highlight w:val="none"/>
          <w:u w:val="none"/>
        </w:rPr>
        <w:t>00万元</w:t>
      </w:r>
      <w:r>
        <w:rPr>
          <w:rFonts w:hint="eastAsia" w:ascii="仿宋_GB2312" w:hAnsi="仿宋_GB2312" w:eastAsia="仿宋_GB2312" w:cs="仿宋_GB2312"/>
          <w:color w:val="000000"/>
          <w:sz w:val="32"/>
          <w:szCs w:val="32"/>
          <w:highlight w:val="none"/>
          <w:u w:val="none"/>
          <w:lang w:val="en-US" w:eastAsia="zh-CN"/>
        </w:rPr>
        <w:t>以下</w:t>
      </w:r>
      <w:r>
        <w:rPr>
          <w:rFonts w:hint="eastAsia" w:ascii="仿宋_GB2312" w:hAnsi="仿宋_GB2312" w:eastAsia="仿宋_GB2312" w:cs="仿宋_GB2312"/>
          <w:color w:val="000000"/>
          <w:sz w:val="32"/>
          <w:szCs w:val="32"/>
          <w:highlight w:val="none"/>
          <w:u w:val="none"/>
        </w:rPr>
        <w:t>的</w:t>
      </w:r>
      <w:r>
        <w:rPr>
          <w:rFonts w:hint="eastAsia" w:hAnsi="仿宋_GB2312" w:eastAsia="仿宋_GB2312" w:cs="仿宋_GB2312"/>
          <w:color w:val="000000"/>
          <w:sz w:val="32"/>
          <w:szCs w:val="32"/>
          <w:highlight w:val="none"/>
          <w:u w:val="none"/>
        </w:rPr>
        <w:t>重要设备、材料等的采购</w:t>
      </w:r>
      <w:r>
        <w:rPr>
          <w:rFonts w:hint="eastAsia" w:ascii="仿宋_GB2312" w:hAnsi="仿宋_GB2312" w:eastAsia="仿宋_GB2312" w:cs="仿宋_GB2312"/>
          <w:color w:val="000000"/>
          <w:sz w:val="32"/>
          <w:szCs w:val="32"/>
          <w:highlight w:val="none"/>
          <w:u w:val="none"/>
        </w:rPr>
        <w:t>，由招标人按我区政府采购相关规定自行确定</w:t>
      </w:r>
      <w:r>
        <w:rPr>
          <w:rFonts w:hint="eastAsia" w:hAnsi="仿宋_GB2312" w:eastAsia="仿宋_GB2312" w:cs="仿宋_GB2312"/>
          <w:color w:val="000000"/>
          <w:sz w:val="32"/>
          <w:szCs w:val="32"/>
          <w:highlight w:val="none"/>
          <w:u w:val="none"/>
          <w:lang w:val="en-US" w:eastAsia="zh-CN"/>
        </w:rPr>
        <w:t>招标</w:t>
      </w:r>
      <w:r>
        <w:rPr>
          <w:rFonts w:hint="eastAsia" w:ascii="仿宋_GB2312" w:hAnsi="仿宋_GB2312" w:eastAsia="仿宋_GB2312" w:cs="仿宋_GB2312"/>
          <w:color w:val="000000"/>
          <w:sz w:val="32"/>
          <w:szCs w:val="32"/>
          <w:highlight w:val="none"/>
          <w:u w:val="none"/>
        </w:rPr>
        <w:t>方案</w:t>
      </w:r>
      <w:r>
        <w:rPr>
          <w:rFonts w:hint="eastAsia" w:ascii="仿宋_GB2312" w:hAnsi="仿宋_GB2312" w:eastAsia="仿宋_GB2312" w:cs="仿宋_GB2312"/>
          <w:color w:val="000000"/>
          <w:sz w:val="32"/>
          <w:szCs w:val="32"/>
          <w:highlight w:val="none"/>
          <w:u w:val="none"/>
          <w:lang w:val="en-US" w:eastAsia="zh-CN"/>
        </w:rPr>
        <w:t>或</w:t>
      </w:r>
      <w:r>
        <w:rPr>
          <w:rFonts w:hint="eastAsia" w:ascii="仿宋_GB2312" w:hAnsi="仿宋_GB2312" w:eastAsia="仿宋_GB2312" w:cs="仿宋_GB2312"/>
          <w:color w:val="000000"/>
          <w:sz w:val="32"/>
          <w:szCs w:val="32"/>
          <w:highlight w:val="none"/>
          <w:u w:val="none"/>
        </w:rPr>
        <w:t>依法依规采用邀请招标。</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报请区建设工程招投标领导小组或区建设工程招投标领导小组办公室会议审议的招标方案应包含择优要素、竞价机制等。</w:t>
      </w:r>
    </w:p>
    <w:p>
      <w:pPr>
        <w:pStyle w:val="2"/>
        <w:keepNext w:val="0"/>
        <w:keepLines w:val="0"/>
        <w:pageBreakBefore w:val="0"/>
        <w:kinsoku/>
        <w:wordWrap/>
        <w:overflowPunct/>
        <w:topLinePunct w:val="0"/>
        <w:bidi w:val="0"/>
        <w:snapToGrid/>
        <w:spacing w:line="560" w:lineRule="exact"/>
        <w:textAlignment w:val="auto"/>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黑体" w:hAnsi="黑体" w:eastAsia="黑体" w:cs="黑体"/>
          <w:sz w:val="32"/>
          <w:szCs w:val="32"/>
          <w:highlight w:val="none"/>
          <w:u w:val="none"/>
        </w:rPr>
      </w:pPr>
      <w:r>
        <w:rPr>
          <w:rFonts w:hint="eastAsia" w:ascii="黑体" w:hAnsi="黑体" w:eastAsia="黑体" w:cs="黑体"/>
          <w:sz w:val="32"/>
          <w:szCs w:val="32"/>
          <w:highlight w:val="none"/>
          <w:u w:val="none"/>
          <w:lang w:val="en-US" w:eastAsia="zh-CN"/>
        </w:rPr>
        <w:t xml:space="preserve">第三章 </w:t>
      </w:r>
      <w:r>
        <w:rPr>
          <w:rFonts w:hint="eastAsia" w:ascii="黑体" w:hAnsi="黑体" w:eastAsia="黑体" w:cs="黑体"/>
          <w:sz w:val="32"/>
          <w:szCs w:val="32"/>
          <w:highlight w:val="none"/>
          <w:u w:val="none"/>
        </w:rPr>
        <w:t>入围和定标参考要素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楷体_GB2312" w:hAnsi="楷体_GB2312" w:eastAsia="仿宋_GB2312" w:cs="楷体_GB2312"/>
          <w:b w:val="0"/>
          <w:bCs w:val="0"/>
          <w:sz w:val="32"/>
          <w:szCs w:val="32"/>
          <w:highlight w:val="none"/>
          <w:u w:val="none"/>
          <w:lang w:eastAsia="zh-CN"/>
        </w:rPr>
      </w:pPr>
      <w:r>
        <w:rPr>
          <w:rFonts w:hint="eastAsia" w:ascii="黑体" w:hAnsi="黑体" w:eastAsia="黑体" w:cs="黑体"/>
          <w:b w:val="0"/>
          <w:bCs w:val="0"/>
          <w:sz w:val="32"/>
          <w:szCs w:val="32"/>
          <w:highlight w:val="none"/>
          <w:u w:val="none"/>
          <w:lang w:val="en-US" w:eastAsia="zh-CN"/>
        </w:rPr>
        <w:t>第六条</w:t>
      </w:r>
      <w:r>
        <w:rPr>
          <w:rFonts w:hint="eastAsia" w:ascii="楷体_GB2312" w:hAnsi="楷体_GB2312" w:eastAsia="楷体_GB2312" w:cs="楷体_GB2312"/>
          <w:b w:val="0"/>
          <w:bCs w:val="0"/>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择优标准</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一</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择优综合要素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择优要素根据工程类型情形</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参考以下因素：企业资质、企业业绩</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含全国业绩、本市业绩、同类业绩等）、企业规模、服务便利度、</w:t>
      </w:r>
      <w:r>
        <w:rPr>
          <w:rFonts w:hint="eastAsia" w:ascii="仿宋_GB2312" w:hAnsi="仿宋_GB2312" w:eastAsia="仿宋_GB2312" w:cs="仿宋_GB2312"/>
          <w:sz w:val="32"/>
          <w:szCs w:val="32"/>
          <w:highlight w:val="none"/>
          <w:u w:val="none"/>
          <w:lang w:val="en-US" w:eastAsia="zh-CN"/>
        </w:rPr>
        <w:t>安全监管便利度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科技创新能力、行业排名（如有）、财务状况、获奖情况（即同类项目获奖情况）、履约情况、企业及其人员的廉政记录、信用、营业额度、拟派项目团队能力、评标情况、不平衡报价（定标要素）等。招标人可根据项目性质、项目特点等选择上述择优因素，也可根据项目实际情况增加择优因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其中，应当重点考虑的</w:t>
      </w:r>
      <w:r>
        <w:rPr>
          <w:rFonts w:hint="eastAsia" w:ascii="仿宋_GB2312" w:hAnsi="仿宋_GB2312" w:eastAsia="仿宋_GB2312" w:cs="仿宋_GB2312"/>
          <w:sz w:val="32"/>
          <w:szCs w:val="32"/>
          <w:highlight w:val="none"/>
          <w:u w:val="none"/>
          <w:lang w:eastAsia="zh-CN"/>
        </w:rPr>
        <w:t>因素</w:t>
      </w:r>
      <w:r>
        <w:rPr>
          <w:rFonts w:hint="eastAsia" w:ascii="仿宋_GB2312" w:hAnsi="仿宋_GB2312" w:eastAsia="仿宋_GB2312" w:cs="仿宋_GB2312"/>
          <w:sz w:val="32"/>
          <w:szCs w:val="32"/>
          <w:highlight w:val="none"/>
          <w:u w:val="none"/>
        </w:rPr>
        <w:t>包含有：</w:t>
      </w:r>
    </w:p>
    <w:p>
      <w:pPr>
        <w:keepNext w:val="0"/>
        <w:keepLines w:val="0"/>
        <w:pageBreakBefore w:val="0"/>
        <w:widowControl w:val="0"/>
        <w:numPr>
          <w:ilvl w:val="0"/>
          <w:numId w:val="0"/>
        </w:numPr>
        <w:kinsoku/>
        <w:wordWrap/>
        <w:overflowPunct/>
        <w:topLinePunct w:val="0"/>
        <w:bidi w:val="0"/>
        <w:snapToGrid/>
        <w:spacing w:line="560" w:lineRule="exact"/>
        <w:ind w:left="630" w:leftChars="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施工类项目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重大项目或技术复杂项目：重点考虑企业资质、拟派项目团队能力、</w:t>
      </w:r>
      <w:r>
        <w:rPr>
          <w:rFonts w:hint="eastAsia" w:ascii="仿宋_GB2312" w:hAnsi="仿宋_GB2312" w:eastAsia="仿宋_GB2312" w:cs="仿宋_GB2312"/>
          <w:sz w:val="32"/>
          <w:szCs w:val="32"/>
          <w:highlight w:val="none"/>
          <w:u w:val="none"/>
          <w:lang w:eastAsia="zh-CN"/>
        </w:rPr>
        <w:t>服务便利度、</w:t>
      </w:r>
      <w:r>
        <w:rPr>
          <w:rFonts w:hint="eastAsia" w:ascii="仿宋_GB2312" w:hAnsi="仿宋_GB2312" w:eastAsia="仿宋_GB2312" w:cs="仿宋_GB2312"/>
          <w:sz w:val="32"/>
          <w:szCs w:val="32"/>
          <w:highlight w:val="none"/>
          <w:u w:val="none"/>
        </w:rPr>
        <w:t>同类业绩</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安全监管便利度</w:t>
      </w:r>
      <w:r>
        <w:rPr>
          <w:rFonts w:hint="eastAsia" w:ascii="仿宋_GB2312" w:hAnsi="仿宋_GB2312" w:eastAsia="仿宋_GB2312" w:cs="仿宋_GB2312"/>
          <w:sz w:val="32"/>
          <w:szCs w:val="32"/>
          <w:highlight w:val="none"/>
          <w:u w:val="none"/>
        </w:rPr>
        <w:t>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大型项目：重点考虑企业资质、</w:t>
      </w:r>
      <w:r>
        <w:rPr>
          <w:rFonts w:hint="eastAsia" w:ascii="仿宋_GB2312" w:hAnsi="仿宋_GB2312" w:eastAsia="仿宋_GB2312" w:cs="仿宋_GB2312"/>
          <w:sz w:val="32"/>
          <w:szCs w:val="32"/>
          <w:highlight w:val="none"/>
          <w:u w:val="none"/>
          <w:lang w:eastAsia="zh-CN"/>
        </w:rPr>
        <w:t>服务便利度、</w:t>
      </w:r>
      <w:r>
        <w:rPr>
          <w:rFonts w:hint="eastAsia" w:ascii="仿宋_GB2312" w:hAnsi="仿宋_GB2312" w:eastAsia="仿宋_GB2312" w:cs="仿宋_GB2312"/>
          <w:sz w:val="32"/>
          <w:szCs w:val="32"/>
          <w:highlight w:val="none"/>
          <w:u w:val="none"/>
        </w:rPr>
        <w:t>同类业绩、同类项目奖项</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安全监管便利度</w:t>
      </w:r>
      <w:r>
        <w:rPr>
          <w:rFonts w:hint="eastAsia" w:ascii="仿宋_GB2312" w:hAnsi="仿宋_GB2312" w:eastAsia="仿宋_GB2312" w:cs="仿宋_GB2312"/>
          <w:sz w:val="32"/>
          <w:szCs w:val="32"/>
          <w:highlight w:val="none"/>
          <w:u w:val="none"/>
        </w:rPr>
        <w:t>等。</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（3）</w:t>
      </w:r>
      <w:r>
        <w:rPr>
          <w:rFonts w:hint="eastAsia" w:hAnsi="仿宋_GB2312" w:eastAsia="仿宋_GB2312" w:cs="仿宋_GB2312"/>
          <w:color w:val="000000"/>
          <w:sz w:val="32"/>
          <w:szCs w:val="32"/>
          <w:highlight w:val="none"/>
          <w:u w:val="none"/>
          <w:lang w:val="en-US" w:eastAsia="zh-CN"/>
        </w:rPr>
        <w:t>较大</w:t>
      </w:r>
      <w:r>
        <w:rPr>
          <w:rFonts w:hint="eastAsia" w:hAnsi="仿宋_GB2312" w:eastAsia="仿宋_GB2312" w:cs="仿宋_GB2312"/>
          <w:color w:val="000000"/>
          <w:sz w:val="32"/>
          <w:szCs w:val="32"/>
          <w:highlight w:val="none"/>
          <w:u w:val="none"/>
        </w:rPr>
        <w:t>项目</w:t>
      </w:r>
      <w:r>
        <w:rPr>
          <w:rFonts w:hint="eastAsia" w:hAnsi="仿宋_GB2312" w:eastAsia="仿宋_GB2312" w:cs="仿宋_GB2312"/>
          <w:color w:val="000000"/>
          <w:sz w:val="32"/>
          <w:szCs w:val="32"/>
          <w:highlight w:val="none"/>
          <w:u w:val="none"/>
          <w:lang w:eastAsia="zh-CN"/>
        </w:rPr>
        <w:t>、</w:t>
      </w:r>
      <w:r>
        <w:rPr>
          <w:rFonts w:hint="eastAsia" w:ascii="仿宋_GB2312" w:hAnsi="仿宋_GB2312" w:eastAsia="仿宋_GB2312" w:cs="仿宋_GB2312"/>
          <w:sz w:val="32"/>
          <w:szCs w:val="32"/>
          <w:highlight w:val="none"/>
          <w:u w:val="none"/>
        </w:rPr>
        <w:t>一般项目：建议淡化企业资质，重点考虑企业本市同类业绩、</w:t>
      </w:r>
      <w:r>
        <w:rPr>
          <w:rFonts w:hint="eastAsia" w:ascii="仿宋_GB2312" w:hAnsi="仿宋_GB2312" w:eastAsia="仿宋_GB2312" w:cs="仿宋_GB2312"/>
          <w:sz w:val="32"/>
          <w:szCs w:val="32"/>
          <w:highlight w:val="none"/>
          <w:u w:val="none"/>
          <w:lang w:eastAsia="zh-CN"/>
        </w:rPr>
        <w:t>服务便利度</w:t>
      </w:r>
      <w:r>
        <w:rPr>
          <w:rFonts w:hint="eastAsia" w:ascii="仿宋_GB2312" w:hAnsi="仿宋_GB2312" w:eastAsia="仿宋_GB2312" w:cs="仿宋_GB2312"/>
          <w:sz w:val="32"/>
          <w:szCs w:val="32"/>
          <w:highlight w:val="none"/>
          <w:u w:val="none"/>
        </w:rPr>
        <w:t>、信用</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安全监管便利度</w:t>
      </w:r>
      <w:r>
        <w:rPr>
          <w:rFonts w:hint="eastAsia" w:ascii="仿宋_GB2312" w:hAnsi="仿宋_GB2312" w:eastAsia="仿宋_GB2312" w:cs="仿宋_GB2312"/>
          <w:sz w:val="32"/>
          <w:szCs w:val="32"/>
          <w:highlight w:val="none"/>
          <w:u w:val="none"/>
        </w:rPr>
        <w:t>等。</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注：</w:t>
      </w:r>
      <w:r>
        <w:rPr>
          <w:rFonts w:hint="eastAsia" w:ascii="仿宋_GB2312" w:hAnsi="仿宋_GB2312" w:eastAsia="仿宋_GB2312" w:cs="仿宋_GB2312"/>
          <w:sz w:val="32"/>
          <w:szCs w:val="32"/>
          <w:highlight w:val="none"/>
          <w:u w:val="none"/>
        </w:rPr>
        <w:t>同类业绩的认定由招标人在招标文件中事先列明。</w:t>
      </w:r>
    </w:p>
    <w:p>
      <w:pPr>
        <w:keepNext w:val="0"/>
        <w:keepLines w:val="0"/>
        <w:pageBreakBefore w:val="0"/>
        <w:widowControl w:val="0"/>
        <w:numPr>
          <w:ilvl w:val="0"/>
          <w:numId w:val="0"/>
        </w:numPr>
        <w:kinsoku/>
        <w:wordWrap/>
        <w:overflowPunct/>
        <w:topLinePunct w:val="0"/>
        <w:bidi w:val="0"/>
        <w:snapToGrid/>
        <w:spacing w:line="560" w:lineRule="exact"/>
        <w:ind w:left="630" w:leftChars="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其他类（勘察、设计、监理等服务类）</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资质、</w:t>
      </w:r>
      <w:r>
        <w:rPr>
          <w:rFonts w:hint="eastAsia" w:ascii="仿宋_GB2312" w:hAnsi="仿宋_GB2312" w:eastAsia="仿宋_GB2312" w:cs="仿宋_GB2312"/>
          <w:sz w:val="32"/>
          <w:szCs w:val="32"/>
          <w:highlight w:val="none"/>
          <w:u w:val="none"/>
          <w:lang w:eastAsia="zh-CN"/>
        </w:rPr>
        <w:t>服务便利度、</w:t>
      </w:r>
      <w:r>
        <w:rPr>
          <w:rFonts w:hint="eastAsia" w:ascii="仿宋_GB2312" w:hAnsi="仿宋_GB2312" w:eastAsia="仿宋_GB2312" w:cs="仿宋_GB2312"/>
          <w:sz w:val="32"/>
          <w:szCs w:val="32"/>
          <w:highlight w:val="none"/>
          <w:u w:val="none"/>
        </w:rPr>
        <w:t>拟派项目团队能力、评标情况（优缺点）、同类业绩等。</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二</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sz w:val="32"/>
          <w:szCs w:val="32"/>
          <w:highlight w:val="none"/>
          <w:u w:val="none"/>
        </w:rPr>
        <w:t>择优</w:t>
      </w:r>
      <w:r>
        <w:rPr>
          <w:rFonts w:hint="eastAsia" w:ascii="仿宋_GB2312" w:hAnsi="仿宋_GB2312" w:eastAsia="仿宋_GB2312" w:cs="仿宋_GB2312"/>
          <w:sz w:val="32"/>
          <w:szCs w:val="32"/>
          <w:highlight w:val="none"/>
          <w:u w:val="none"/>
          <w:lang w:eastAsia="zh-CN"/>
        </w:rPr>
        <w:t>因素</w:t>
      </w:r>
      <w:r>
        <w:rPr>
          <w:rFonts w:hint="eastAsia" w:ascii="仿宋_GB2312" w:hAnsi="仿宋_GB2312" w:eastAsia="仿宋_GB2312" w:cs="仿宋_GB2312"/>
          <w:sz w:val="32"/>
          <w:szCs w:val="32"/>
          <w:highlight w:val="none"/>
          <w:u w:val="none"/>
        </w:rPr>
        <w:t>考量年限建议如下：</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企业业绩、获奖情况：建议考虑近五年内；</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企业规模、行业排名、营业额度、财务状况：建议考虑近三年内；</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履约情况、信用：建议考虑近一年内。</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三</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择优要素的使用</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入围环节：招标人应当明确相关择优要素</w:t>
      </w:r>
      <w:r>
        <w:rPr>
          <w:rFonts w:hint="eastAsia" w:ascii="仿宋_GB2312" w:hAnsi="仿宋_GB2312" w:eastAsia="仿宋_GB2312" w:cs="仿宋_GB2312"/>
          <w:sz w:val="32"/>
          <w:szCs w:val="32"/>
          <w:highlight w:val="none"/>
          <w:u w:val="none"/>
          <w:lang w:val="en-US" w:eastAsia="zh-CN"/>
        </w:rPr>
        <w:t>和排序</w:t>
      </w:r>
      <w:r>
        <w:rPr>
          <w:rFonts w:hint="eastAsia" w:ascii="仿宋_GB2312" w:hAnsi="仿宋_GB2312" w:eastAsia="仿宋_GB2312" w:cs="仿宋_GB2312"/>
          <w:sz w:val="32"/>
          <w:szCs w:val="32"/>
          <w:highlight w:val="none"/>
          <w:u w:val="none"/>
        </w:rPr>
        <w:t>，择优要素不宜过多、过泛，入围环节4-5个要素。</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定标环节：定标环节由招标人自行确定择优要素</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不少于3个要素</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及排序。招标人应在招标文件备案环节确定定标原则有关内容，在招标公告发布前事先制定定标方案，确定择优要素的优先顺序，供定标委员会在定标阶段使用。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四</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择优要素的相对标准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在同等条件下，择优要素的相对标准可参考以下几个方面：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资质高企业优于资质低企业；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服务便利度高的企业优于服务便利度低的企业；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营业额大企业优于营业额小企业；</w:t>
      </w:r>
    </w:p>
    <w:p>
      <w:pPr>
        <w:pStyle w:val="5"/>
        <w:keepNext w:val="0"/>
        <w:keepLines w:val="0"/>
        <w:pageBreakBefore w:val="0"/>
        <w:widowControl w:val="0"/>
        <w:kinsoku/>
        <w:wordWrap/>
        <w:overflowPunct/>
        <w:topLinePunct w:val="0"/>
        <w:bidi w:val="0"/>
        <w:snapToGrid/>
        <w:spacing w:line="560" w:lineRule="exact"/>
        <w:ind w:firstLine="640" w:firstLineChars="200"/>
        <w:textAlignment w:val="auto"/>
        <w:rPr>
          <w:rFonts w:hint="default" w:eastAsia="仿宋_GB2312"/>
          <w:highlight w:val="none"/>
          <w:u w:val="none"/>
          <w:lang w:val="en-US" w:eastAsia="zh-CN"/>
        </w:rPr>
      </w:pPr>
      <w:r>
        <w:rPr>
          <w:rFonts w:hint="eastAsia"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val="en-US" w:eastAsia="zh-CN"/>
        </w:rPr>
        <w:t>安全监管便利度</w:t>
      </w:r>
      <w:r>
        <w:rPr>
          <w:rFonts w:hint="eastAsia" w:hAnsi="仿宋_GB2312" w:eastAsia="仿宋_GB2312" w:cs="仿宋_GB2312"/>
          <w:sz w:val="32"/>
          <w:szCs w:val="32"/>
          <w:highlight w:val="none"/>
          <w:u w:val="none"/>
          <w:lang w:val="en-US" w:eastAsia="zh-CN"/>
        </w:rPr>
        <w:t>高的企业优于</w:t>
      </w:r>
      <w:r>
        <w:rPr>
          <w:rFonts w:hint="eastAsia" w:ascii="仿宋_GB2312" w:hAnsi="仿宋_GB2312" w:eastAsia="仿宋_GB2312" w:cs="仿宋_GB2312"/>
          <w:sz w:val="32"/>
          <w:szCs w:val="32"/>
          <w:highlight w:val="none"/>
          <w:u w:val="none"/>
          <w:lang w:val="en-US" w:eastAsia="zh-CN"/>
        </w:rPr>
        <w:t>安全监管便利度</w:t>
      </w:r>
      <w:r>
        <w:rPr>
          <w:rFonts w:hint="eastAsia" w:hAnsi="仿宋_GB2312" w:eastAsia="仿宋_GB2312" w:cs="仿宋_GB2312"/>
          <w:sz w:val="32"/>
          <w:szCs w:val="32"/>
          <w:highlight w:val="none"/>
          <w:u w:val="none"/>
          <w:lang w:val="en-US" w:eastAsia="zh-CN"/>
        </w:rPr>
        <w:t>低的企业；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工程业绩好的优于业绩差的（其中，工程业绩指标大于本招标项目二分之一以上的为符合本工程业绩）</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指标</w:t>
      </w:r>
      <w:r>
        <w:rPr>
          <w:rFonts w:hint="eastAsia" w:ascii="仿宋_GB2312" w:hAnsi="仿宋_GB2312" w:eastAsia="仿宋_GB2312" w:cs="仿宋_GB2312"/>
          <w:sz w:val="32"/>
          <w:szCs w:val="32"/>
          <w:highlight w:val="none"/>
          <w:u w:val="none"/>
          <w:lang w:val="en-US" w:eastAsia="zh-CN"/>
        </w:rPr>
        <w:t>值是指投资额、单跨跨径、建筑高度、基坑深度、隧道长度、软基处理面积等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履约评价好企业优于履约评价差企业；</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7.</w:t>
      </w:r>
      <w:r>
        <w:rPr>
          <w:rFonts w:hint="eastAsia" w:ascii="仿宋_GB2312" w:hAnsi="仿宋_GB2312" w:eastAsia="仿宋_GB2312" w:cs="仿宋_GB2312"/>
          <w:sz w:val="32"/>
          <w:szCs w:val="32"/>
          <w:highlight w:val="none"/>
          <w:u w:val="none"/>
        </w:rPr>
        <w:t>无不良行为记录企业优于有不良行为记录企业，不良行为记录较轻企业优于不良行为记录较重企业；</w:t>
      </w:r>
    </w:p>
    <w:p>
      <w:pPr>
        <w:keepNext w:val="0"/>
        <w:keepLines w:val="0"/>
        <w:pageBreakBefore w:val="0"/>
        <w:widowControl w:val="0"/>
        <w:kinsoku/>
        <w:wordWrap/>
        <w:overflowPunct/>
        <w:topLinePunct w:val="0"/>
        <w:bidi w:val="0"/>
        <w:snapToGrid/>
        <w:spacing w:line="560" w:lineRule="exac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val="en-US" w:eastAsia="zh-CN"/>
        </w:rPr>
        <w:t>8.</w:t>
      </w:r>
      <w:r>
        <w:rPr>
          <w:rFonts w:hint="eastAsia" w:ascii="仿宋_GB2312" w:hAnsi="仿宋_GB2312" w:eastAsia="仿宋_GB2312" w:cs="仿宋_GB2312"/>
          <w:sz w:val="32"/>
          <w:szCs w:val="32"/>
          <w:highlight w:val="none"/>
          <w:u w:val="none"/>
        </w:rPr>
        <w:t>已有履约记录且没有履约评价不合格企业优先于没有履约记录企业；</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rPr>
        <w:t>获得荣誉多企业优于获得荣誉少企业，荣誉级别高的企业优于荣誉级别低的企业；</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sz w:val="32"/>
          <w:szCs w:val="32"/>
          <w:highlight w:val="none"/>
          <w:u w:val="none"/>
        </w:rPr>
        <w:t>项目负责人资质、业绩、获奖等综合情况好企业的优于项目负责人综合情况差的企业；</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11.</w:t>
      </w:r>
      <w:r>
        <w:rPr>
          <w:rFonts w:hint="eastAsia" w:ascii="仿宋_GB2312" w:hAnsi="仿宋_GB2312" w:eastAsia="仿宋_GB2312" w:cs="仿宋_GB2312"/>
          <w:sz w:val="32"/>
          <w:szCs w:val="32"/>
          <w:highlight w:val="none"/>
          <w:u w:val="none"/>
        </w:rPr>
        <w:t>指派项目管理人员综合实力强的企业优于指派项目管理人员综合实力弱的企业；</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12.</w:t>
      </w:r>
      <w:r>
        <w:rPr>
          <w:rFonts w:hint="eastAsia" w:ascii="仿宋_GB2312" w:hAnsi="仿宋_GB2312" w:eastAsia="仿宋_GB2312" w:cs="仿宋_GB2312"/>
          <w:sz w:val="32"/>
          <w:szCs w:val="32"/>
          <w:highlight w:val="none"/>
          <w:u w:val="none"/>
        </w:rPr>
        <w:t>入选“中国建筑企业500强”或“50家最佳建筑承包商”的企业优于未入选的；</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13.</w:t>
      </w:r>
      <w:r>
        <w:rPr>
          <w:rFonts w:hint="eastAsia" w:ascii="仿宋_GB2312" w:hAnsi="仿宋_GB2312" w:eastAsia="仿宋_GB2312" w:cs="仿宋_GB2312"/>
          <w:sz w:val="32"/>
          <w:szCs w:val="32"/>
          <w:highlight w:val="none"/>
          <w:u w:val="none"/>
        </w:rPr>
        <w:t>商务报价无偏离的优于有偏离的，清单子目偏离数量少的优于偏离数量多的。</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highlight w:val="none"/>
          <w:u w:val="none"/>
          <w:lang w:eastAsia="zh-CN"/>
        </w:rPr>
      </w:pPr>
      <w:r>
        <w:rPr>
          <w:rFonts w:hint="eastAsia" w:ascii="黑体" w:hAnsi="黑体" w:eastAsia="黑体" w:cs="黑体"/>
          <w:sz w:val="32"/>
          <w:szCs w:val="32"/>
          <w:highlight w:val="none"/>
          <w:u w:val="none"/>
          <w:lang w:val="en-US" w:eastAsia="zh-CN"/>
        </w:rPr>
        <w:t>第七条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去劣标准</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定标环节应当先重点考虑去劣，去劣标准应当全部综合考虑，存在下列情形的，逐一进行淘汰，招标人在清标报告中应当注明投标人存在去劣的情形，供定标委员会参考。</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技术标评审，评标专家对其评价为“不合格”的；</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被建设、交通或水务部门信用评价为红色且正处在信用评价结果公示期内的；</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近一年内曾被履约评价为不合格的；</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近两年内曾有对招标人放弃中标资格、拒不签订合同、拒不提供履约担保情形的，或因以上情形在市、区被相关主管部门通报批评的；</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五</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因违反工程质量、安全生产管理规定，或因串通投标、转包、以他人名义投标或者违法分包等违法行为，正在接受建设、交通、水务或者财政部门立案调查或受到行政处罚的（以清标时在相关网站查阅到的信息为准）；</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六</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近一年内有在建项目被市、区政府或建设主管部门通报批评的；</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近一年内在深</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含深汕特别合作区</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发生安全生产管理较大事故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按《生产安全事故报告和调查处理条例》认定的事故）</w:t>
      </w:r>
      <w:r>
        <w:rPr>
          <w:rFonts w:hint="eastAsia" w:ascii="仿宋_GB2312" w:hAnsi="仿宋_GB2312" w:eastAsia="仿宋_GB2312" w:cs="仿宋_GB2312"/>
          <w:sz w:val="32"/>
          <w:szCs w:val="32"/>
          <w:highlight w:val="none"/>
          <w:u w:val="none"/>
        </w:rPr>
        <w:t>的投标人</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八</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近一年内在深</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含深汕特别合作区</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因恶意欠薪被通报批评或引发集体上访事件造成较大社会影响的投标人；</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九</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近一年内在“中国执行信息公开网”“全国企业信用信息公示系统”被判定为企业有失信或执行能力欠缺的；</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商务标存在不平衡报价情况的；</w:t>
      </w:r>
    </w:p>
    <w:p>
      <w:pPr>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十一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投标人存在商业贿赂或以其他违法违规方式损害政府工程利益的行为；</w:t>
      </w:r>
    </w:p>
    <w:p>
      <w:pPr>
        <w:pStyle w:val="5"/>
        <w:keepNext w:val="0"/>
        <w:keepLines w:val="0"/>
        <w:pageBreakBefore w:val="0"/>
        <w:widowControl w:val="0"/>
        <w:kinsoku/>
        <w:wordWrap/>
        <w:overflowPunct/>
        <w:topLinePunct w:val="0"/>
        <w:bidi w:val="0"/>
        <w:snapToGrid/>
        <w:spacing w:line="560" w:lineRule="exact"/>
        <w:ind w:firstLine="640" w:firstLineChars="200"/>
        <w:textAlignment w:val="auto"/>
        <w:rPr>
          <w:rFonts w:hint="default" w:eastAsia="仿宋_GB2312"/>
          <w:color w:val="auto"/>
          <w:highlight w:val="none"/>
          <w:u w:val="none"/>
          <w:lang w:val="en-US" w:eastAsia="zh-CN"/>
        </w:rPr>
      </w:pPr>
      <w:r>
        <w:rPr>
          <w:rFonts w:hint="eastAsia" w:hAnsi="仿宋_GB2312" w:eastAsia="仿宋_GB2312" w:cs="仿宋_GB2312"/>
          <w:sz w:val="32"/>
          <w:szCs w:val="32"/>
          <w:highlight w:val="none"/>
          <w:u w:val="none"/>
          <w:lang w:eastAsia="zh-CN"/>
        </w:rPr>
        <w:t>（</w:t>
      </w:r>
      <w:r>
        <w:rPr>
          <w:rFonts w:hint="eastAsia" w:hAnsi="仿宋_GB2312" w:eastAsia="仿宋_GB2312" w:cs="仿宋_GB2312"/>
          <w:sz w:val="32"/>
          <w:szCs w:val="32"/>
          <w:highlight w:val="none"/>
          <w:u w:val="none"/>
          <w:lang w:val="en-US" w:eastAsia="zh-CN"/>
        </w:rPr>
        <w:t>十二</w:t>
      </w:r>
      <w:r>
        <w:rPr>
          <w:rFonts w:hint="eastAsia" w:hAnsi="仿宋_GB2312" w:eastAsia="仿宋_GB2312" w:cs="仿宋_GB2312"/>
          <w:sz w:val="32"/>
          <w:szCs w:val="32"/>
          <w:highlight w:val="none"/>
          <w:u w:val="none"/>
          <w:lang w:eastAsia="zh-CN"/>
        </w:rPr>
        <w:t>）</w:t>
      </w:r>
      <w:r>
        <w:rPr>
          <w:rFonts w:hint="eastAsia" w:hAnsi="仿宋_GB2312" w:eastAsia="仿宋_GB2312" w:cs="仿宋_GB2312"/>
          <w:color w:val="auto"/>
          <w:sz w:val="32"/>
          <w:szCs w:val="32"/>
          <w:highlight w:val="none"/>
          <w:u w:val="none"/>
          <w:lang w:val="en-US" w:eastAsia="zh-CN"/>
        </w:rPr>
        <w:t>近三年内被市、区安委会或安委办约谈且未在整改期限内完成隐患整改的；</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kern w:val="0"/>
          <w:sz w:val="32"/>
          <w:szCs w:val="32"/>
          <w:highlight w:val="none"/>
          <w:u w:val="none"/>
          <w:lang w:val="en-US" w:eastAsia="zh-CN" w:bidi="ar-SA"/>
        </w:rPr>
        <w:t>（十三）招</w:t>
      </w:r>
      <w:r>
        <w:rPr>
          <w:rFonts w:hint="eastAsia" w:ascii="仿宋_GB2312" w:hAnsi="仿宋_GB2312" w:eastAsia="仿宋_GB2312" w:cs="仿宋_GB2312"/>
          <w:sz w:val="32"/>
          <w:szCs w:val="32"/>
          <w:highlight w:val="none"/>
          <w:u w:val="none"/>
        </w:rPr>
        <w:t>标人认为其他去劣淘汰投标人的行为</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注：</w:t>
      </w:r>
      <w:r>
        <w:rPr>
          <w:rFonts w:hint="eastAsia" w:ascii="仿宋_GB2312" w:hAnsi="仿宋_GB2312" w:eastAsia="仿宋_GB2312" w:cs="仿宋_GB2312"/>
          <w:sz w:val="32"/>
          <w:szCs w:val="32"/>
          <w:highlight w:val="none"/>
          <w:u w:val="none"/>
        </w:rPr>
        <w:t>以上时间截点均以清标之日起倒算，招标人应当自评标结束后10个工作日内进入交易中心进行定标，定标前1日招标人应当再次复核清标报告的准确性。</w:t>
      </w:r>
    </w:p>
    <w:p>
      <w:pPr>
        <w:pStyle w:val="2"/>
        <w:keepNext w:val="0"/>
        <w:keepLines w:val="0"/>
        <w:pageBreakBefore w:val="0"/>
        <w:kinsoku/>
        <w:wordWrap/>
        <w:overflowPunct/>
        <w:topLinePunct w:val="0"/>
        <w:bidi w:val="0"/>
        <w:snapToGrid/>
        <w:spacing w:line="560" w:lineRule="exact"/>
        <w:textAlignment w:val="auto"/>
        <w:rPr>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第四章 入围、定标操作和清标查询路径</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val="en-US" w:eastAsia="zh-CN"/>
        </w:rPr>
        <w:t xml:space="preserve">第八条 </w:t>
      </w:r>
      <w:r>
        <w:rPr>
          <w:rFonts w:hint="eastAsia" w:ascii="仿宋_GB2312" w:hAnsi="仿宋_GB2312" w:eastAsia="仿宋_GB2312" w:cs="仿宋_GB2312"/>
          <w:sz w:val="32"/>
          <w:szCs w:val="32"/>
          <w:highlight w:val="none"/>
          <w:u w:val="none"/>
        </w:rPr>
        <w:t>入围以择优为主，</w:t>
      </w:r>
      <w:r>
        <w:rPr>
          <w:rFonts w:hint="eastAsia" w:ascii="仿宋_GB2312" w:hAnsi="仿宋_GB2312" w:eastAsia="仿宋_GB2312" w:cs="仿宋_GB2312"/>
          <w:sz w:val="32"/>
          <w:szCs w:val="32"/>
          <w:highlight w:val="none"/>
          <w:u w:val="none"/>
          <w:lang w:val="en-US" w:eastAsia="zh-CN"/>
        </w:rPr>
        <w:t>兼顾</w:t>
      </w:r>
      <w:r>
        <w:rPr>
          <w:rFonts w:hint="eastAsia" w:ascii="仿宋_GB2312" w:hAnsi="仿宋_GB2312" w:eastAsia="仿宋_GB2312" w:cs="仿宋_GB2312"/>
          <w:sz w:val="32"/>
          <w:szCs w:val="32"/>
          <w:highlight w:val="none"/>
          <w:u w:val="none"/>
        </w:rPr>
        <w:t>价格因素</w:t>
      </w:r>
      <w:r>
        <w:rPr>
          <w:rFonts w:hint="eastAsia" w:ascii="仿宋_GB2312" w:hAnsi="仿宋_GB2312" w:eastAsia="仿宋_GB2312" w:cs="仿宋_GB2312"/>
          <w:sz w:val="32"/>
          <w:szCs w:val="32"/>
          <w:highlight w:val="none"/>
          <w:u w:val="none"/>
          <w:lang w:val="en-US" w:eastAsia="zh-CN"/>
        </w:rPr>
        <w:t>但不得规定最低价</w:t>
      </w:r>
      <w:r>
        <w:rPr>
          <w:rFonts w:hint="eastAsia" w:ascii="仿宋_GB2312" w:hAnsi="仿宋_GB2312" w:eastAsia="仿宋_GB2312" w:cs="仿宋_GB2312"/>
          <w:sz w:val="32"/>
          <w:szCs w:val="32"/>
          <w:highlight w:val="none"/>
          <w:u w:val="none"/>
        </w:rPr>
        <w:t>。入围委员会成员根据</w:t>
      </w:r>
      <w:r>
        <w:rPr>
          <w:rFonts w:hint="eastAsia" w:ascii="仿宋_GB2312" w:hAnsi="仿宋_GB2312" w:eastAsia="仿宋_GB2312" w:cs="仿宋_GB2312"/>
          <w:b/>
          <w:bCs/>
          <w:sz w:val="32"/>
          <w:szCs w:val="32"/>
          <w:highlight w:val="none"/>
          <w:u w:val="none"/>
        </w:rPr>
        <w:t>择优要素</w:t>
      </w:r>
      <w:r>
        <w:rPr>
          <w:rFonts w:hint="eastAsia" w:ascii="仿宋_GB2312" w:hAnsi="仿宋_GB2312" w:eastAsia="仿宋_GB2312" w:cs="仿宋_GB2312"/>
          <w:sz w:val="32"/>
          <w:szCs w:val="32"/>
          <w:highlight w:val="none"/>
          <w:u w:val="none"/>
        </w:rPr>
        <w:t>的先后顺序，进行逐轮淘汰，直至数量为入围数量Q后，直接投票选出优势投标人。（Q为当进入开标程序的投标人数大于20家时，计算机随机在15到20之间的正整数中随机抽取的一个整数，作为本工程可入围家数）；如投标人不超过20家的，没有入围环节，直接进入到定标环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第九条 </w:t>
      </w:r>
      <w:r>
        <w:rPr>
          <w:rFonts w:hint="eastAsia" w:ascii="仿宋_GB2312" w:hAnsi="仿宋_GB2312" w:eastAsia="仿宋_GB2312" w:cs="仿宋_GB2312"/>
          <w:sz w:val="32"/>
          <w:szCs w:val="32"/>
          <w:highlight w:val="none"/>
          <w:u w:val="none"/>
          <w:lang w:val="en-US" w:eastAsia="zh-CN"/>
        </w:rPr>
        <w:t>由招标人根据项目实际需求，决定采用</w:t>
      </w:r>
      <w:r>
        <w:rPr>
          <w:rFonts w:hint="eastAsia" w:ascii="仿宋_GB2312" w:hAnsi="仿宋_GB2312" w:eastAsia="仿宋_GB2312" w:cs="仿宋_GB2312"/>
          <w:b/>
          <w:bCs/>
          <w:sz w:val="32"/>
          <w:szCs w:val="32"/>
          <w:highlight w:val="none"/>
          <w:u w:val="none"/>
          <w:lang w:val="en-US" w:eastAsia="zh-CN"/>
        </w:rPr>
        <w:t>直接票决</w:t>
      </w:r>
      <w:r>
        <w:rPr>
          <w:rFonts w:hint="eastAsia" w:ascii="仿宋_GB2312" w:hAnsi="仿宋_GB2312" w:eastAsia="仿宋_GB2312" w:cs="仿宋_GB2312"/>
          <w:sz w:val="32"/>
          <w:szCs w:val="32"/>
          <w:highlight w:val="none"/>
          <w:u w:val="none"/>
          <w:lang w:val="en-US" w:eastAsia="zh-CN"/>
        </w:rPr>
        <w:t>或</w:t>
      </w:r>
      <w:r>
        <w:rPr>
          <w:rFonts w:hint="eastAsia" w:ascii="仿宋_GB2312" w:hAnsi="仿宋_GB2312" w:eastAsia="仿宋_GB2312" w:cs="仿宋_GB2312"/>
          <w:b/>
          <w:bCs/>
          <w:sz w:val="32"/>
          <w:szCs w:val="32"/>
          <w:highlight w:val="none"/>
          <w:u w:val="none"/>
          <w:lang w:val="en-US" w:eastAsia="zh-CN"/>
        </w:rPr>
        <w:t>票决抽签</w:t>
      </w:r>
      <w:r>
        <w:rPr>
          <w:rFonts w:hint="eastAsia" w:ascii="仿宋_GB2312" w:hAnsi="仿宋_GB2312" w:eastAsia="仿宋_GB2312" w:cs="仿宋_GB2312"/>
          <w:sz w:val="32"/>
          <w:szCs w:val="32"/>
          <w:highlight w:val="none"/>
          <w:u w:val="none"/>
          <w:lang w:val="en-US" w:eastAsia="zh-CN"/>
        </w:rPr>
        <w:t>方式定标。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（一）采用直接</w:t>
      </w:r>
      <w:r>
        <w:rPr>
          <w:rFonts w:hint="eastAsia" w:ascii="仿宋_GB2312" w:hAnsi="仿宋_GB2312" w:eastAsia="仿宋_GB2312" w:cs="仿宋_GB2312"/>
          <w:sz w:val="32"/>
          <w:szCs w:val="32"/>
          <w:highlight w:val="none"/>
          <w:u w:val="none"/>
        </w:rPr>
        <w:t>票决</w:t>
      </w:r>
      <w:r>
        <w:rPr>
          <w:rFonts w:hint="eastAsia" w:ascii="仿宋_GB2312" w:hAnsi="仿宋_GB2312" w:eastAsia="仿宋_GB2312" w:cs="仿宋_GB2312"/>
          <w:sz w:val="32"/>
          <w:szCs w:val="32"/>
          <w:highlight w:val="none"/>
          <w:u w:val="none"/>
          <w:lang w:val="en-US" w:eastAsia="zh-CN"/>
        </w:rPr>
        <w:t>方式定标的，</w:t>
      </w:r>
      <w:r>
        <w:rPr>
          <w:rFonts w:hint="eastAsia" w:ascii="仿宋_GB2312" w:hAnsi="仿宋_GB2312" w:eastAsia="仿宋_GB2312" w:cs="仿宋_GB2312"/>
          <w:sz w:val="32"/>
          <w:szCs w:val="32"/>
          <w:highlight w:val="none"/>
          <w:u w:val="none"/>
        </w:rPr>
        <w:t>在票选范围内</w:t>
      </w:r>
      <w:r>
        <w:rPr>
          <w:rFonts w:hint="eastAsia" w:ascii="仿宋_GB2312" w:hAnsi="仿宋_GB2312" w:eastAsia="仿宋_GB2312" w:cs="仿宋_GB2312"/>
          <w:sz w:val="32"/>
          <w:szCs w:val="32"/>
          <w:highlight w:val="none"/>
          <w:u w:val="none"/>
          <w:lang w:val="en-US" w:eastAsia="zh-CN"/>
        </w:rPr>
        <w:t>由</w:t>
      </w:r>
      <w:r>
        <w:rPr>
          <w:rFonts w:hint="eastAsia" w:ascii="仿宋_GB2312" w:hAnsi="仿宋_GB2312" w:eastAsia="仿宋_GB2312" w:cs="仿宋_GB2312"/>
          <w:sz w:val="32"/>
          <w:szCs w:val="32"/>
          <w:highlight w:val="none"/>
          <w:u w:val="none"/>
        </w:rPr>
        <w:t>定标委员会成员根据招标人</w:t>
      </w:r>
      <w:r>
        <w:rPr>
          <w:rFonts w:hint="eastAsia" w:ascii="仿宋_GB2312" w:hAnsi="仿宋_GB2312" w:eastAsia="仿宋_GB2312" w:cs="仿宋_GB2312"/>
          <w:b/>
          <w:bCs/>
          <w:sz w:val="32"/>
          <w:szCs w:val="32"/>
          <w:highlight w:val="none"/>
          <w:u w:val="none"/>
        </w:rPr>
        <w:t>事先确定的定标择优要素</w:t>
      </w:r>
      <w:r>
        <w:rPr>
          <w:rFonts w:hint="eastAsia" w:ascii="仿宋_GB2312" w:hAnsi="仿宋_GB2312" w:eastAsia="仿宋_GB2312" w:cs="仿宋_GB2312"/>
          <w:sz w:val="32"/>
          <w:szCs w:val="32"/>
          <w:highlight w:val="none"/>
          <w:u w:val="none"/>
          <w:lang w:val="en-US" w:eastAsia="zh-CN"/>
        </w:rPr>
        <w:t>自主投票，直接确定1名中标候选人。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（二）</w:t>
      </w:r>
      <w:r>
        <w:rPr>
          <w:rFonts w:hint="eastAsia" w:ascii="仿宋_GB2312" w:hAnsi="仿宋_GB2312" w:eastAsia="仿宋_GB2312" w:cs="仿宋_GB2312"/>
          <w:sz w:val="32"/>
          <w:szCs w:val="32"/>
          <w:highlight w:val="none"/>
          <w:u w:val="none"/>
        </w:rPr>
        <w:t>采用</w:t>
      </w:r>
      <w:r>
        <w:rPr>
          <w:rFonts w:hint="eastAsia" w:ascii="仿宋_GB2312" w:hAnsi="仿宋_GB2312" w:eastAsia="仿宋_GB2312" w:cs="仿宋_GB2312"/>
          <w:b/>
          <w:bCs/>
          <w:sz w:val="32"/>
          <w:szCs w:val="32"/>
          <w:highlight w:val="none"/>
          <w:u w:val="none"/>
        </w:rPr>
        <w:t>票决抽签</w:t>
      </w:r>
      <w:r>
        <w:rPr>
          <w:rFonts w:hint="eastAsia" w:ascii="仿宋_GB2312" w:hAnsi="仿宋_GB2312" w:eastAsia="仿宋_GB2312" w:cs="仿宋_GB2312"/>
          <w:sz w:val="32"/>
          <w:szCs w:val="32"/>
          <w:highlight w:val="none"/>
          <w:u w:val="none"/>
        </w:rPr>
        <w:t>方式定标</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sz w:val="32"/>
          <w:szCs w:val="32"/>
          <w:highlight w:val="none"/>
          <w:u w:val="none"/>
        </w:rPr>
        <w:t>，票出3家相对优质企业进行抽签定标，最终确定1名中标候选人。定标委员会成员根据招标人</w:t>
      </w:r>
      <w:r>
        <w:rPr>
          <w:rFonts w:hint="eastAsia" w:ascii="仿宋_GB2312" w:hAnsi="仿宋_GB2312" w:eastAsia="仿宋_GB2312" w:cs="仿宋_GB2312"/>
          <w:b/>
          <w:bCs/>
          <w:sz w:val="32"/>
          <w:szCs w:val="32"/>
          <w:highlight w:val="none"/>
          <w:u w:val="none"/>
        </w:rPr>
        <w:t>事先确定的定标择优要素的先后顺序，</w:t>
      </w:r>
      <w:r>
        <w:rPr>
          <w:rFonts w:hint="eastAsia" w:ascii="仿宋_GB2312" w:hAnsi="仿宋_GB2312" w:eastAsia="仿宋_GB2312" w:cs="仿宋_GB2312"/>
          <w:sz w:val="32"/>
          <w:szCs w:val="32"/>
          <w:highlight w:val="none"/>
          <w:u w:val="none"/>
        </w:rPr>
        <w:t>进行逐轮票选出优势投标人，逐轮票决采用票决入围家数逐轮递减的方式进行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直至数量满足抽签定标数量3。择优后的3家投标单位，通过抽签的形式，确定1名中标候选人。</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w:t>
      </w:r>
      <w:r>
        <w:rPr>
          <w:rFonts w:hint="eastAsia" w:hAnsi="仿宋_GB2312" w:eastAsia="仿宋_GB2312" w:cs="仿宋_GB2312"/>
          <w:sz w:val="32"/>
          <w:szCs w:val="32"/>
          <w:highlight w:val="none"/>
          <w:u w:val="none"/>
          <w:lang w:val="en-US" w:eastAsia="zh-CN"/>
        </w:rPr>
        <w:t>三</w:t>
      </w:r>
      <w:r>
        <w:rPr>
          <w:rFonts w:hint="eastAsia" w:ascii="仿宋_GB2312" w:hAnsi="仿宋_GB2312" w:eastAsia="仿宋_GB2312" w:cs="仿宋_GB2312"/>
          <w:sz w:val="32"/>
          <w:szCs w:val="32"/>
          <w:highlight w:val="none"/>
          <w:u w:val="none"/>
          <w:lang w:val="en-US" w:eastAsia="zh-CN"/>
        </w:rPr>
        <w:t>）采用</w:t>
      </w:r>
      <w:r>
        <w:rPr>
          <w:rFonts w:hint="eastAsia" w:ascii="仿宋_GB2312" w:hAnsi="仿宋_GB2312" w:eastAsia="仿宋_GB2312" w:cs="仿宋_GB2312"/>
          <w:b/>
          <w:bCs/>
          <w:sz w:val="32"/>
          <w:szCs w:val="32"/>
          <w:highlight w:val="none"/>
          <w:u w:val="none"/>
        </w:rPr>
        <w:t>集体议事法</w:t>
      </w:r>
      <w:r>
        <w:rPr>
          <w:rFonts w:hint="eastAsia" w:ascii="仿宋_GB2312" w:hAnsi="仿宋_GB2312" w:eastAsia="仿宋_GB2312" w:cs="仿宋_GB2312"/>
          <w:sz w:val="32"/>
          <w:szCs w:val="32"/>
          <w:highlight w:val="none"/>
          <w:u w:val="none"/>
          <w:lang w:val="en-US" w:eastAsia="zh-CN"/>
        </w:rPr>
        <w:t>方式定标的，</w:t>
      </w:r>
      <w:r>
        <w:rPr>
          <w:rFonts w:hint="eastAsia" w:ascii="仿宋_GB2312" w:hAnsi="仿宋_GB2312" w:eastAsia="仿宋_GB2312" w:cs="仿宋_GB2312"/>
          <w:sz w:val="32"/>
          <w:szCs w:val="32"/>
          <w:highlight w:val="none"/>
          <w:u w:val="none"/>
        </w:rPr>
        <w:t>由招标人组建定标委员会进行集体商议，定标委员会成员在票选范围内根据招标人</w:t>
      </w:r>
      <w:r>
        <w:rPr>
          <w:rFonts w:hint="eastAsia" w:ascii="仿宋_GB2312" w:hAnsi="仿宋_GB2312" w:eastAsia="仿宋_GB2312" w:cs="仿宋_GB2312"/>
          <w:b w:val="0"/>
          <w:bCs w:val="0"/>
          <w:sz w:val="32"/>
          <w:szCs w:val="32"/>
          <w:highlight w:val="none"/>
          <w:u w:val="none"/>
        </w:rPr>
        <w:t>事先确定的定标择优要素</w:t>
      </w:r>
      <w:r>
        <w:rPr>
          <w:rFonts w:hint="eastAsia" w:ascii="仿宋_GB2312" w:hAnsi="仿宋_GB2312" w:eastAsia="仿宋_GB2312" w:cs="仿宋_GB2312"/>
          <w:sz w:val="32"/>
          <w:szCs w:val="32"/>
          <w:highlight w:val="none"/>
          <w:u w:val="none"/>
        </w:rPr>
        <w:t>各自发表意见，由定标委员会组长最终确定中标人。所有参加会议的定标委员会成员的意见应当作书面记录，并由定标委员会成员签字确认。采用集体议事法定标的，定标委员会组长应当由招标人的法定代表人或者主要负责人担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val="en-US" w:eastAsia="zh-CN"/>
        </w:rPr>
        <w:t xml:space="preserve">第十条 </w:t>
      </w:r>
      <w:r>
        <w:rPr>
          <w:rFonts w:hint="eastAsia" w:ascii="仿宋_GB2312" w:hAnsi="仿宋_GB2312" w:eastAsia="仿宋_GB2312" w:cs="仿宋_GB2312"/>
          <w:sz w:val="32"/>
          <w:szCs w:val="32"/>
          <w:highlight w:val="none"/>
          <w:u w:val="none"/>
        </w:rPr>
        <w:t>招标人清标时，需查询相关信息的，应当在政府权威网站进行查询，并以截图、保存网页等方式保留查询的所有过程文件，以便追溯。查询工作应对所有投标人统一进行，不得只针对部分投标人。招标人须通过以下路径查询清标要素：</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企业注册地：按照营业执照或国家工商总局“全国企业信用信息公示系统”进行查询；</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企业、项目负责人业绩及规模：通过国家住建部“全国建筑市场监管公共服务平台”查询；</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近一年内在深发生安全生产死亡事故情况：以“深圳建设工程交易服务网-首页-曝光台-本年度建设工程安全安全生产事故情况、上一年度建设工程安全事故情况”及深圳市相关政府网站为准；</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企业诚信等级：以市、区建设主管部门或者市、区级诚信管理系统公布的建设工程诚信等级为准；在市、区建设工程诚信体系建立前，不进行择优比较；</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五</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企业失信情况：以“中国执行信息公开网”、“全国企业信用信息公示系统”查询结果为准；</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六</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企业红色警示：以市住建、交委、水务等建设主管部门官网查询结果为准；</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行政处罚信息：以国家住建部“全国建筑市场监管公共服务平台”</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不良行为信息、广东省住建厅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广东省建筑市场监管公共服务平台”-不良行为信息、深圳市（含各区）建设、交通、</w:t>
      </w:r>
      <w:bookmarkStart w:id="0" w:name="_GoBack"/>
      <w:bookmarkEnd w:id="0"/>
      <w:r>
        <w:rPr>
          <w:rFonts w:hint="eastAsia" w:ascii="仿宋_GB2312" w:hAnsi="仿宋_GB2312" w:eastAsia="仿宋_GB2312" w:cs="仿宋_GB2312"/>
          <w:sz w:val="32"/>
          <w:szCs w:val="32"/>
          <w:highlight w:val="none"/>
          <w:u w:val="none"/>
        </w:rPr>
        <w:t>水务或者财政部门网站等</w:t>
      </w:r>
      <w:r>
        <w:rPr>
          <w:rFonts w:hint="eastAsia" w:ascii="仿宋_GB2312" w:hAnsi="仿宋_GB2312" w:eastAsia="仿宋_GB2312" w:cs="仿宋_GB2312"/>
          <w:b/>
          <w:bCs/>
          <w:sz w:val="32"/>
          <w:szCs w:val="32"/>
          <w:highlight w:val="none"/>
          <w:u w:val="none"/>
        </w:rPr>
        <w:t>行政处罚</w:t>
      </w:r>
      <w:r>
        <w:rPr>
          <w:rFonts w:hint="eastAsia" w:ascii="仿宋_GB2312" w:hAnsi="仿宋_GB2312" w:eastAsia="仿宋_GB2312" w:cs="仿宋_GB2312"/>
          <w:sz w:val="32"/>
          <w:szCs w:val="32"/>
          <w:highlight w:val="none"/>
          <w:u w:val="none"/>
        </w:rPr>
        <w:t>的查询结果为准；</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八</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评标意见：施工类项目为评标专家经汇总的评审意见，可罗列优、缺点，但不得进行转化分级；其他类（勘察、设计、监理等服务类）应就评标专家评标意见罗列优、缺点供参考。</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九</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获奖情况所列奖项类别以下列为准：</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其中，</w:t>
      </w:r>
      <w:r>
        <w:rPr>
          <w:rFonts w:hint="eastAsia" w:ascii="仿宋_GB2312" w:hAnsi="仿宋_GB2312" w:eastAsia="仿宋_GB2312" w:cs="仿宋_GB2312"/>
          <w:sz w:val="32"/>
          <w:szCs w:val="32"/>
          <w:highlight w:val="none"/>
          <w:u w:val="none"/>
        </w:rPr>
        <w:t>1</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b/>
          <w:bCs/>
          <w:sz w:val="32"/>
          <w:szCs w:val="32"/>
          <w:highlight w:val="none"/>
          <w:u w:val="none"/>
        </w:rPr>
        <w:t>国家级</w:t>
      </w:r>
      <w:r>
        <w:rPr>
          <w:rFonts w:hint="eastAsia" w:ascii="仿宋_GB2312" w:hAnsi="仿宋_GB2312" w:eastAsia="仿宋_GB2312" w:cs="仿宋_GB2312"/>
          <w:sz w:val="32"/>
          <w:szCs w:val="32"/>
          <w:highlight w:val="none"/>
          <w:u w:val="none"/>
        </w:rPr>
        <w:t>奖项及发证机关如下：</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中国建筑业协会评选的《中国建设工程鲁班奖》；中国土木工程学会评选的《詹天佑土木工程大奖》；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中国市政工程协会评选的《全国市政金杯示范工程》；</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中国施工企业管理协会评选的《国家优质工程奖》；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国家工程建设质量奖审定委员会评选的《国家优质工程金质奖、银质奖》；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中国建筑装饰协会评选的《全国建筑装饰奖》；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中国建设监理协会评选的《全国先进工程监理企业奖》；中国交通建设监理协会评选的《中国交通建设优秀品牌监理企业奖》；</w:t>
      </w:r>
    </w:p>
    <w:p>
      <w:pPr>
        <w:keepNext w:val="0"/>
        <w:keepLines w:val="0"/>
        <w:pageBreakBefore w:val="0"/>
        <w:widowControl w:val="0"/>
        <w:kinsoku/>
        <w:wordWrap/>
        <w:overflowPunct/>
        <w:topLinePunct w:val="0"/>
        <w:bidi w:val="0"/>
        <w:snapToGrid/>
        <w:spacing w:line="560" w:lineRule="exact"/>
        <w:ind w:left="638" w:leftChars="304"/>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中国公路建设行业协会评选的《公路交通优质工程奖》；中国水利工程协会评选的《水利工程大禹奖》；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中国钢结构协会评选的《钢结构金奖》；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中国安装协会评选的《中国安装工程优质奖》；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中国建筑学会评选的《梁思成建筑奖》；中国建筑设计研究院评选的《华夏建设科学技术奖》；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中华人民共和国住房和城乡建设部评选的《全国绿色建筑创新奖》；中国建筑业协会建筑安全分会评选的《建设工程项目施工安全生产标准化建设工地》；</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中国建筑金属结构协会建筑钢结构委员会评选的《</w:t>
      </w:r>
      <w:r>
        <w:rPr>
          <w:highlight w:val="none"/>
          <w:u w:val="none"/>
        </w:rPr>
        <w:fldChar w:fldCharType="begin"/>
      </w:r>
      <w:r>
        <w:rPr>
          <w:highlight w:val="none"/>
          <w:u w:val="none"/>
        </w:rPr>
        <w:instrText xml:space="preserve"> HYPERLINK "https://baike.so.com/doc/7849728-8123823.html" \t "_blank" </w:instrText>
      </w:r>
      <w:r>
        <w:rPr>
          <w:highlight w:val="none"/>
          <w:u w:val="none"/>
        </w:rPr>
        <w:fldChar w:fldCharType="separate"/>
      </w:r>
      <w:r>
        <w:rPr>
          <w:rFonts w:hint="eastAsia" w:ascii="仿宋_GB2312" w:hAnsi="仿宋_GB2312" w:eastAsia="仿宋_GB2312" w:cs="仿宋_GB2312"/>
          <w:sz w:val="32"/>
          <w:szCs w:val="32"/>
          <w:highlight w:val="none"/>
          <w:u w:val="none"/>
        </w:rPr>
        <w:t>中国建筑工程钢结构金奖</w:t>
      </w:r>
      <w:r>
        <w:rPr>
          <w:rFonts w:hint="eastAsia" w:ascii="仿宋_GB2312" w:hAnsi="仿宋_GB2312" w:eastAsia="仿宋_GB2312" w:cs="仿宋_GB2312"/>
          <w:sz w:val="32"/>
          <w:szCs w:val="32"/>
          <w:highlight w:val="none"/>
          <w:u w:val="none"/>
        </w:rPr>
        <w:fldChar w:fldCharType="end"/>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中国勘察设计协会和中国工程咨询协会评选的《工程项目管理优秀奖》《工程总承包金钥匙奖》《工程总承包银钥匙奖》《工程总承包优秀奖》；</w:t>
      </w:r>
    </w:p>
    <w:p>
      <w:pPr>
        <w:keepNext w:val="0"/>
        <w:keepLines w:val="0"/>
        <w:pageBreakBefore w:val="0"/>
        <w:widowControl w:val="0"/>
        <w:kinsoku/>
        <w:wordWrap/>
        <w:overflowPunct/>
        <w:topLinePunct w:val="0"/>
        <w:bidi w:val="0"/>
        <w:snapToGrid/>
        <w:spacing w:line="560" w:lineRule="exact"/>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default" w:ascii="仿宋_GB2312" w:hAnsi="仿宋_GB2312" w:eastAsia="仿宋_GB2312" w:cs="仿宋_GB2312"/>
          <w:sz w:val="32"/>
          <w:szCs w:val="32"/>
          <w:highlight w:val="none"/>
          <w:u w:val="none"/>
          <w:lang w:val="en"/>
        </w:rPr>
        <w:t xml:space="preserve"> </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b/>
          <w:bCs/>
          <w:sz w:val="32"/>
          <w:szCs w:val="32"/>
          <w:highlight w:val="none"/>
          <w:u w:val="none"/>
        </w:rPr>
        <w:t>广东省级</w:t>
      </w:r>
      <w:r>
        <w:rPr>
          <w:rFonts w:hint="eastAsia" w:ascii="仿宋_GB2312" w:hAnsi="仿宋_GB2312" w:eastAsia="仿宋_GB2312" w:cs="仿宋_GB2312"/>
          <w:sz w:val="32"/>
          <w:szCs w:val="32"/>
          <w:highlight w:val="none"/>
          <w:u w:val="none"/>
        </w:rPr>
        <w:t>奖项及发证机关如下：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广东省建筑业协会评选的《广东省建设工程金匠奖》《广东省建设工程优质奖》《广东省建设工程优质结构奖》《广东省建筑业绿色施工示范工程》；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广东省市政行业协会评选的《广东省市政优良样板工程奖》；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广东省建筑安全协会评选的《安全生产文明施工示范工地奖》《建设工程项目AA级安全文明标准化诚信工地奖》；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广东省土木建筑学会颁发的《广东省土木工程詹天佑故乡杯》《广东省优秀建筑装饰工程奖（公共建筑装饰类）》《广东省优秀建筑装饰工程奖（公共建筑装饰设计类）》《广东省优秀建筑装饰工程奖（建筑幕墙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广东省建设监理协会评选的《广东省先进监理企业奖》《广东省建设工程监理优质奖》；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b/>
          <w:bCs/>
          <w:sz w:val="32"/>
          <w:szCs w:val="32"/>
          <w:highlight w:val="none"/>
          <w:u w:val="none"/>
        </w:rPr>
        <w:t>深圳市级</w:t>
      </w:r>
      <w:r>
        <w:rPr>
          <w:rFonts w:hint="eastAsia" w:ascii="仿宋_GB2312" w:hAnsi="仿宋_GB2312" w:eastAsia="仿宋_GB2312" w:cs="仿宋_GB2312"/>
          <w:sz w:val="32"/>
          <w:szCs w:val="32"/>
          <w:highlight w:val="none"/>
          <w:u w:val="none"/>
        </w:rPr>
        <w:t>奖项及发证机关如下：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深圳市建筑业协会评选的《市优质工程奖》《市优质结构工程奖》《市安全生产文明施工优良工地奖》《深圳市绿色施工示范工程》；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深圳市监理工程师协会评选的《深圳市先进监理企业奖》《深圳市优质工程监理项目金杯奖》《深圳市优质工程监理项目奖》《深圳市优质专业工程监理奖》《深圳市优质结构工程监理奖》《深圳市优良“安全生产管理”服务项目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sz w:val="32"/>
          <w:szCs w:val="32"/>
          <w:highlight w:val="none"/>
          <w:u w:val="none"/>
        </w:rPr>
        <w:t>深圳市装饰行业协会颁发的《深圳市装饰工程金鹏奖》 等</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 w:eastAsia="zh-CN"/>
        </w:rPr>
        <w:t>（</w:t>
      </w:r>
      <w:r>
        <w:rPr>
          <w:rFonts w:hint="eastAsia" w:ascii="仿宋_GB2312" w:hAnsi="仿宋_GB2312" w:eastAsia="仿宋_GB2312" w:cs="仿宋_GB2312"/>
          <w:sz w:val="32"/>
          <w:szCs w:val="32"/>
          <w:highlight w:val="none"/>
          <w:u w:val="none"/>
          <w:lang w:val="en-US" w:eastAsia="zh-CN"/>
        </w:rPr>
        <w:t>十</w:t>
      </w:r>
      <w:r>
        <w:rPr>
          <w:rFonts w:hint="eastAsia" w:ascii="仿宋_GB2312" w:hAnsi="仿宋_GB2312" w:eastAsia="仿宋_GB2312" w:cs="仿宋_GB2312"/>
          <w:sz w:val="32"/>
          <w:szCs w:val="32"/>
          <w:highlight w:val="none"/>
          <w:u w:val="none"/>
          <w:lang w:val="en" w:eastAsia="zh-CN"/>
        </w:rPr>
        <w:t>）</w:t>
      </w:r>
      <w:r>
        <w:rPr>
          <w:rFonts w:hint="eastAsia" w:ascii="仿宋_GB2312" w:hAnsi="仿宋_GB2312" w:eastAsia="仿宋_GB2312" w:cs="仿宋_GB2312"/>
          <w:sz w:val="32"/>
          <w:szCs w:val="32"/>
          <w:highlight w:val="none"/>
          <w:u w:val="none"/>
        </w:rPr>
        <w:t>同类工程业绩：</w:t>
      </w:r>
      <w:r>
        <w:rPr>
          <w:rFonts w:hint="eastAsia" w:ascii="Calibri" w:hAnsi="Calibri" w:eastAsia="仿宋_GB2312" w:cs="Calibri"/>
          <w:b w:val="0"/>
          <w:bCs w:val="0"/>
          <w:sz w:val="32"/>
          <w:szCs w:val="32"/>
          <w:highlight w:val="none"/>
          <w:u w:val="none"/>
          <w:lang w:val="en-US" w:eastAsia="zh-CN"/>
        </w:rPr>
        <w:t>①</w:t>
      </w:r>
      <w:r>
        <w:rPr>
          <w:rFonts w:hint="eastAsia" w:ascii="仿宋_GB2312" w:hAnsi="仿宋_GB2312" w:eastAsia="仿宋_GB2312" w:cs="仿宋_GB2312"/>
          <w:sz w:val="32"/>
          <w:szCs w:val="32"/>
          <w:highlight w:val="none"/>
          <w:u w:val="none"/>
        </w:rPr>
        <w:t>道路建设工程可含市政道路、公路、桥梁、道路隧道工程（不含铁路和轨道交通工程）、村道、房建类项目内部配建道路、天桥、地下通道</w:t>
      </w:r>
      <w:r>
        <w:rPr>
          <w:rFonts w:hint="eastAsia" w:ascii="仿宋_GB2312" w:hAnsi="仿宋_GB2312" w:eastAsia="仿宋_GB2312" w:cs="仿宋_GB2312"/>
          <w:b w:val="0"/>
          <w:bCs w:val="0"/>
          <w:sz w:val="32"/>
          <w:szCs w:val="32"/>
          <w:highlight w:val="none"/>
          <w:u w:val="none"/>
        </w:rPr>
        <w:t>等；</w:t>
      </w:r>
      <w:r>
        <w:rPr>
          <w:rFonts w:hint="eastAsia" w:ascii="Calibri" w:hAnsi="Calibri" w:eastAsia="仿宋_GB2312" w:cs="Calibri"/>
          <w:b w:val="0"/>
          <w:bCs w:val="0"/>
          <w:sz w:val="32"/>
          <w:szCs w:val="32"/>
          <w:highlight w:val="none"/>
          <w:u w:val="none"/>
          <w:lang w:val="en-US" w:eastAsia="zh-CN"/>
        </w:rPr>
        <w:t>②</w:t>
      </w:r>
      <w:r>
        <w:rPr>
          <w:rFonts w:hint="eastAsia" w:ascii="仿宋_GB2312" w:hAnsi="仿宋_GB2312" w:eastAsia="仿宋_GB2312" w:cs="仿宋_GB2312"/>
          <w:b w:val="0"/>
          <w:bCs w:val="0"/>
          <w:sz w:val="32"/>
          <w:szCs w:val="32"/>
          <w:highlight w:val="none"/>
          <w:u w:val="none"/>
        </w:rPr>
        <w:t>房建类工程可含普通住宅、普通公共建筑工程、工业建筑、工业建筑项目中配建的宿舍或办公楼等；</w:t>
      </w:r>
      <w:r>
        <w:rPr>
          <w:rFonts w:hint="eastAsia" w:ascii="Calibri" w:hAnsi="Calibri" w:eastAsia="仿宋_GB2312" w:cs="Calibri"/>
          <w:b w:val="0"/>
          <w:bCs w:val="0"/>
          <w:sz w:val="32"/>
          <w:szCs w:val="32"/>
          <w:highlight w:val="none"/>
          <w:u w:val="none"/>
          <w:lang w:val="en-US" w:eastAsia="zh-CN"/>
        </w:rPr>
        <w:t>③</w:t>
      </w:r>
      <w:r>
        <w:rPr>
          <w:rFonts w:hint="eastAsia" w:ascii="仿宋_GB2312" w:hAnsi="仿宋_GB2312" w:eastAsia="仿宋_GB2312" w:cs="仿宋_GB2312"/>
          <w:b w:val="0"/>
          <w:bCs w:val="0"/>
          <w:sz w:val="32"/>
          <w:szCs w:val="32"/>
          <w:highlight w:val="none"/>
          <w:u w:val="none"/>
          <w:lang w:eastAsia="zh-CN"/>
        </w:rPr>
        <w:t>新建学校类工程可含大、中、小学校类工程，</w:t>
      </w:r>
      <w:r>
        <w:rPr>
          <w:rFonts w:hint="eastAsia" w:ascii="仿宋_GB2312" w:hAnsi="仿宋_GB2312" w:eastAsia="仿宋_GB2312" w:cs="仿宋_GB2312"/>
          <w:b w:val="0"/>
          <w:bCs w:val="0"/>
          <w:sz w:val="32"/>
          <w:szCs w:val="32"/>
          <w:highlight w:val="none"/>
          <w:u w:val="none"/>
        </w:rPr>
        <w:t>普通公共建筑工程</w:t>
      </w:r>
      <w:r>
        <w:rPr>
          <w:rFonts w:hint="eastAsia" w:ascii="仿宋_GB2312" w:hAnsi="仿宋_GB2312" w:eastAsia="仿宋_GB2312" w:cs="仿宋_GB2312"/>
          <w:b w:val="0"/>
          <w:bCs w:val="0"/>
          <w:sz w:val="32"/>
          <w:szCs w:val="32"/>
          <w:highlight w:val="none"/>
          <w:u w:val="none"/>
          <w:lang w:eastAsia="zh-CN"/>
        </w:rPr>
        <w:t>等；</w:t>
      </w:r>
      <w:r>
        <w:rPr>
          <w:rFonts w:hint="eastAsia" w:ascii="Calibri" w:hAnsi="Calibri" w:eastAsia="仿宋_GB2312" w:cs="Calibri"/>
          <w:b w:val="0"/>
          <w:bCs w:val="0"/>
          <w:sz w:val="32"/>
          <w:szCs w:val="32"/>
          <w:highlight w:val="none"/>
          <w:u w:val="none"/>
          <w:lang w:val="en-US" w:eastAsia="zh-CN"/>
        </w:rPr>
        <w:t>④</w:t>
      </w:r>
      <w:r>
        <w:rPr>
          <w:rFonts w:hint="eastAsia" w:ascii="仿宋_GB2312" w:hAnsi="仿宋_GB2312" w:eastAsia="仿宋_GB2312" w:cs="仿宋_GB2312"/>
          <w:b w:val="0"/>
          <w:bCs w:val="0"/>
          <w:sz w:val="32"/>
          <w:szCs w:val="32"/>
          <w:highlight w:val="none"/>
          <w:u w:val="none"/>
          <w:lang w:val="en-US" w:eastAsia="zh-CN"/>
        </w:rPr>
        <w:t>新建医院类工程</w:t>
      </w:r>
      <w:r>
        <w:rPr>
          <w:rFonts w:hint="eastAsia" w:ascii="仿宋_GB2312" w:hAnsi="仿宋_GB2312" w:eastAsia="仿宋_GB2312" w:cs="仿宋_GB2312"/>
          <w:b w:val="0"/>
          <w:bCs w:val="0"/>
          <w:sz w:val="32"/>
          <w:szCs w:val="32"/>
          <w:highlight w:val="none"/>
          <w:u w:val="none"/>
          <w:lang w:eastAsia="zh-CN"/>
        </w:rPr>
        <w:t>可含各类型医院工程等；</w:t>
      </w:r>
      <w:r>
        <w:rPr>
          <w:rFonts w:hint="eastAsia" w:ascii="Calibri" w:hAnsi="Calibri" w:eastAsia="仿宋_GB2312" w:cs="Calibri"/>
          <w:b w:val="0"/>
          <w:bCs w:val="0"/>
          <w:sz w:val="32"/>
          <w:szCs w:val="32"/>
          <w:highlight w:val="none"/>
          <w:u w:val="none"/>
          <w:lang w:val="en-US" w:eastAsia="zh-CN"/>
        </w:rPr>
        <w:t>⑤</w:t>
      </w:r>
      <w:r>
        <w:rPr>
          <w:rFonts w:hint="eastAsia" w:ascii="仿宋_GB2312" w:hAnsi="仿宋_GB2312" w:eastAsia="仿宋_GB2312" w:cs="仿宋_GB2312"/>
          <w:b w:val="0"/>
          <w:bCs w:val="0"/>
          <w:sz w:val="32"/>
          <w:szCs w:val="32"/>
          <w:highlight w:val="none"/>
          <w:u w:val="none"/>
        </w:rPr>
        <w:t>大型场馆类工程可含体育场馆、影剧院、候机楼、会展中心等大型公共建筑工程等</w:t>
      </w:r>
      <w:r>
        <w:rPr>
          <w:rFonts w:hint="eastAsia" w:ascii="仿宋_GB2312" w:hAnsi="仿宋_GB2312" w:eastAsia="仿宋_GB2312" w:cs="仿宋_GB2312"/>
          <w:b w:val="0"/>
          <w:bCs w:val="0"/>
          <w:sz w:val="32"/>
          <w:szCs w:val="32"/>
          <w:highlight w:val="none"/>
          <w:u w:val="none"/>
          <w:lang w:eastAsia="zh-CN"/>
        </w:rPr>
        <w:t>；</w:t>
      </w:r>
      <w:r>
        <w:rPr>
          <w:rFonts w:hint="eastAsia" w:ascii="Calibri" w:hAnsi="Calibri" w:eastAsia="仿宋_GB2312" w:cs="Calibri"/>
          <w:b w:val="0"/>
          <w:bCs w:val="0"/>
          <w:sz w:val="32"/>
          <w:szCs w:val="32"/>
          <w:highlight w:val="none"/>
          <w:u w:val="none"/>
          <w:lang w:val="en-US" w:eastAsia="zh-CN"/>
        </w:rPr>
        <w:t>⑥</w:t>
      </w:r>
      <w:r>
        <w:rPr>
          <w:rFonts w:hint="eastAsia" w:ascii="仿宋_GB2312" w:hAnsi="仿宋_GB2312" w:eastAsia="仿宋_GB2312" w:cs="仿宋_GB2312"/>
          <w:b w:val="0"/>
          <w:bCs w:val="0"/>
          <w:sz w:val="32"/>
          <w:szCs w:val="32"/>
          <w:highlight w:val="none"/>
          <w:u w:val="none"/>
          <w:lang w:val="en-US" w:eastAsia="zh-CN"/>
        </w:rPr>
        <w:t>装修类工程可含房建工程附属的装修</w:t>
      </w:r>
      <w:r>
        <w:rPr>
          <w:rFonts w:hint="eastAsia" w:ascii="仿宋_GB2312" w:hAnsi="仿宋_GB2312" w:eastAsia="仿宋_GB2312" w:cs="仿宋_GB2312"/>
          <w:sz w:val="32"/>
          <w:szCs w:val="32"/>
          <w:highlight w:val="none"/>
          <w:u w:val="none"/>
          <w:lang w:val="en-US" w:eastAsia="zh-CN"/>
        </w:rPr>
        <w:t>工程、建筑修缮工程</w:t>
      </w:r>
      <w:r>
        <w:rPr>
          <w:rFonts w:hint="eastAsia" w:ascii="Calibri" w:hAnsi="Calibri" w:eastAsia="仿宋_GB2312" w:cs="Calibri"/>
          <w:b w:val="0"/>
          <w:bCs w:val="0"/>
          <w:sz w:val="32"/>
          <w:szCs w:val="32"/>
          <w:highlight w:val="none"/>
          <w:u w:val="none"/>
          <w:lang w:val="en-US" w:eastAsia="zh-CN"/>
        </w:rPr>
        <w:t>项目等</w:t>
      </w:r>
      <w:r>
        <w:rPr>
          <w:rFonts w:hint="eastAsia" w:ascii="仿宋_GB2312" w:hAnsi="仿宋_GB2312" w:eastAsia="仿宋_GB2312" w:cs="仿宋_GB2312"/>
          <w:sz w:val="32"/>
          <w:szCs w:val="32"/>
          <w:highlight w:val="none"/>
          <w:u w:val="none"/>
          <w:lang w:val="en-US" w:eastAsia="zh-CN"/>
        </w:rPr>
        <w:t>。上述所列业绩仅供参考，招标人可根据项目实际情况予以考量，但应考虑设置同类工程业绩的合理性。</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 w:eastAsia="zh-CN"/>
        </w:rPr>
        <w:t>（</w:t>
      </w:r>
      <w:r>
        <w:rPr>
          <w:rFonts w:hint="eastAsia" w:ascii="仿宋_GB2312" w:hAnsi="仿宋_GB2312" w:eastAsia="仿宋_GB2312" w:cs="仿宋_GB2312"/>
          <w:sz w:val="32"/>
          <w:szCs w:val="32"/>
          <w:highlight w:val="none"/>
          <w:u w:val="none"/>
          <w:lang w:val="en-US" w:eastAsia="zh-CN"/>
        </w:rPr>
        <w:t>十一</w:t>
      </w:r>
      <w:r>
        <w:rPr>
          <w:rFonts w:hint="eastAsia" w:ascii="仿宋_GB2312" w:hAnsi="仿宋_GB2312" w:eastAsia="仿宋_GB2312" w:cs="仿宋_GB2312"/>
          <w:sz w:val="32"/>
          <w:szCs w:val="32"/>
          <w:highlight w:val="none"/>
          <w:u w:val="none"/>
          <w:lang w:val="en" w:eastAsia="zh-CN"/>
        </w:rPr>
        <w:t>）</w:t>
      </w:r>
      <w:r>
        <w:rPr>
          <w:rFonts w:hint="eastAsia" w:ascii="仿宋_GB2312" w:hAnsi="仿宋_GB2312" w:eastAsia="仿宋_GB2312" w:cs="仿宋_GB2312"/>
          <w:sz w:val="32"/>
          <w:szCs w:val="32"/>
          <w:highlight w:val="none"/>
          <w:u w:val="none"/>
        </w:rPr>
        <w:t>同类项目奖项：</w:t>
      </w:r>
      <w:r>
        <w:rPr>
          <w:rFonts w:hint="eastAsia" w:ascii="仿宋_GB2312" w:hAnsi="仿宋_GB2312" w:eastAsia="仿宋_GB2312" w:cs="仿宋_GB2312"/>
          <w:b/>
          <w:bCs/>
          <w:sz w:val="32"/>
          <w:szCs w:val="32"/>
          <w:highlight w:val="none"/>
          <w:u w:val="none"/>
        </w:rPr>
        <w:t>指同类工程所获得的奖项，</w:t>
      </w:r>
      <w:r>
        <w:rPr>
          <w:rFonts w:hint="eastAsia" w:ascii="仿宋_GB2312" w:hAnsi="仿宋_GB2312" w:eastAsia="仿宋_GB2312" w:cs="仿宋_GB2312"/>
          <w:sz w:val="32"/>
          <w:szCs w:val="32"/>
          <w:highlight w:val="none"/>
          <w:u w:val="none"/>
        </w:rPr>
        <w:t>包含上述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九</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中所指的国家级、广东省级及深圳市级奖项。</w:t>
      </w:r>
    </w:p>
    <w:p>
      <w:pPr>
        <w:pStyle w:val="2"/>
        <w:keepNext w:val="0"/>
        <w:keepLines w:val="0"/>
        <w:pageBreakBefore w:val="0"/>
        <w:kinsoku/>
        <w:wordWrap/>
        <w:overflowPunct/>
        <w:topLinePunct w:val="0"/>
        <w:bidi w:val="0"/>
        <w:snapToGrid/>
        <w:spacing w:line="560" w:lineRule="exact"/>
        <w:textAlignment w:val="auto"/>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第五章 附则</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第十一条</w:t>
      </w:r>
      <w:r>
        <w:rPr>
          <w:rFonts w:hint="eastAsia" w:eastAsia="仿宋_GB2312" w:cs="仿宋_GB2312"/>
          <w:sz w:val="32"/>
          <w:szCs w:val="32"/>
          <w:highlight w:val="none"/>
          <w:u w:val="none"/>
          <w:lang w:val="en-US" w:eastAsia="zh-CN"/>
        </w:rPr>
        <w:t xml:space="preserve"> </w:t>
      </w:r>
      <w:r>
        <w:rPr>
          <w:rFonts w:hint="eastAsia" w:ascii="仿宋_GB2312" w:eastAsia="仿宋_GB2312" w:cs="仿宋_GB2312"/>
          <w:sz w:val="32"/>
          <w:szCs w:val="32"/>
          <w:highlight w:val="none"/>
          <w:u w:val="none"/>
          <w:lang w:val="en-US" w:eastAsia="zh-CN"/>
        </w:rPr>
        <w:t>入围委员会和定标委员会</w:t>
      </w:r>
      <w:r>
        <w:rPr>
          <w:rFonts w:hint="eastAsia" w:eastAsia="仿宋_GB2312" w:cs="仿宋_GB2312"/>
          <w:sz w:val="32"/>
          <w:szCs w:val="32"/>
          <w:highlight w:val="none"/>
          <w:u w:val="none"/>
          <w:lang w:val="en-US" w:eastAsia="zh-CN"/>
        </w:rPr>
        <w:t>按《关于建设工程招标投标改革若干规定的通知》（深府〔2015〕73号）和《关于印发深圳市深汕特别合作区建设工程招标项目定标工作规定的通知》（深汕办〔2020〕21号）办理。</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val="en-US" w:eastAsia="zh-CN"/>
        </w:rPr>
        <w:t>第十二条</w:t>
      </w:r>
      <w:r>
        <w:rPr>
          <w:rFonts w:hint="eastAsia" w:eastAsia="仿宋_GB2312" w:cs="仿宋_GB2312"/>
          <w:sz w:val="32"/>
          <w:szCs w:val="32"/>
          <w:highlight w:val="none"/>
          <w:u w:val="none"/>
          <w:lang w:val="en-US" w:eastAsia="zh-CN"/>
        </w:rPr>
        <w:t xml:space="preserve"> </w:t>
      </w:r>
      <w:r>
        <w:rPr>
          <w:rFonts w:hint="eastAsia" w:ascii="仿宋_GB2312" w:eastAsia="仿宋_GB2312" w:cs="仿宋_GB2312"/>
          <w:sz w:val="32"/>
          <w:szCs w:val="32"/>
          <w:highlight w:val="none"/>
          <w:u w:val="none"/>
          <w:lang w:eastAsia="zh-CN"/>
        </w:rPr>
        <w:t>本</w:t>
      </w:r>
      <w:r>
        <w:rPr>
          <w:rFonts w:hint="eastAsia" w:eastAsia="仿宋_GB2312" w:cs="仿宋_GB2312"/>
          <w:sz w:val="32"/>
          <w:szCs w:val="32"/>
          <w:highlight w:val="none"/>
          <w:u w:val="none"/>
          <w:lang w:val="en-US" w:eastAsia="zh-CN"/>
        </w:rPr>
        <w:t>细则</w:t>
      </w:r>
      <w:r>
        <w:rPr>
          <w:rFonts w:hint="eastAsia" w:ascii="仿宋_GB2312" w:eastAsia="仿宋_GB2312" w:cs="仿宋_GB2312"/>
          <w:sz w:val="32"/>
          <w:szCs w:val="32"/>
          <w:highlight w:val="none"/>
          <w:u w:val="none"/>
          <w:lang w:eastAsia="zh-CN"/>
        </w:rPr>
        <w:t>由区住建水务局负责解释</w:t>
      </w:r>
      <w:r>
        <w:rPr>
          <w:rFonts w:hint="eastAsia" w:eastAsia="仿宋_GB2312" w:cs="仿宋_GB2312"/>
          <w:sz w:val="32"/>
          <w:szCs w:val="32"/>
          <w:highlight w:val="none"/>
          <w:u w:val="none"/>
          <w:lang w:eastAsia="zh-CN"/>
        </w:rPr>
        <w:t>，</w:t>
      </w:r>
      <w:r>
        <w:rPr>
          <w:rFonts w:hint="eastAsia" w:ascii="仿宋_GB2312" w:eastAsia="仿宋_GB2312" w:cs="仿宋_GB2312"/>
          <w:sz w:val="32"/>
          <w:szCs w:val="32"/>
          <w:highlight w:val="none"/>
          <w:u w:val="none"/>
          <w:lang w:eastAsia="zh-CN"/>
        </w:rPr>
        <w:t>自发布之日起施行。</w:t>
      </w:r>
      <w:r>
        <w:rPr>
          <w:rFonts w:hint="eastAsia" w:ascii="仿宋_GB2312" w:hAnsi="仿宋_GB2312" w:eastAsia="仿宋_GB2312" w:cs="仿宋_GB2312"/>
          <w:sz w:val="32"/>
          <w:szCs w:val="32"/>
          <w:highlight w:val="none"/>
          <w:u w:val="none"/>
        </w:rPr>
        <w:t xml:space="preserve"> </w:t>
      </w:r>
    </w:p>
    <w:p>
      <w:pPr>
        <w:pStyle w:val="2"/>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sz w:val="32"/>
          <w:szCs w:val="32"/>
          <w:highlight w:val="none"/>
          <w:u w:val="none"/>
          <w:lang w:val="en-US" w:eastAsia="zh-CN"/>
        </w:rPr>
      </w:pPr>
      <w:r>
        <w:rPr>
          <w:rFonts w:hint="eastAsia" w:ascii="黑体" w:hAnsi="黑体" w:eastAsia="黑体" w:cs="黑体"/>
          <w:kern w:val="0"/>
          <w:sz w:val="32"/>
          <w:szCs w:val="32"/>
          <w:highlight w:val="none"/>
          <w:u w:val="none"/>
          <w:lang w:val="en-US" w:eastAsia="zh-CN" w:bidi="ar-SA"/>
        </w:rPr>
        <w:t>第十三条</w:t>
      </w:r>
      <w:r>
        <w:rPr>
          <w:rFonts w:hint="eastAsia" w:eastAsia="仿宋_GB2312" w:cs="仿宋_GB2312"/>
          <w:sz w:val="32"/>
          <w:szCs w:val="32"/>
          <w:highlight w:val="none"/>
          <w:u w:val="none"/>
          <w:lang w:val="en-US" w:eastAsia="zh-CN"/>
        </w:rPr>
        <w:t xml:space="preserve"> </w:t>
      </w:r>
      <w:r>
        <w:rPr>
          <w:rFonts w:hint="eastAsia" w:ascii="仿宋" w:hAnsi="仿宋" w:eastAsia="仿宋" w:cs="仿宋"/>
          <w:color w:val="000000"/>
          <w:sz w:val="32"/>
          <w:szCs w:val="32"/>
          <w:highlight w:val="none"/>
          <w:u w:val="none"/>
          <w:lang w:val="en-US" w:eastAsia="zh-CN"/>
        </w:rPr>
        <w:t>本文所称的“以下”不包括本数，“以上”包括本数。</w:t>
      </w:r>
    </w:p>
    <w:p>
      <w:pPr>
        <w:pStyle w:val="2"/>
        <w:keepNext w:val="0"/>
        <w:keepLines w:val="0"/>
        <w:pageBreakBefore w:val="0"/>
        <w:kinsoku/>
        <w:wordWrap/>
        <w:overflowPunct/>
        <w:topLinePunct w:val="0"/>
        <w:bidi w:val="0"/>
        <w:snapToGrid/>
        <w:spacing w:line="560" w:lineRule="exact"/>
        <w:textAlignment w:val="auto"/>
        <w:rPr>
          <w:rFonts w:hint="default" w:ascii="仿宋" w:hAnsi="仿宋" w:eastAsia="仿宋" w:cs="仿宋"/>
          <w:color w:val="000000"/>
          <w:sz w:val="32"/>
          <w:szCs w:val="32"/>
          <w:highlight w:val="none"/>
          <w:u w:val="none"/>
          <w:lang w:val="en-US" w:eastAsia="zh-CN"/>
        </w:rPr>
        <w:sectPr>
          <w:footerReference r:id="rId3" w:type="default"/>
          <w:pgSz w:w="11906" w:h="16838"/>
          <w:pgMar w:top="1701" w:right="1474" w:bottom="1701" w:left="1587" w:header="851" w:footer="992" w:gutter="0"/>
          <w:pgNumType w:fmt="numberInDash"/>
          <w:cols w:space="720" w:num="1"/>
          <w:docGrid w:type="lines" w:linePitch="312" w:charSpace="0"/>
        </w:sectPr>
      </w:pPr>
      <w:r>
        <w:rPr>
          <w:rFonts w:hint="eastAsia" w:ascii="黑体" w:hAnsi="黑体" w:eastAsia="黑体" w:cs="黑体"/>
          <w:kern w:val="0"/>
          <w:sz w:val="32"/>
          <w:szCs w:val="32"/>
          <w:highlight w:val="none"/>
          <w:u w:val="none"/>
          <w:lang w:val="en-US" w:eastAsia="zh-CN" w:bidi="ar-SA"/>
        </w:rPr>
        <w:t>第十四条</w:t>
      </w:r>
      <w:r>
        <w:rPr>
          <w:rFonts w:hint="eastAsia" w:eastAsia="仿宋_GB2312" w:cs="仿宋_GB2312"/>
          <w:sz w:val="32"/>
          <w:szCs w:val="32"/>
          <w:highlight w:val="none"/>
          <w:u w:val="none"/>
          <w:lang w:val="en-US" w:eastAsia="zh-CN"/>
        </w:rPr>
        <w:t xml:space="preserve"> 深汕办</w:t>
      </w:r>
      <w:r>
        <w:rPr>
          <w:rFonts w:hint="eastAsia" w:ascii="仿宋_GB2312" w:hAnsi="Calibri" w:eastAsia="仿宋_GB2312" w:cs="仿宋_GB2312"/>
          <w:kern w:val="0"/>
          <w:sz w:val="32"/>
          <w:szCs w:val="32"/>
          <w:highlight w:val="none"/>
          <w:u w:val="none"/>
          <w:lang w:val="en-US" w:eastAsia="zh-CN" w:bidi="ar-SA"/>
        </w:rPr>
        <w:t>函〔2022〕148号文件议事决策</w:t>
      </w:r>
      <w:r>
        <w:rPr>
          <w:rFonts w:hint="eastAsia" w:eastAsia="仿宋_GB2312" w:cs="仿宋_GB2312"/>
          <w:sz w:val="32"/>
          <w:szCs w:val="32"/>
          <w:highlight w:val="none"/>
          <w:u w:val="none"/>
          <w:lang w:val="en-US" w:eastAsia="zh-CN"/>
        </w:rPr>
        <w:t>范围内容与</w:t>
      </w:r>
      <w:r>
        <w:rPr>
          <w:rFonts w:hint="eastAsia" w:ascii="仿宋_GB2312" w:eastAsia="仿宋_GB2312" w:cs="仿宋_GB2312"/>
          <w:sz w:val="32"/>
          <w:szCs w:val="32"/>
          <w:highlight w:val="none"/>
          <w:u w:val="none"/>
          <w:lang w:eastAsia="zh-CN"/>
        </w:rPr>
        <w:t>本</w:t>
      </w:r>
      <w:r>
        <w:rPr>
          <w:rFonts w:hint="eastAsia" w:ascii="仿宋_GB2312" w:eastAsia="仿宋_GB2312" w:cs="仿宋_GB2312"/>
          <w:sz w:val="32"/>
          <w:szCs w:val="32"/>
          <w:highlight w:val="none"/>
          <w:u w:val="none"/>
          <w:lang w:val="en-US" w:eastAsia="zh-CN"/>
        </w:rPr>
        <w:t>文不一致的，以本文为准。</w:t>
      </w:r>
    </w:p>
    <w:p>
      <w:pPr>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附</w:t>
      </w:r>
      <w:r>
        <w:rPr>
          <w:rFonts w:hint="eastAsia" w:ascii="黑体" w:hAnsi="黑体" w:eastAsia="黑体" w:cs="黑体"/>
          <w:sz w:val="32"/>
          <w:szCs w:val="32"/>
          <w:highlight w:val="none"/>
          <w:u w:val="none"/>
          <w:lang w:val="en-US" w:eastAsia="zh-CN"/>
        </w:rPr>
        <w:t>件</w:t>
      </w:r>
      <w:r>
        <w:rPr>
          <w:rFonts w:hint="eastAsia" w:ascii="黑体" w:hAnsi="黑体" w:eastAsia="黑体" w:cs="黑体"/>
          <w:sz w:val="32"/>
          <w:szCs w:val="32"/>
          <w:highlight w:val="none"/>
          <w:u w:val="none"/>
        </w:rPr>
        <w:t>1</w:t>
      </w:r>
    </w:p>
    <w:p>
      <w:pPr>
        <w:spacing w:line="560" w:lineRule="exact"/>
        <w:jc w:val="center"/>
        <w:rPr>
          <w:rFonts w:ascii="仿宋_GB2312" w:hAnsi="仿宋_GB2312" w:eastAsia="仿宋_GB2312" w:cs="仿宋_GB2312"/>
          <w:b/>
          <w:bCs/>
          <w:sz w:val="44"/>
          <w:szCs w:val="44"/>
          <w:highlight w:val="none"/>
          <w:u w:val="none"/>
        </w:rPr>
      </w:pPr>
      <w:r>
        <w:rPr>
          <w:rFonts w:hint="eastAsia" w:ascii="方正小标宋简体" w:hAnsi="方正小标宋简体" w:eastAsia="方正小标宋简体" w:cs="方正小标宋简体"/>
          <w:b w:val="0"/>
          <w:bCs w:val="0"/>
          <w:sz w:val="44"/>
          <w:szCs w:val="44"/>
          <w:highlight w:val="none"/>
          <w:u w:val="none"/>
        </w:rPr>
        <w:t>入围清标报告一览表（参考）</w:t>
      </w:r>
    </w:p>
    <w:tbl>
      <w:tblPr>
        <w:tblStyle w:val="11"/>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41"/>
        <w:gridCol w:w="1486"/>
        <w:gridCol w:w="1650"/>
        <w:gridCol w:w="1595"/>
        <w:gridCol w:w="1869"/>
        <w:gridCol w:w="1841"/>
        <w:gridCol w:w="1541"/>
        <w:gridCol w:w="118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9" w:type="dxa"/>
            <w:vMerge w:val="restart"/>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序号</w:t>
            </w:r>
          </w:p>
        </w:tc>
        <w:tc>
          <w:tcPr>
            <w:tcW w:w="1241" w:type="dxa"/>
            <w:vMerge w:val="restart"/>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投标单位名称</w:t>
            </w:r>
          </w:p>
        </w:tc>
        <w:tc>
          <w:tcPr>
            <w:tcW w:w="9982" w:type="dxa"/>
            <w:gridSpan w:val="6"/>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Cs w:val="21"/>
                <w:highlight w:val="none"/>
                <w:u w:val="none"/>
              </w:rPr>
              <w:t>择优要素（4-5个）</w:t>
            </w:r>
          </w:p>
        </w:tc>
        <w:tc>
          <w:tcPr>
            <w:tcW w:w="1186" w:type="dxa"/>
            <w:vMerge w:val="restart"/>
            <w:noWrap w:val="0"/>
            <w:vAlign w:val="center"/>
          </w:tcPr>
          <w:p>
            <w:pPr>
              <w:widowControl/>
              <w:spacing w:line="560" w:lineRule="exact"/>
              <w:jc w:val="center"/>
              <w:textAlignment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票决淘汰</w:t>
            </w:r>
          </w:p>
          <w:p>
            <w:pPr>
              <w:widowControl/>
              <w:spacing w:line="560" w:lineRule="exact"/>
              <w:jc w:val="center"/>
              <w:textAlignment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情况</w:t>
            </w:r>
          </w:p>
        </w:tc>
        <w:tc>
          <w:tcPr>
            <w:tcW w:w="1077" w:type="dxa"/>
            <w:vMerge w:val="restart"/>
            <w:noWrap w:val="0"/>
            <w:vAlign w:val="center"/>
          </w:tcPr>
          <w:p>
            <w:pPr>
              <w:widowControl/>
              <w:spacing w:line="560" w:lineRule="exact"/>
              <w:jc w:val="center"/>
              <w:textAlignment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9" w:type="dxa"/>
            <w:vMerge w:val="continue"/>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241" w:type="dxa"/>
            <w:vMerge w:val="continue"/>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486" w:type="dxa"/>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企业业绩</w:t>
            </w:r>
          </w:p>
        </w:tc>
        <w:tc>
          <w:tcPr>
            <w:tcW w:w="1650" w:type="dxa"/>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lang w:eastAsia="zh-CN"/>
              </w:rPr>
            </w:pPr>
            <w:r>
              <w:rPr>
                <w:rFonts w:hint="eastAsia" w:ascii="仿宋_GB2312" w:hAnsi="仿宋_GB2312" w:eastAsia="仿宋_GB2312" w:cs="仿宋_GB2312"/>
                <w:sz w:val="18"/>
                <w:szCs w:val="18"/>
                <w:highlight w:val="none"/>
                <w:u w:val="none"/>
                <w:lang w:eastAsia="zh-CN"/>
              </w:rPr>
              <w:t>服务便利度</w:t>
            </w:r>
          </w:p>
        </w:tc>
        <w:tc>
          <w:tcPr>
            <w:tcW w:w="1595" w:type="dxa"/>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 xml:space="preserve"> 履约情况</w:t>
            </w:r>
          </w:p>
        </w:tc>
        <w:tc>
          <w:tcPr>
            <w:tcW w:w="1869" w:type="dxa"/>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资质</w:t>
            </w:r>
          </w:p>
        </w:tc>
        <w:tc>
          <w:tcPr>
            <w:tcW w:w="1841" w:type="dxa"/>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lang w:val="en-US" w:eastAsia="zh-CN"/>
              </w:rPr>
              <w:t>安全监管便利度</w:t>
            </w:r>
          </w:p>
        </w:tc>
        <w:tc>
          <w:tcPr>
            <w:tcW w:w="1541" w:type="dxa"/>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w:t>
            </w:r>
          </w:p>
        </w:tc>
        <w:tc>
          <w:tcPr>
            <w:tcW w:w="1186" w:type="dxa"/>
            <w:vMerge w:val="continue"/>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sz w:val="18"/>
                <w:szCs w:val="18"/>
                <w:highlight w:val="none"/>
                <w:u w:val="none"/>
              </w:rPr>
            </w:pPr>
          </w:p>
        </w:tc>
        <w:tc>
          <w:tcPr>
            <w:tcW w:w="1077"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9" w:type="dxa"/>
            <w:vMerge w:val="continue"/>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241" w:type="dxa"/>
            <w:vMerge w:val="continue"/>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9982" w:type="dxa"/>
            <w:gridSpan w:val="6"/>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择优要素排序</w:t>
            </w:r>
          </w:p>
        </w:tc>
        <w:tc>
          <w:tcPr>
            <w:tcW w:w="1186" w:type="dxa"/>
            <w:vMerge w:val="continue"/>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sz w:val="18"/>
                <w:szCs w:val="18"/>
                <w:highlight w:val="none"/>
                <w:u w:val="none"/>
              </w:rPr>
            </w:pPr>
          </w:p>
        </w:tc>
        <w:tc>
          <w:tcPr>
            <w:tcW w:w="1077"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9" w:type="dxa"/>
            <w:vMerge w:val="continue"/>
            <w:shd w:val="clear" w:color="auto" w:fill="auto"/>
            <w:noWrap w:val="0"/>
            <w:vAlign w:val="top"/>
          </w:tcPr>
          <w:p>
            <w:pPr>
              <w:spacing w:line="560" w:lineRule="exact"/>
              <w:jc w:val="center"/>
              <w:rPr>
                <w:rFonts w:hint="eastAsia" w:ascii="仿宋_GB2312" w:hAnsi="仿宋_GB2312" w:eastAsia="仿宋_GB2312" w:cs="仿宋_GB2312"/>
                <w:highlight w:val="none"/>
                <w:u w:val="none"/>
              </w:rPr>
            </w:pPr>
          </w:p>
        </w:tc>
        <w:tc>
          <w:tcPr>
            <w:tcW w:w="1241" w:type="dxa"/>
            <w:vMerge w:val="continue"/>
            <w:shd w:val="clear" w:color="auto" w:fill="auto"/>
            <w:noWrap w:val="0"/>
            <w:vAlign w:val="top"/>
          </w:tcPr>
          <w:p>
            <w:pPr>
              <w:spacing w:line="560" w:lineRule="exact"/>
              <w:jc w:val="center"/>
              <w:rPr>
                <w:rFonts w:hint="eastAsia" w:ascii="仿宋_GB2312" w:hAnsi="仿宋_GB2312" w:eastAsia="仿宋_GB2312" w:cs="仿宋_GB2312"/>
                <w:highlight w:val="none"/>
                <w:u w:val="none"/>
              </w:rPr>
            </w:pPr>
          </w:p>
        </w:tc>
        <w:tc>
          <w:tcPr>
            <w:tcW w:w="1486"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650"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595"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869"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841"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541"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186" w:type="dxa"/>
            <w:vMerge w:val="continue"/>
            <w:shd w:val="clear" w:color="auto" w:fill="FFFFFF"/>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077"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9"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1</w:t>
            </w:r>
          </w:p>
        </w:tc>
        <w:tc>
          <w:tcPr>
            <w:tcW w:w="1241"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486"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650"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595"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69" w:type="dxa"/>
            <w:shd w:val="clear" w:color="auto" w:fill="auto"/>
            <w:noWrap w:val="0"/>
            <w:vAlign w:val="center"/>
          </w:tcPr>
          <w:p>
            <w:pPr>
              <w:spacing w:line="560" w:lineRule="exact"/>
              <w:jc w:val="center"/>
              <w:rPr>
                <w:rStyle w:val="21"/>
                <w:rFonts w:hint="eastAsia" w:ascii="仿宋_GB2312" w:hAnsi="仿宋_GB2312" w:eastAsia="仿宋_GB2312" w:cs="仿宋_GB2312"/>
                <w:b w:val="0"/>
                <w:color w:val="auto"/>
                <w:sz w:val="21"/>
                <w:szCs w:val="21"/>
                <w:highlight w:val="none"/>
                <w:u w:val="none"/>
              </w:rPr>
            </w:pPr>
          </w:p>
        </w:tc>
        <w:tc>
          <w:tcPr>
            <w:tcW w:w="1841" w:type="dxa"/>
            <w:shd w:val="clear" w:color="auto" w:fill="auto"/>
            <w:noWrap w:val="0"/>
            <w:vAlign w:val="center"/>
          </w:tcPr>
          <w:p>
            <w:pPr>
              <w:spacing w:line="560" w:lineRule="exact"/>
              <w:jc w:val="center"/>
              <w:rPr>
                <w:rFonts w:hint="eastAsia" w:ascii="仿宋_GB2312" w:hAnsi="仿宋_GB2312" w:eastAsia="仿宋_GB2312" w:cs="仿宋_GB2312"/>
                <w:kern w:val="0"/>
                <w:szCs w:val="21"/>
                <w:highlight w:val="none"/>
                <w:u w:val="none"/>
              </w:rPr>
            </w:pPr>
          </w:p>
        </w:tc>
        <w:tc>
          <w:tcPr>
            <w:tcW w:w="1541"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186" w:type="dxa"/>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1077" w:type="dxa"/>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69"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2</w:t>
            </w:r>
          </w:p>
        </w:tc>
        <w:tc>
          <w:tcPr>
            <w:tcW w:w="1241"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486"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650"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595"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69" w:type="dxa"/>
            <w:shd w:val="clear" w:color="auto" w:fill="auto"/>
            <w:noWrap w:val="0"/>
            <w:vAlign w:val="center"/>
          </w:tcPr>
          <w:p>
            <w:pPr>
              <w:spacing w:line="560" w:lineRule="exact"/>
              <w:jc w:val="center"/>
              <w:rPr>
                <w:rStyle w:val="21"/>
                <w:rFonts w:hint="eastAsia" w:ascii="仿宋_GB2312" w:hAnsi="仿宋_GB2312" w:eastAsia="仿宋_GB2312" w:cs="仿宋_GB2312"/>
                <w:b w:val="0"/>
                <w:color w:val="auto"/>
                <w:sz w:val="21"/>
                <w:szCs w:val="21"/>
                <w:highlight w:val="none"/>
                <w:u w:val="none"/>
              </w:rPr>
            </w:pPr>
          </w:p>
        </w:tc>
        <w:tc>
          <w:tcPr>
            <w:tcW w:w="1841" w:type="dxa"/>
            <w:shd w:val="clear" w:color="auto" w:fill="auto"/>
            <w:noWrap w:val="0"/>
            <w:vAlign w:val="center"/>
          </w:tcPr>
          <w:p>
            <w:pPr>
              <w:spacing w:line="560" w:lineRule="exact"/>
              <w:jc w:val="center"/>
              <w:rPr>
                <w:rFonts w:hint="eastAsia" w:ascii="仿宋_GB2312" w:hAnsi="仿宋_GB2312" w:eastAsia="仿宋_GB2312" w:cs="仿宋_GB2312"/>
                <w:kern w:val="0"/>
                <w:szCs w:val="21"/>
                <w:highlight w:val="none"/>
                <w:u w:val="none"/>
              </w:rPr>
            </w:pPr>
          </w:p>
        </w:tc>
        <w:tc>
          <w:tcPr>
            <w:tcW w:w="1541"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186" w:type="dxa"/>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1077" w:type="dxa"/>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9"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3</w:t>
            </w:r>
          </w:p>
        </w:tc>
        <w:tc>
          <w:tcPr>
            <w:tcW w:w="1241"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486"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650" w:type="dxa"/>
            <w:shd w:val="clear" w:color="auto" w:fill="auto"/>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595"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69" w:type="dxa"/>
            <w:shd w:val="clear" w:color="auto" w:fill="auto"/>
            <w:noWrap w:val="0"/>
            <w:vAlign w:val="center"/>
          </w:tcPr>
          <w:p>
            <w:pPr>
              <w:spacing w:line="560" w:lineRule="exact"/>
              <w:jc w:val="center"/>
              <w:rPr>
                <w:rStyle w:val="21"/>
                <w:rFonts w:hint="eastAsia" w:ascii="仿宋_GB2312" w:hAnsi="仿宋_GB2312" w:eastAsia="仿宋_GB2312" w:cs="仿宋_GB2312"/>
                <w:b w:val="0"/>
                <w:color w:val="auto"/>
                <w:sz w:val="21"/>
                <w:szCs w:val="21"/>
                <w:highlight w:val="none"/>
                <w:u w:val="none"/>
              </w:rPr>
            </w:pPr>
          </w:p>
        </w:tc>
        <w:tc>
          <w:tcPr>
            <w:tcW w:w="1841" w:type="dxa"/>
            <w:shd w:val="clear" w:color="auto" w:fill="auto"/>
            <w:noWrap w:val="0"/>
            <w:vAlign w:val="center"/>
          </w:tcPr>
          <w:p>
            <w:pPr>
              <w:spacing w:line="560" w:lineRule="exact"/>
              <w:jc w:val="center"/>
              <w:rPr>
                <w:rFonts w:hint="eastAsia" w:ascii="仿宋_GB2312" w:hAnsi="仿宋_GB2312" w:eastAsia="仿宋_GB2312" w:cs="仿宋_GB2312"/>
                <w:kern w:val="0"/>
                <w:szCs w:val="21"/>
                <w:highlight w:val="none"/>
                <w:u w:val="none"/>
              </w:rPr>
            </w:pPr>
          </w:p>
        </w:tc>
        <w:tc>
          <w:tcPr>
            <w:tcW w:w="1541"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186" w:type="dxa"/>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1077" w:type="dxa"/>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9"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241"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w:t>
            </w:r>
          </w:p>
        </w:tc>
        <w:tc>
          <w:tcPr>
            <w:tcW w:w="1486"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650"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95"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69" w:type="dxa"/>
            <w:shd w:val="clear" w:color="auto" w:fill="auto"/>
            <w:noWrap w:val="0"/>
            <w:vAlign w:val="center"/>
          </w:tcPr>
          <w:p>
            <w:pPr>
              <w:spacing w:line="560" w:lineRule="exact"/>
              <w:jc w:val="center"/>
              <w:rPr>
                <w:rStyle w:val="21"/>
                <w:rFonts w:hint="eastAsia" w:ascii="仿宋_GB2312" w:hAnsi="仿宋_GB2312" w:eastAsia="仿宋_GB2312" w:cs="仿宋_GB2312"/>
                <w:b w:val="0"/>
                <w:color w:val="auto"/>
                <w:sz w:val="21"/>
                <w:szCs w:val="21"/>
                <w:highlight w:val="none"/>
                <w:u w:val="none"/>
              </w:rPr>
            </w:pPr>
          </w:p>
        </w:tc>
        <w:tc>
          <w:tcPr>
            <w:tcW w:w="1841" w:type="dxa"/>
            <w:shd w:val="clear" w:color="auto" w:fill="auto"/>
            <w:noWrap w:val="0"/>
            <w:vAlign w:val="center"/>
          </w:tcPr>
          <w:p>
            <w:pPr>
              <w:spacing w:line="560" w:lineRule="exact"/>
              <w:jc w:val="center"/>
              <w:rPr>
                <w:rFonts w:hint="eastAsia" w:ascii="仿宋_GB2312" w:hAnsi="仿宋_GB2312" w:eastAsia="仿宋_GB2312" w:cs="仿宋_GB2312"/>
                <w:kern w:val="0"/>
                <w:szCs w:val="21"/>
                <w:highlight w:val="none"/>
                <w:u w:val="none"/>
              </w:rPr>
            </w:pPr>
          </w:p>
        </w:tc>
        <w:tc>
          <w:tcPr>
            <w:tcW w:w="1541" w:type="dxa"/>
            <w:shd w:val="clear" w:color="auto" w:fill="auto"/>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186" w:type="dxa"/>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1077" w:type="dxa"/>
            <w:noWrap w:val="0"/>
            <w:vAlign w:val="top"/>
          </w:tcPr>
          <w:p>
            <w:pPr>
              <w:spacing w:line="560" w:lineRule="exact"/>
              <w:jc w:val="center"/>
              <w:rPr>
                <w:rFonts w:hint="eastAsia" w:ascii="仿宋_GB2312" w:hAnsi="仿宋_GB2312" w:eastAsia="仿宋_GB2312" w:cs="仿宋_GB2312"/>
                <w:szCs w:val="21"/>
                <w:highlight w:val="none"/>
                <w:u w:val="none"/>
              </w:rPr>
            </w:pPr>
          </w:p>
        </w:tc>
      </w:tr>
    </w:tbl>
    <w:p>
      <w:pPr>
        <w:spacing w:line="560" w:lineRule="exact"/>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备注：1.此表仅供参考，可根据招标文件以及入围择优实际情况另行制定。</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2.择优要素根据工程类型情形</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参考以下因素：企业资质、企业业绩</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含全国业绩、本市业绩、同类业绩等）、企业规模、服务便利度、</w:t>
      </w:r>
      <w:r>
        <w:rPr>
          <w:rFonts w:hint="eastAsia" w:ascii="仿宋_GB2312" w:hAnsi="仿宋_GB2312" w:eastAsia="仿宋_GB2312" w:cs="仿宋_GB2312"/>
          <w:sz w:val="24"/>
          <w:highlight w:val="none"/>
          <w:u w:val="none"/>
          <w:lang w:val="en-US" w:eastAsia="zh-CN"/>
        </w:rPr>
        <w:t>安全监管便利度</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科技创新能力、行业排名（如有）、财务状况、获奖情况（即同类项目获奖情况）、履约情况、企业及其人员的廉政记录、信用、营业额度、拟派项目团队能力、评标情况、不平衡报价（定标要素）等。招标人可根据项目性质、项目特点等选择上述择优因素，也可根据项目实际情况增加择优因素。</w:t>
      </w:r>
      <w:r>
        <w:rPr>
          <w:rFonts w:hint="eastAsia" w:ascii="仿宋_GB2312" w:hAnsi="仿宋_GB2312" w:eastAsia="仿宋_GB2312" w:cs="仿宋_GB2312"/>
          <w:b/>
          <w:bCs/>
          <w:sz w:val="24"/>
          <w:highlight w:val="none"/>
          <w:u w:val="none"/>
        </w:rPr>
        <w:t>上述表格仅供参考，招标人自行结合项目选择择优因子填入表格。</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其中，应当重点考虑的</w:t>
      </w:r>
      <w:r>
        <w:rPr>
          <w:rFonts w:hint="eastAsia" w:ascii="仿宋_GB2312" w:hAnsi="仿宋_GB2312" w:eastAsia="仿宋_GB2312" w:cs="仿宋_GB2312"/>
          <w:sz w:val="24"/>
          <w:highlight w:val="none"/>
          <w:u w:val="none"/>
          <w:lang w:eastAsia="zh-CN"/>
        </w:rPr>
        <w:t>因素</w:t>
      </w:r>
      <w:r>
        <w:rPr>
          <w:rFonts w:hint="eastAsia" w:ascii="仿宋_GB2312" w:hAnsi="仿宋_GB2312" w:eastAsia="仿宋_GB2312" w:cs="仿宋_GB2312"/>
          <w:sz w:val="24"/>
          <w:highlight w:val="none"/>
          <w:u w:val="none"/>
        </w:rPr>
        <w:t>包含有：</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施工类项目</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A.重大项目或技术复杂项目：重点考虑</w:t>
      </w:r>
      <w:r>
        <w:rPr>
          <w:rFonts w:hint="eastAsia" w:ascii="仿宋_GB2312" w:hAnsi="仿宋_GB2312" w:eastAsia="仿宋_GB2312" w:cs="仿宋_GB2312"/>
          <w:sz w:val="24"/>
          <w:highlight w:val="none"/>
          <w:u w:val="none"/>
          <w:lang w:eastAsia="zh-CN"/>
        </w:rPr>
        <w:t>服务便利度、</w:t>
      </w:r>
      <w:r>
        <w:rPr>
          <w:rFonts w:hint="eastAsia" w:ascii="仿宋_GB2312" w:hAnsi="仿宋_GB2312" w:eastAsia="仿宋_GB2312" w:cs="仿宋_GB2312"/>
          <w:sz w:val="24"/>
          <w:highlight w:val="none"/>
          <w:u w:val="none"/>
        </w:rPr>
        <w:t>拟派项目团队能力、企业资质、同类业绩</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安全监管便利度</w:t>
      </w:r>
      <w:r>
        <w:rPr>
          <w:rFonts w:hint="eastAsia" w:ascii="仿宋_GB2312" w:hAnsi="仿宋_GB2312" w:eastAsia="仿宋_GB2312" w:cs="仿宋_GB2312"/>
          <w:sz w:val="24"/>
          <w:highlight w:val="none"/>
          <w:u w:val="none"/>
        </w:rPr>
        <w:t>等。</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B.大型项目：重点考虑</w:t>
      </w:r>
      <w:r>
        <w:rPr>
          <w:rFonts w:hint="eastAsia" w:ascii="仿宋_GB2312" w:hAnsi="仿宋_GB2312" w:eastAsia="仿宋_GB2312" w:cs="仿宋_GB2312"/>
          <w:sz w:val="24"/>
          <w:highlight w:val="none"/>
          <w:u w:val="none"/>
          <w:lang w:eastAsia="zh-CN"/>
        </w:rPr>
        <w:t>服务便利度、</w:t>
      </w:r>
      <w:r>
        <w:rPr>
          <w:rFonts w:hint="eastAsia" w:ascii="仿宋_GB2312" w:hAnsi="仿宋_GB2312" w:eastAsia="仿宋_GB2312" w:cs="仿宋_GB2312"/>
          <w:sz w:val="24"/>
          <w:highlight w:val="none"/>
          <w:u w:val="none"/>
          <w:lang w:val="en-US" w:eastAsia="zh-CN"/>
        </w:rPr>
        <w:t>安全监管便利度</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企业资质、同类业绩、同类项目奖项等。</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C.</w:t>
      </w:r>
      <w:r>
        <w:rPr>
          <w:rFonts w:hint="eastAsia" w:ascii="仿宋_GB2312" w:hAnsi="仿宋_GB2312" w:eastAsia="仿宋_GB2312" w:cs="仿宋_GB2312"/>
          <w:sz w:val="24"/>
          <w:highlight w:val="none"/>
          <w:u w:val="none"/>
          <w:lang w:val="en-US" w:eastAsia="zh-CN"/>
        </w:rPr>
        <w:t>较大项目、</w:t>
      </w:r>
      <w:r>
        <w:rPr>
          <w:rFonts w:hint="eastAsia" w:ascii="仿宋_GB2312" w:hAnsi="仿宋_GB2312" w:eastAsia="仿宋_GB2312" w:cs="仿宋_GB2312"/>
          <w:sz w:val="24"/>
          <w:highlight w:val="none"/>
          <w:u w:val="none"/>
        </w:rPr>
        <w:t>一般项目：建议淡化企业资质，重点考虑企业本市同类业绩、信用、</w:t>
      </w:r>
      <w:r>
        <w:rPr>
          <w:rFonts w:hint="eastAsia" w:ascii="仿宋_GB2312" w:hAnsi="仿宋_GB2312" w:eastAsia="仿宋_GB2312" w:cs="仿宋_GB2312"/>
          <w:sz w:val="24"/>
          <w:highlight w:val="none"/>
          <w:u w:val="none"/>
          <w:lang w:eastAsia="zh-CN"/>
        </w:rPr>
        <w:t>服务便利度</w:t>
      </w:r>
      <w:r>
        <w:rPr>
          <w:rFonts w:hint="eastAsia" w:ascii="仿宋_GB2312" w:hAnsi="仿宋_GB2312" w:eastAsia="仿宋_GB2312" w:cs="仿宋_GB2312"/>
          <w:sz w:val="24"/>
          <w:highlight w:val="none"/>
          <w:u w:val="none"/>
        </w:rPr>
        <w:t>等。</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注：同类业绩的认定由招标人在招标文件中事先列明。</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其他类（勘察、设计、监理等服务类）：</w:t>
      </w:r>
      <w:r>
        <w:rPr>
          <w:rFonts w:hint="eastAsia" w:ascii="仿宋_GB2312" w:hAnsi="仿宋_GB2312" w:eastAsia="仿宋_GB2312" w:cs="仿宋_GB2312"/>
          <w:sz w:val="24"/>
          <w:highlight w:val="none"/>
          <w:u w:val="none"/>
          <w:lang w:eastAsia="zh-CN"/>
        </w:rPr>
        <w:t>服务便利度、</w:t>
      </w:r>
      <w:r>
        <w:rPr>
          <w:rFonts w:hint="eastAsia" w:ascii="仿宋_GB2312" w:hAnsi="仿宋_GB2312" w:eastAsia="仿宋_GB2312" w:cs="仿宋_GB2312"/>
          <w:sz w:val="24"/>
          <w:highlight w:val="none"/>
          <w:u w:val="none"/>
        </w:rPr>
        <w:t>资质、拟派项目团队能力、评标情况（优缺点）、同类业绩等。</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择优</w:t>
      </w:r>
      <w:r>
        <w:rPr>
          <w:rFonts w:hint="eastAsia" w:ascii="仿宋_GB2312" w:hAnsi="仿宋_GB2312" w:eastAsia="仿宋_GB2312" w:cs="仿宋_GB2312"/>
          <w:sz w:val="24"/>
          <w:highlight w:val="none"/>
          <w:u w:val="none"/>
          <w:lang w:eastAsia="zh-CN"/>
        </w:rPr>
        <w:t>因素</w:t>
      </w:r>
      <w:r>
        <w:rPr>
          <w:rFonts w:hint="eastAsia" w:ascii="仿宋_GB2312" w:hAnsi="仿宋_GB2312" w:eastAsia="仿宋_GB2312" w:cs="仿宋_GB2312"/>
          <w:sz w:val="24"/>
          <w:highlight w:val="none"/>
          <w:u w:val="none"/>
        </w:rPr>
        <w:t>考量年限建议如下：企业业绩、获奖情况：建议考虑近五年内；企业规模、行业排名、营业额度、财务状况：建议考虑近三年内；履约情况、信用：建议考虑近一年内。</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3.择优要素的使用</w:t>
      </w:r>
    </w:p>
    <w:p>
      <w:pPr>
        <w:spacing w:line="560" w:lineRule="exact"/>
        <w:ind w:firstLine="720" w:firstLineChars="300"/>
        <w:rPr>
          <w:rFonts w:hint="eastAsia" w:ascii="华文仿宋" w:hAnsi="华文仿宋" w:eastAsia="华文仿宋"/>
          <w:sz w:val="24"/>
          <w:highlight w:val="none"/>
          <w:u w:val="none"/>
        </w:rPr>
      </w:pPr>
      <w:r>
        <w:rPr>
          <w:rFonts w:hint="eastAsia" w:ascii="仿宋_GB2312" w:hAnsi="仿宋_GB2312" w:eastAsia="仿宋_GB2312" w:cs="仿宋_GB2312"/>
          <w:sz w:val="24"/>
          <w:highlight w:val="none"/>
          <w:u w:val="none"/>
        </w:rPr>
        <w:t>招标人应当明确相关择优要素，择优要素不宜过多、过泛，入围环节4-5个要素。</w:t>
      </w:r>
    </w:p>
    <w:p>
      <w:pPr>
        <w:rPr>
          <w:rFonts w:ascii="华文仿宋" w:hAnsi="华文仿宋" w:eastAsia="华文仿宋"/>
          <w:sz w:val="32"/>
          <w:szCs w:val="32"/>
          <w:highlight w:val="none"/>
          <w:u w:val="none"/>
        </w:rPr>
      </w:pPr>
      <w:r>
        <w:rPr>
          <w:rFonts w:hint="eastAsia" w:ascii="华文仿宋" w:hAnsi="华文仿宋" w:eastAsia="华文仿宋"/>
          <w:sz w:val="24"/>
          <w:highlight w:val="none"/>
          <w:u w:val="none"/>
        </w:rPr>
        <w:br w:type="page"/>
      </w:r>
      <w:r>
        <w:rPr>
          <w:rFonts w:hint="eastAsia" w:ascii="黑体" w:hAnsi="黑体" w:eastAsia="黑体" w:cs="黑体"/>
          <w:sz w:val="32"/>
          <w:szCs w:val="32"/>
          <w:highlight w:val="none"/>
          <w:u w:val="none"/>
        </w:rPr>
        <w:t>附</w:t>
      </w:r>
      <w:r>
        <w:rPr>
          <w:rFonts w:hint="eastAsia" w:ascii="黑体" w:hAnsi="黑体" w:eastAsia="黑体" w:cs="黑体"/>
          <w:sz w:val="32"/>
          <w:szCs w:val="32"/>
          <w:highlight w:val="none"/>
          <w:u w:val="none"/>
          <w:lang w:val="en-US" w:eastAsia="zh-CN"/>
        </w:rPr>
        <w:t>件</w:t>
      </w:r>
      <w:r>
        <w:rPr>
          <w:rFonts w:hint="eastAsia" w:ascii="黑体" w:hAnsi="黑体" w:eastAsia="黑体" w:cs="黑体"/>
          <w:sz w:val="32"/>
          <w:szCs w:val="32"/>
          <w:highlight w:val="none"/>
          <w:u w:val="none"/>
        </w:rPr>
        <w:t>2</w:t>
      </w:r>
    </w:p>
    <w:p>
      <w:pPr>
        <w:spacing w:line="560" w:lineRule="exact"/>
        <w:jc w:val="center"/>
        <w:rPr>
          <w:rFonts w:hint="eastAsia" w:ascii="方正小标宋简体" w:hAnsi="方正小标宋简体" w:eastAsia="方正小标宋简体" w:cs="方正小标宋简体"/>
          <w:b w:val="0"/>
          <w:bCs w:val="0"/>
          <w:sz w:val="44"/>
          <w:szCs w:val="44"/>
          <w:highlight w:val="none"/>
          <w:u w:val="none"/>
        </w:rPr>
      </w:pPr>
      <w:r>
        <w:rPr>
          <w:rFonts w:hint="eastAsia" w:ascii="方正小标宋简体" w:hAnsi="方正小标宋简体" w:eastAsia="方正小标宋简体" w:cs="方正小标宋简体"/>
          <w:b w:val="0"/>
          <w:bCs w:val="0"/>
          <w:sz w:val="44"/>
          <w:szCs w:val="44"/>
          <w:highlight w:val="none"/>
          <w:u w:val="none"/>
        </w:rPr>
        <w:t>定标资料一览表</w:t>
      </w:r>
    </w:p>
    <w:tbl>
      <w:tblPr>
        <w:tblStyle w:val="11"/>
        <w:tblpPr w:leftFromText="180" w:rightFromText="180" w:vertAnchor="text" w:horzAnchor="page" w:tblpX="1961" w:tblpY="126"/>
        <w:tblOverlap w:val="never"/>
        <w:tblW w:w="13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79"/>
        <w:gridCol w:w="1705"/>
        <w:gridCol w:w="1009"/>
        <w:gridCol w:w="1543"/>
        <w:gridCol w:w="2576"/>
        <w:gridCol w:w="1855"/>
        <w:gridCol w:w="182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3" w:type="dxa"/>
            <w:vMerge w:val="restart"/>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序号</w:t>
            </w:r>
          </w:p>
        </w:tc>
        <w:tc>
          <w:tcPr>
            <w:tcW w:w="1079" w:type="dxa"/>
            <w:vMerge w:val="restart"/>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投标单位名称</w:t>
            </w:r>
          </w:p>
        </w:tc>
        <w:tc>
          <w:tcPr>
            <w:tcW w:w="1705" w:type="dxa"/>
            <w:vMerge w:val="restart"/>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存在去劣情形</w:t>
            </w:r>
          </w:p>
        </w:tc>
        <w:tc>
          <w:tcPr>
            <w:tcW w:w="1009" w:type="dxa"/>
            <w:vMerge w:val="restart"/>
            <w:shd w:val="clear" w:color="auto" w:fill="auto"/>
            <w:noWrap w:val="0"/>
            <w:vAlign w:val="center"/>
          </w:tcPr>
          <w:p>
            <w:pPr>
              <w:spacing w:line="560" w:lineRule="exact"/>
              <w:jc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下浮率（％）</w:t>
            </w:r>
          </w:p>
        </w:tc>
        <w:tc>
          <w:tcPr>
            <w:tcW w:w="1543" w:type="dxa"/>
            <w:vMerge w:val="restart"/>
            <w:shd w:val="clear" w:color="auto" w:fill="auto"/>
            <w:noWrap w:val="0"/>
            <w:vAlign w:val="center"/>
          </w:tcPr>
          <w:p>
            <w:pPr>
              <w:widowControl/>
              <w:adjustRightInd w:val="0"/>
              <w:snapToGrid w:val="0"/>
              <w:spacing w:line="560" w:lineRule="exact"/>
              <w:jc w:val="center"/>
              <w:textAlignment w:val="center"/>
              <w:rPr>
                <w:rFonts w:hint="eastAsia" w:ascii="仿宋_GB2312" w:hAnsi="仿宋_GB2312" w:eastAsia="仿宋_GB2312" w:cs="仿宋_GB2312"/>
                <w:sz w:val="18"/>
                <w:szCs w:val="18"/>
                <w:highlight w:val="none"/>
                <w:u w:val="none"/>
                <w:lang w:eastAsia="zh-CN"/>
              </w:rPr>
            </w:pPr>
            <w:r>
              <w:rPr>
                <w:rFonts w:hint="eastAsia" w:ascii="仿宋_GB2312" w:hAnsi="仿宋_GB2312" w:eastAsia="仿宋_GB2312" w:cs="仿宋_GB2312"/>
                <w:sz w:val="18"/>
                <w:szCs w:val="18"/>
                <w:highlight w:val="none"/>
                <w:u w:val="none"/>
              </w:rPr>
              <w:t>投标报价</w:t>
            </w:r>
          </w:p>
          <w:p>
            <w:pPr>
              <w:widowControl/>
              <w:adjustRightInd w:val="0"/>
              <w:snapToGrid w:val="0"/>
              <w:spacing w:line="560" w:lineRule="exact"/>
              <w:jc w:val="center"/>
              <w:textAlignment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 w:val="18"/>
                <w:szCs w:val="18"/>
                <w:highlight w:val="none"/>
                <w:u w:val="none"/>
              </w:rPr>
              <w:t>（万元）</w:t>
            </w:r>
          </w:p>
        </w:tc>
        <w:tc>
          <w:tcPr>
            <w:tcW w:w="6258" w:type="dxa"/>
            <w:gridSpan w:val="3"/>
            <w:shd w:val="clear" w:color="auto" w:fill="FFFFFF"/>
            <w:noWrap w:val="0"/>
            <w:vAlign w:val="center"/>
          </w:tcPr>
          <w:p>
            <w:pPr>
              <w:widowControl/>
              <w:spacing w:line="560" w:lineRule="exact"/>
              <w:jc w:val="center"/>
              <w:textAlignment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Cs w:val="21"/>
                <w:highlight w:val="none"/>
                <w:u w:val="none"/>
              </w:rPr>
              <w:t>择优要素(不少于3个要素)</w:t>
            </w:r>
          </w:p>
        </w:tc>
        <w:tc>
          <w:tcPr>
            <w:tcW w:w="1419" w:type="dxa"/>
            <w:vMerge w:val="restart"/>
            <w:noWrap w:val="0"/>
            <w:vAlign w:val="center"/>
          </w:tcPr>
          <w:p>
            <w:pPr>
              <w:widowControl/>
              <w:spacing w:line="560" w:lineRule="exact"/>
              <w:jc w:val="center"/>
              <w:textAlignment w:val="center"/>
              <w:rPr>
                <w:rFonts w:hint="eastAsia" w:ascii="仿宋_GB2312" w:hAnsi="仿宋_GB2312" w:eastAsia="仿宋_GB2312" w:cs="仿宋_GB2312"/>
                <w:sz w:val="18"/>
                <w:szCs w:val="18"/>
                <w:highlight w:val="none"/>
                <w:u w:val="none"/>
              </w:rPr>
            </w:pPr>
            <w:r>
              <w:rPr>
                <w:rFonts w:hint="eastAsia" w:ascii="仿宋_GB2312" w:hAnsi="仿宋_GB2312" w:eastAsia="仿宋_GB2312" w:cs="仿宋_GB2312"/>
                <w:szCs w:val="21"/>
                <w:highlight w:val="none"/>
                <w:u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43"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07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705"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00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43" w:type="dxa"/>
            <w:vMerge w:val="continue"/>
            <w:noWrap w:val="0"/>
            <w:vAlign w:val="top"/>
          </w:tcPr>
          <w:p>
            <w:pPr>
              <w:widowControl/>
              <w:spacing w:line="560" w:lineRule="exact"/>
              <w:jc w:val="center"/>
              <w:textAlignment w:val="center"/>
              <w:rPr>
                <w:rFonts w:hint="eastAsia" w:ascii="仿宋_GB2312" w:hAnsi="仿宋_GB2312" w:eastAsia="仿宋_GB2312" w:cs="仿宋_GB2312"/>
                <w:kern w:val="0"/>
                <w:sz w:val="18"/>
                <w:szCs w:val="18"/>
                <w:highlight w:val="none"/>
                <w:u w:val="none"/>
              </w:rPr>
            </w:pPr>
          </w:p>
        </w:tc>
        <w:tc>
          <w:tcPr>
            <w:tcW w:w="2576" w:type="dxa"/>
            <w:noWrap w:val="0"/>
            <w:vAlign w:val="top"/>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履约情况</w:t>
            </w:r>
          </w:p>
        </w:tc>
        <w:tc>
          <w:tcPr>
            <w:tcW w:w="1855" w:type="dxa"/>
            <w:noWrap w:val="0"/>
            <w:vAlign w:val="top"/>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项目负责人同类业绩</w:t>
            </w:r>
          </w:p>
        </w:tc>
        <w:tc>
          <w:tcPr>
            <w:tcW w:w="1827" w:type="dxa"/>
            <w:noWrap w:val="0"/>
            <w:vAlign w:val="top"/>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 w:val="18"/>
                <w:szCs w:val="18"/>
                <w:highlight w:val="none"/>
                <w:u w:val="none"/>
              </w:rPr>
              <w:t>......</w:t>
            </w:r>
          </w:p>
        </w:tc>
        <w:tc>
          <w:tcPr>
            <w:tcW w:w="141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3" w:type="dxa"/>
            <w:vMerge w:val="continue"/>
            <w:noWrap w:val="0"/>
            <w:vAlign w:val="top"/>
          </w:tcPr>
          <w:p>
            <w:pPr>
              <w:spacing w:line="560" w:lineRule="exact"/>
              <w:jc w:val="center"/>
              <w:rPr>
                <w:rFonts w:hint="eastAsia" w:ascii="仿宋_GB2312" w:hAnsi="仿宋_GB2312" w:eastAsia="仿宋_GB2312" w:cs="仿宋_GB2312"/>
                <w:highlight w:val="none"/>
                <w:u w:val="none"/>
              </w:rPr>
            </w:pPr>
          </w:p>
        </w:tc>
        <w:tc>
          <w:tcPr>
            <w:tcW w:w="1079" w:type="dxa"/>
            <w:vMerge w:val="continue"/>
            <w:noWrap w:val="0"/>
            <w:vAlign w:val="top"/>
          </w:tcPr>
          <w:p>
            <w:pPr>
              <w:spacing w:line="560" w:lineRule="exact"/>
              <w:jc w:val="center"/>
              <w:rPr>
                <w:rFonts w:hint="eastAsia" w:ascii="仿宋_GB2312" w:hAnsi="仿宋_GB2312" w:eastAsia="仿宋_GB2312" w:cs="仿宋_GB2312"/>
                <w:highlight w:val="none"/>
                <w:u w:val="none"/>
              </w:rPr>
            </w:pPr>
          </w:p>
        </w:tc>
        <w:tc>
          <w:tcPr>
            <w:tcW w:w="1705" w:type="dxa"/>
            <w:vMerge w:val="continue"/>
            <w:noWrap w:val="0"/>
            <w:vAlign w:val="top"/>
          </w:tcPr>
          <w:p>
            <w:pPr>
              <w:spacing w:line="560" w:lineRule="exact"/>
              <w:jc w:val="center"/>
              <w:rPr>
                <w:rFonts w:hint="eastAsia" w:ascii="仿宋_GB2312" w:hAnsi="仿宋_GB2312" w:eastAsia="仿宋_GB2312" w:cs="仿宋_GB2312"/>
                <w:highlight w:val="none"/>
                <w:u w:val="none"/>
              </w:rPr>
            </w:pPr>
          </w:p>
        </w:tc>
        <w:tc>
          <w:tcPr>
            <w:tcW w:w="1009" w:type="dxa"/>
            <w:vMerge w:val="continue"/>
            <w:noWrap w:val="0"/>
            <w:vAlign w:val="top"/>
          </w:tcPr>
          <w:p>
            <w:pPr>
              <w:spacing w:line="560" w:lineRule="exact"/>
              <w:jc w:val="center"/>
              <w:rPr>
                <w:rFonts w:hint="eastAsia" w:ascii="仿宋_GB2312" w:hAnsi="仿宋_GB2312" w:eastAsia="仿宋_GB2312" w:cs="仿宋_GB2312"/>
                <w:highlight w:val="none"/>
                <w:u w:val="none"/>
              </w:rPr>
            </w:pPr>
          </w:p>
        </w:tc>
        <w:tc>
          <w:tcPr>
            <w:tcW w:w="1543" w:type="dxa"/>
            <w:vMerge w:val="continue"/>
            <w:noWrap w:val="0"/>
            <w:vAlign w:val="top"/>
          </w:tcPr>
          <w:p>
            <w:pPr>
              <w:spacing w:line="560" w:lineRule="exact"/>
              <w:jc w:val="center"/>
              <w:rPr>
                <w:rFonts w:hint="eastAsia" w:ascii="仿宋_GB2312" w:hAnsi="仿宋_GB2312" w:eastAsia="仿宋_GB2312" w:cs="仿宋_GB2312"/>
                <w:highlight w:val="none"/>
                <w:u w:val="none"/>
              </w:rPr>
            </w:pPr>
          </w:p>
        </w:tc>
        <w:tc>
          <w:tcPr>
            <w:tcW w:w="6258" w:type="dxa"/>
            <w:gridSpan w:val="3"/>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择优要素排序</w:t>
            </w:r>
          </w:p>
        </w:tc>
        <w:tc>
          <w:tcPr>
            <w:tcW w:w="141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43"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07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705"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00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43"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c>
          <w:tcPr>
            <w:tcW w:w="2576"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55"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27"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419" w:type="dxa"/>
            <w:vMerge w:val="continue"/>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43" w:type="dxa"/>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1</w:t>
            </w:r>
          </w:p>
        </w:tc>
        <w:tc>
          <w:tcPr>
            <w:tcW w:w="1079"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705"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009"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43" w:type="dxa"/>
            <w:noWrap w:val="0"/>
            <w:vAlign w:val="top"/>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2576"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55"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27"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419" w:type="dxa"/>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3" w:type="dxa"/>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2</w:t>
            </w:r>
          </w:p>
        </w:tc>
        <w:tc>
          <w:tcPr>
            <w:tcW w:w="1079"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705"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009"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43" w:type="dxa"/>
            <w:noWrap w:val="0"/>
            <w:vAlign w:val="top"/>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2576"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55"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27"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419" w:type="dxa"/>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3" w:type="dxa"/>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3</w:t>
            </w:r>
          </w:p>
        </w:tc>
        <w:tc>
          <w:tcPr>
            <w:tcW w:w="1079"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705"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009"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43" w:type="dxa"/>
            <w:noWrap w:val="0"/>
            <w:vAlign w:val="top"/>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2576"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55"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27"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419" w:type="dxa"/>
            <w:noWrap w:val="0"/>
            <w:vAlign w:val="top"/>
          </w:tcPr>
          <w:p>
            <w:pPr>
              <w:spacing w:line="560" w:lineRule="exact"/>
              <w:jc w:val="center"/>
              <w:rPr>
                <w:rFonts w:hint="eastAsia" w:ascii="仿宋_GB2312" w:hAns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43"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079" w:type="dxa"/>
            <w:noWrap w:val="0"/>
            <w:vAlign w:val="center"/>
          </w:tcPr>
          <w:p>
            <w:pPr>
              <w:spacing w:line="560" w:lineRule="exact"/>
              <w:jc w:val="center"/>
              <w:rPr>
                <w:rFonts w:hint="eastAsia" w:ascii="仿宋_GB2312" w:hAnsi="仿宋_GB2312" w:eastAsia="仿宋_GB2312" w:cs="仿宋_GB2312"/>
                <w:szCs w:val="21"/>
                <w:highlight w:val="none"/>
                <w:u w:val="none"/>
              </w:rPr>
            </w:pPr>
            <w:r>
              <w:rPr>
                <w:rFonts w:hint="eastAsia" w:ascii="仿宋_GB2312" w:hAnsi="仿宋_GB2312" w:eastAsia="仿宋_GB2312" w:cs="仿宋_GB2312"/>
                <w:szCs w:val="21"/>
                <w:highlight w:val="none"/>
                <w:u w:val="none"/>
              </w:rPr>
              <w:t>…</w:t>
            </w:r>
          </w:p>
        </w:tc>
        <w:tc>
          <w:tcPr>
            <w:tcW w:w="1705" w:type="dxa"/>
            <w:noWrap w:val="0"/>
            <w:vAlign w:val="center"/>
          </w:tcPr>
          <w:p>
            <w:pPr>
              <w:spacing w:line="560" w:lineRule="exact"/>
              <w:jc w:val="center"/>
              <w:rPr>
                <w:rFonts w:hint="eastAsia" w:ascii="仿宋_GB2312" w:hAnsi="仿宋_GB2312" w:eastAsia="仿宋_GB2312" w:cs="仿宋_GB2312"/>
                <w:szCs w:val="21"/>
                <w:highlight w:val="none"/>
                <w:u w:val="none"/>
              </w:rPr>
            </w:pPr>
          </w:p>
        </w:tc>
        <w:tc>
          <w:tcPr>
            <w:tcW w:w="1009"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543" w:type="dxa"/>
            <w:noWrap w:val="0"/>
            <w:vAlign w:val="top"/>
          </w:tcPr>
          <w:p>
            <w:pPr>
              <w:widowControl/>
              <w:spacing w:line="560" w:lineRule="exact"/>
              <w:jc w:val="center"/>
              <w:textAlignment w:val="center"/>
              <w:rPr>
                <w:rFonts w:hint="eastAsia" w:ascii="仿宋_GB2312" w:hAnsi="仿宋_GB2312" w:eastAsia="仿宋_GB2312" w:cs="仿宋_GB2312"/>
                <w:kern w:val="0"/>
                <w:szCs w:val="21"/>
                <w:highlight w:val="none"/>
                <w:u w:val="none"/>
              </w:rPr>
            </w:pPr>
          </w:p>
        </w:tc>
        <w:tc>
          <w:tcPr>
            <w:tcW w:w="2576"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55"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827" w:type="dxa"/>
            <w:noWrap w:val="0"/>
            <w:vAlign w:val="top"/>
          </w:tcPr>
          <w:p>
            <w:pPr>
              <w:spacing w:line="560" w:lineRule="exact"/>
              <w:jc w:val="center"/>
              <w:rPr>
                <w:rFonts w:hint="eastAsia" w:ascii="仿宋_GB2312" w:hAnsi="仿宋_GB2312" w:eastAsia="仿宋_GB2312" w:cs="仿宋_GB2312"/>
                <w:szCs w:val="21"/>
                <w:highlight w:val="none"/>
                <w:u w:val="none"/>
              </w:rPr>
            </w:pPr>
          </w:p>
        </w:tc>
        <w:tc>
          <w:tcPr>
            <w:tcW w:w="1419" w:type="dxa"/>
            <w:noWrap w:val="0"/>
            <w:vAlign w:val="top"/>
          </w:tcPr>
          <w:p>
            <w:pPr>
              <w:spacing w:line="560" w:lineRule="exact"/>
              <w:jc w:val="center"/>
              <w:rPr>
                <w:rFonts w:hint="eastAsia" w:ascii="仿宋_GB2312" w:hAnsi="仿宋_GB2312" w:eastAsia="仿宋_GB2312" w:cs="仿宋_GB2312"/>
                <w:szCs w:val="21"/>
                <w:highlight w:val="none"/>
                <w:u w:val="none"/>
              </w:rPr>
            </w:pPr>
          </w:p>
        </w:tc>
      </w:tr>
    </w:tbl>
    <w:p>
      <w:pPr>
        <w:spacing w:line="560" w:lineRule="exact"/>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备注：1.此表仅供参考，可根据招标文件以及定标细则实际情况另行制定。</w:t>
      </w:r>
    </w:p>
    <w:p>
      <w:pPr>
        <w:spacing w:line="560" w:lineRule="exact"/>
        <w:ind w:firstLine="720" w:firstLineChars="300"/>
        <w:rPr>
          <w:rFonts w:hint="eastAsia"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2.去劣标准：定标环节应当先重点考虑去劣，去劣标准应当全部综合考虑，存在下列情形的，逐一进行淘汰，招标人在清标报告中应当注明投标人存在去劣的情形，供定标委员会参考。</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1</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技术标评审，评标专家对其评价为“不合格”的；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2</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被建设、交通或水务部门信用评价为红色且正处在信用评价结果公示期内的；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3</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近一年内曾被履约评价为不合格的；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4</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近两年内曾有对招标人放弃中标资格、拒不签订合同、拒不提供履约担保情形的，或因以上情形在市、区被相关主管部门通报批评的；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5</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因违反工程质量、安全生产管理规定，或因串通投标、转包、以他人名义投标或者违法分包等违法行为，正在接受建设、交通、水务或者财政部门立案调查或受到行政处罚的（以清标时在相关网站查阅到的信息为准）；</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6</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近一年内有在建项目被市、区政府或建设主管部门通报批评的；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7</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近一年内在深</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含深汕特别合作区</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发生安全生产管理死亡较大事故</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按《生产安全事故报告和调查处理条例》认定的事故）</w:t>
      </w:r>
      <w:r>
        <w:rPr>
          <w:rFonts w:hint="eastAsia" w:ascii="仿宋_GB2312" w:hAnsi="仿宋_GB2312" w:eastAsia="仿宋_GB2312" w:cs="仿宋_GB2312"/>
          <w:sz w:val="24"/>
          <w:highlight w:val="none"/>
          <w:u w:val="none"/>
        </w:rPr>
        <w:t>的投标人</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8</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近一年内在深</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含深汕特别合作区</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因恶意欠薪被通报批评或引发集体上访事件造成较大社会影响的投标人；</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9</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近一年内在“中国执行信息公开网”、“全国企业信用信息公示系统”被判定为企业有失信或执行能力欠缺的；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10</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商务标存在不平衡报价情况的；</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11</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投标人存在商业贿赂或以其他违法违规方式损害政府工程利益的行为；</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12</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招标人认为其他去劣淘汰投标人的行为。</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13</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近三年内被市、区安委会或安委办约谈且未在整改期限内完成隐患整改的。</w:t>
      </w:r>
      <w:r>
        <w:rPr>
          <w:rFonts w:hint="eastAsia" w:ascii="仿宋_GB2312" w:hAnsi="仿宋_GB2312" w:eastAsia="仿宋_GB2312" w:cs="仿宋_GB2312"/>
          <w:sz w:val="24"/>
          <w:highlight w:val="none"/>
          <w:u w:val="none"/>
        </w:rPr>
        <w:t>注：以上时间截点均以清标之日起倒算，招标人应当自评标结束后10个工作日内进入交易中心进行定标，定标前1日招标人应当再次核查清标报告的准确性。</w:t>
      </w:r>
    </w:p>
    <w:p>
      <w:pPr>
        <w:spacing w:line="560" w:lineRule="exact"/>
        <w:ind w:firstLine="480" w:firstLineChars="200"/>
        <w:rPr>
          <w:highlight w:val="none"/>
          <w:u w:val="none"/>
        </w:rPr>
      </w:pPr>
      <w:r>
        <w:rPr>
          <w:rFonts w:hint="eastAsia" w:ascii="仿宋_GB2312" w:hAnsi="仿宋_GB2312" w:eastAsia="仿宋_GB2312" w:cs="仿宋_GB2312"/>
          <w:sz w:val="24"/>
          <w:highlight w:val="none"/>
          <w:u w:val="none"/>
        </w:rPr>
        <w:t>3.择优要素的使用：定标环节由招标人自行确定要素。招标人应事先制定定标方案，确定择优要素的优先顺序，供定标委员会在定标阶段使用。</w:t>
      </w:r>
    </w:p>
    <w:sectPr>
      <w:footerReference r:id="rId4" w:type="default"/>
      <w:pgSz w:w="16838" w:h="11906"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DA5ZWEwNDc3NjhjNDM5MTc2M2UxNDEyYjI2ZWIifQ=="/>
  </w:docVars>
  <w:rsids>
    <w:rsidRoot w:val="00612766"/>
    <w:rsid w:val="00046DDB"/>
    <w:rsid w:val="000B2D5C"/>
    <w:rsid w:val="001B1A49"/>
    <w:rsid w:val="00273AB8"/>
    <w:rsid w:val="002954D2"/>
    <w:rsid w:val="00295CC8"/>
    <w:rsid w:val="003A1ACE"/>
    <w:rsid w:val="00431E9D"/>
    <w:rsid w:val="004432E7"/>
    <w:rsid w:val="00473FB3"/>
    <w:rsid w:val="00474FDD"/>
    <w:rsid w:val="00497BBF"/>
    <w:rsid w:val="004A5443"/>
    <w:rsid w:val="005012A2"/>
    <w:rsid w:val="00530548"/>
    <w:rsid w:val="00612766"/>
    <w:rsid w:val="00655993"/>
    <w:rsid w:val="007923E1"/>
    <w:rsid w:val="0082293E"/>
    <w:rsid w:val="00862549"/>
    <w:rsid w:val="008C46DA"/>
    <w:rsid w:val="0091052A"/>
    <w:rsid w:val="0094731A"/>
    <w:rsid w:val="00A211EA"/>
    <w:rsid w:val="00A266BB"/>
    <w:rsid w:val="00A601A8"/>
    <w:rsid w:val="00B65CE2"/>
    <w:rsid w:val="00BE3D34"/>
    <w:rsid w:val="00BE49B3"/>
    <w:rsid w:val="00C764D7"/>
    <w:rsid w:val="00D61567"/>
    <w:rsid w:val="00D84223"/>
    <w:rsid w:val="00EA2A24"/>
    <w:rsid w:val="00EC495F"/>
    <w:rsid w:val="00EF7444"/>
    <w:rsid w:val="00FB7671"/>
    <w:rsid w:val="010631DF"/>
    <w:rsid w:val="01092D0B"/>
    <w:rsid w:val="0114729A"/>
    <w:rsid w:val="01186A88"/>
    <w:rsid w:val="011A7D4E"/>
    <w:rsid w:val="012006B7"/>
    <w:rsid w:val="012336D5"/>
    <w:rsid w:val="0147693C"/>
    <w:rsid w:val="014C7629"/>
    <w:rsid w:val="01586FA2"/>
    <w:rsid w:val="015B5601"/>
    <w:rsid w:val="01647113"/>
    <w:rsid w:val="016C5352"/>
    <w:rsid w:val="0178572A"/>
    <w:rsid w:val="017864CC"/>
    <w:rsid w:val="017A104C"/>
    <w:rsid w:val="017C2E7A"/>
    <w:rsid w:val="01B03D7B"/>
    <w:rsid w:val="01B82D81"/>
    <w:rsid w:val="01CF5947"/>
    <w:rsid w:val="01EC7FED"/>
    <w:rsid w:val="01F141CF"/>
    <w:rsid w:val="01F4455B"/>
    <w:rsid w:val="01F9176B"/>
    <w:rsid w:val="01FC74D2"/>
    <w:rsid w:val="02115457"/>
    <w:rsid w:val="0229447D"/>
    <w:rsid w:val="022A042D"/>
    <w:rsid w:val="02360236"/>
    <w:rsid w:val="023E4F1F"/>
    <w:rsid w:val="023F4998"/>
    <w:rsid w:val="024955AF"/>
    <w:rsid w:val="025A540E"/>
    <w:rsid w:val="025C1339"/>
    <w:rsid w:val="027340FB"/>
    <w:rsid w:val="0273602E"/>
    <w:rsid w:val="027462FC"/>
    <w:rsid w:val="027D6AEA"/>
    <w:rsid w:val="027F288D"/>
    <w:rsid w:val="029F5CA9"/>
    <w:rsid w:val="02B82FA3"/>
    <w:rsid w:val="02BD759C"/>
    <w:rsid w:val="02C57416"/>
    <w:rsid w:val="02E63D94"/>
    <w:rsid w:val="02ED62D1"/>
    <w:rsid w:val="02F507DA"/>
    <w:rsid w:val="02FA4F4B"/>
    <w:rsid w:val="02FA544D"/>
    <w:rsid w:val="03050B50"/>
    <w:rsid w:val="0307006B"/>
    <w:rsid w:val="03124A7B"/>
    <w:rsid w:val="03275FD5"/>
    <w:rsid w:val="032B6831"/>
    <w:rsid w:val="033372EE"/>
    <w:rsid w:val="03395F66"/>
    <w:rsid w:val="033D7C55"/>
    <w:rsid w:val="034378E7"/>
    <w:rsid w:val="034F3317"/>
    <w:rsid w:val="03655F74"/>
    <w:rsid w:val="03895F5B"/>
    <w:rsid w:val="03A03231"/>
    <w:rsid w:val="03C06F83"/>
    <w:rsid w:val="03C46E61"/>
    <w:rsid w:val="03D71A66"/>
    <w:rsid w:val="03E66A79"/>
    <w:rsid w:val="0400571B"/>
    <w:rsid w:val="040702DA"/>
    <w:rsid w:val="040A26D7"/>
    <w:rsid w:val="041D048A"/>
    <w:rsid w:val="041E74F3"/>
    <w:rsid w:val="04210592"/>
    <w:rsid w:val="045A3BD1"/>
    <w:rsid w:val="046A0ECA"/>
    <w:rsid w:val="046C3CBF"/>
    <w:rsid w:val="047F652A"/>
    <w:rsid w:val="04822F1C"/>
    <w:rsid w:val="04876463"/>
    <w:rsid w:val="048E448E"/>
    <w:rsid w:val="049B427A"/>
    <w:rsid w:val="04AB53E4"/>
    <w:rsid w:val="04C340EC"/>
    <w:rsid w:val="04C5548E"/>
    <w:rsid w:val="04E64890"/>
    <w:rsid w:val="04EA5094"/>
    <w:rsid w:val="04F939FB"/>
    <w:rsid w:val="04FD5674"/>
    <w:rsid w:val="05056CE1"/>
    <w:rsid w:val="052D0E35"/>
    <w:rsid w:val="05301137"/>
    <w:rsid w:val="054A6EBD"/>
    <w:rsid w:val="05526643"/>
    <w:rsid w:val="057B43AB"/>
    <w:rsid w:val="058412D5"/>
    <w:rsid w:val="05A033D5"/>
    <w:rsid w:val="05A450C6"/>
    <w:rsid w:val="05A64890"/>
    <w:rsid w:val="05BD4D56"/>
    <w:rsid w:val="05C56670"/>
    <w:rsid w:val="05CB2A43"/>
    <w:rsid w:val="05D760DD"/>
    <w:rsid w:val="05E33BCB"/>
    <w:rsid w:val="05E454CC"/>
    <w:rsid w:val="060B610F"/>
    <w:rsid w:val="060B757B"/>
    <w:rsid w:val="06430338"/>
    <w:rsid w:val="064B1F5D"/>
    <w:rsid w:val="066032FC"/>
    <w:rsid w:val="0662396F"/>
    <w:rsid w:val="066575BA"/>
    <w:rsid w:val="06744541"/>
    <w:rsid w:val="067B30AC"/>
    <w:rsid w:val="06812353"/>
    <w:rsid w:val="068E5F4D"/>
    <w:rsid w:val="06C476CC"/>
    <w:rsid w:val="06D63606"/>
    <w:rsid w:val="06F05301"/>
    <w:rsid w:val="06F737CA"/>
    <w:rsid w:val="06FF45EE"/>
    <w:rsid w:val="0700330B"/>
    <w:rsid w:val="07022C3B"/>
    <w:rsid w:val="07054F4C"/>
    <w:rsid w:val="07056722"/>
    <w:rsid w:val="07063155"/>
    <w:rsid w:val="070A3E3F"/>
    <w:rsid w:val="070C42E1"/>
    <w:rsid w:val="073631AB"/>
    <w:rsid w:val="07395C8E"/>
    <w:rsid w:val="07477FB0"/>
    <w:rsid w:val="07486BF6"/>
    <w:rsid w:val="07647625"/>
    <w:rsid w:val="076A2A83"/>
    <w:rsid w:val="076B2B68"/>
    <w:rsid w:val="076E3933"/>
    <w:rsid w:val="076F17EB"/>
    <w:rsid w:val="07794A7B"/>
    <w:rsid w:val="077F4D5A"/>
    <w:rsid w:val="07DC1F25"/>
    <w:rsid w:val="07DE20B5"/>
    <w:rsid w:val="07E535BA"/>
    <w:rsid w:val="08082775"/>
    <w:rsid w:val="081C0DB4"/>
    <w:rsid w:val="083F387F"/>
    <w:rsid w:val="085108B9"/>
    <w:rsid w:val="08592BD9"/>
    <w:rsid w:val="08652B14"/>
    <w:rsid w:val="087966D6"/>
    <w:rsid w:val="087C48B5"/>
    <w:rsid w:val="088430AD"/>
    <w:rsid w:val="0895320A"/>
    <w:rsid w:val="089E41A7"/>
    <w:rsid w:val="08A678A4"/>
    <w:rsid w:val="08AF47E0"/>
    <w:rsid w:val="08B21224"/>
    <w:rsid w:val="08D42BEC"/>
    <w:rsid w:val="08E42CA0"/>
    <w:rsid w:val="08E463E8"/>
    <w:rsid w:val="08E83615"/>
    <w:rsid w:val="08F45926"/>
    <w:rsid w:val="08FC024E"/>
    <w:rsid w:val="090B73E9"/>
    <w:rsid w:val="090E54AF"/>
    <w:rsid w:val="090F0C14"/>
    <w:rsid w:val="091A6CDA"/>
    <w:rsid w:val="09204C18"/>
    <w:rsid w:val="093B1BFD"/>
    <w:rsid w:val="09627284"/>
    <w:rsid w:val="096E7779"/>
    <w:rsid w:val="097D56DB"/>
    <w:rsid w:val="09851577"/>
    <w:rsid w:val="09980ADD"/>
    <w:rsid w:val="09A26EEC"/>
    <w:rsid w:val="09A45A4B"/>
    <w:rsid w:val="09AB2E75"/>
    <w:rsid w:val="09E32BE3"/>
    <w:rsid w:val="09E32EA3"/>
    <w:rsid w:val="0A0C47FF"/>
    <w:rsid w:val="0A241791"/>
    <w:rsid w:val="0A4517FA"/>
    <w:rsid w:val="0A461777"/>
    <w:rsid w:val="0A733220"/>
    <w:rsid w:val="0A83788A"/>
    <w:rsid w:val="0AB16913"/>
    <w:rsid w:val="0ABC3A28"/>
    <w:rsid w:val="0ACE1CA8"/>
    <w:rsid w:val="0AEA0E31"/>
    <w:rsid w:val="0B1A3422"/>
    <w:rsid w:val="0B1E21A7"/>
    <w:rsid w:val="0B35589E"/>
    <w:rsid w:val="0B45168C"/>
    <w:rsid w:val="0B4B32A8"/>
    <w:rsid w:val="0B6D69FE"/>
    <w:rsid w:val="0B78197B"/>
    <w:rsid w:val="0B980B76"/>
    <w:rsid w:val="0B9E5424"/>
    <w:rsid w:val="0BA42635"/>
    <w:rsid w:val="0BB043D0"/>
    <w:rsid w:val="0BB11ECD"/>
    <w:rsid w:val="0BB276F7"/>
    <w:rsid w:val="0BB36820"/>
    <w:rsid w:val="0BB73A14"/>
    <w:rsid w:val="0BBF340B"/>
    <w:rsid w:val="0C091BAE"/>
    <w:rsid w:val="0C1A2513"/>
    <w:rsid w:val="0C1A6E9D"/>
    <w:rsid w:val="0C2D4F44"/>
    <w:rsid w:val="0C36614C"/>
    <w:rsid w:val="0C573E76"/>
    <w:rsid w:val="0C890C15"/>
    <w:rsid w:val="0C906E1B"/>
    <w:rsid w:val="0C97321E"/>
    <w:rsid w:val="0CA07D17"/>
    <w:rsid w:val="0CAB0400"/>
    <w:rsid w:val="0CAD760F"/>
    <w:rsid w:val="0CAF0B9E"/>
    <w:rsid w:val="0CB80731"/>
    <w:rsid w:val="0CBB0500"/>
    <w:rsid w:val="0CBD40DA"/>
    <w:rsid w:val="0CC43150"/>
    <w:rsid w:val="0CD47463"/>
    <w:rsid w:val="0CF04F2B"/>
    <w:rsid w:val="0CF20199"/>
    <w:rsid w:val="0CF6742B"/>
    <w:rsid w:val="0CFA73FD"/>
    <w:rsid w:val="0D0E2FAE"/>
    <w:rsid w:val="0D105707"/>
    <w:rsid w:val="0D1B3921"/>
    <w:rsid w:val="0D202565"/>
    <w:rsid w:val="0D206154"/>
    <w:rsid w:val="0D315103"/>
    <w:rsid w:val="0D361E3A"/>
    <w:rsid w:val="0D6A5F22"/>
    <w:rsid w:val="0D857C41"/>
    <w:rsid w:val="0D8D505C"/>
    <w:rsid w:val="0D8F5FC8"/>
    <w:rsid w:val="0DB17DB5"/>
    <w:rsid w:val="0DC919AA"/>
    <w:rsid w:val="0DD2772B"/>
    <w:rsid w:val="0DD6517C"/>
    <w:rsid w:val="0DE92D3A"/>
    <w:rsid w:val="0DED497A"/>
    <w:rsid w:val="0DF403D4"/>
    <w:rsid w:val="0E13014B"/>
    <w:rsid w:val="0E154AF7"/>
    <w:rsid w:val="0E223EE1"/>
    <w:rsid w:val="0E356A1B"/>
    <w:rsid w:val="0E4D43A3"/>
    <w:rsid w:val="0E5B7856"/>
    <w:rsid w:val="0E5E64F2"/>
    <w:rsid w:val="0E6F35BE"/>
    <w:rsid w:val="0E9C051D"/>
    <w:rsid w:val="0EA00939"/>
    <w:rsid w:val="0EAC70BC"/>
    <w:rsid w:val="0EAE2FDA"/>
    <w:rsid w:val="0EB40846"/>
    <w:rsid w:val="0EC11BDE"/>
    <w:rsid w:val="0ECF1D98"/>
    <w:rsid w:val="0ED12144"/>
    <w:rsid w:val="0EDA1B2E"/>
    <w:rsid w:val="0EE759FB"/>
    <w:rsid w:val="0EEC79D3"/>
    <w:rsid w:val="0EF256A7"/>
    <w:rsid w:val="0EFA5F8F"/>
    <w:rsid w:val="0F2F78E2"/>
    <w:rsid w:val="0F5F32CE"/>
    <w:rsid w:val="0F905990"/>
    <w:rsid w:val="0F987A17"/>
    <w:rsid w:val="0FBA6033"/>
    <w:rsid w:val="0FBE5238"/>
    <w:rsid w:val="0FDF604C"/>
    <w:rsid w:val="0FE97A98"/>
    <w:rsid w:val="10071022"/>
    <w:rsid w:val="100771CF"/>
    <w:rsid w:val="1009627D"/>
    <w:rsid w:val="101236A2"/>
    <w:rsid w:val="101D3F38"/>
    <w:rsid w:val="1026589F"/>
    <w:rsid w:val="102D535F"/>
    <w:rsid w:val="103350CF"/>
    <w:rsid w:val="103C6FBE"/>
    <w:rsid w:val="104F269E"/>
    <w:rsid w:val="105124D4"/>
    <w:rsid w:val="105406FB"/>
    <w:rsid w:val="10571A92"/>
    <w:rsid w:val="10591AE7"/>
    <w:rsid w:val="106642C1"/>
    <w:rsid w:val="10917F1C"/>
    <w:rsid w:val="10A358B7"/>
    <w:rsid w:val="10B56743"/>
    <w:rsid w:val="10BE2BDD"/>
    <w:rsid w:val="10CF40C4"/>
    <w:rsid w:val="10D10B4D"/>
    <w:rsid w:val="10D23470"/>
    <w:rsid w:val="10DC1D38"/>
    <w:rsid w:val="10DE71F6"/>
    <w:rsid w:val="10ED145A"/>
    <w:rsid w:val="10F1694F"/>
    <w:rsid w:val="10F5662F"/>
    <w:rsid w:val="11073F14"/>
    <w:rsid w:val="110A2C87"/>
    <w:rsid w:val="11166FBC"/>
    <w:rsid w:val="11182C09"/>
    <w:rsid w:val="111C0779"/>
    <w:rsid w:val="112C2617"/>
    <w:rsid w:val="11352FDB"/>
    <w:rsid w:val="11455602"/>
    <w:rsid w:val="11624713"/>
    <w:rsid w:val="11792201"/>
    <w:rsid w:val="118254E6"/>
    <w:rsid w:val="119175B9"/>
    <w:rsid w:val="119C452D"/>
    <w:rsid w:val="11AD7A38"/>
    <w:rsid w:val="11B74C57"/>
    <w:rsid w:val="11C27922"/>
    <w:rsid w:val="11DC7D1E"/>
    <w:rsid w:val="11E254BD"/>
    <w:rsid w:val="11E70C38"/>
    <w:rsid w:val="11E738D2"/>
    <w:rsid w:val="12060AFF"/>
    <w:rsid w:val="1215152D"/>
    <w:rsid w:val="12191FF0"/>
    <w:rsid w:val="12243F6B"/>
    <w:rsid w:val="12260C17"/>
    <w:rsid w:val="12455951"/>
    <w:rsid w:val="125B504D"/>
    <w:rsid w:val="126B21B4"/>
    <w:rsid w:val="12852524"/>
    <w:rsid w:val="12892B4F"/>
    <w:rsid w:val="12907E04"/>
    <w:rsid w:val="12B61358"/>
    <w:rsid w:val="12C17A20"/>
    <w:rsid w:val="12DF6F08"/>
    <w:rsid w:val="13023EF6"/>
    <w:rsid w:val="13061609"/>
    <w:rsid w:val="131C532F"/>
    <w:rsid w:val="131E65C6"/>
    <w:rsid w:val="133B7891"/>
    <w:rsid w:val="13432222"/>
    <w:rsid w:val="134B5E2C"/>
    <w:rsid w:val="135C2D8C"/>
    <w:rsid w:val="13613C41"/>
    <w:rsid w:val="136231FB"/>
    <w:rsid w:val="13815785"/>
    <w:rsid w:val="138502CD"/>
    <w:rsid w:val="13924692"/>
    <w:rsid w:val="1392510E"/>
    <w:rsid w:val="139B3462"/>
    <w:rsid w:val="13B951B3"/>
    <w:rsid w:val="13BD1F74"/>
    <w:rsid w:val="13C23E39"/>
    <w:rsid w:val="13C532FC"/>
    <w:rsid w:val="13C807C2"/>
    <w:rsid w:val="13CC2BA7"/>
    <w:rsid w:val="13EF13C6"/>
    <w:rsid w:val="14020D52"/>
    <w:rsid w:val="140F764E"/>
    <w:rsid w:val="14136C13"/>
    <w:rsid w:val="14245F96"/>
    <w:rsid w:val="14297C16"/>
    <w:rsid w:val="143D520E"/>
    <w:rsid w:val="144B4F89"/>
    <w:rsid w:val="148F2BC0"/>
    <w:rsid w:val="14BA5BF1"/>
    <w:rsid w:val="14C62EC0"/>
    <w:rsid w:val="14D11016"/>
    <w:rsid w:val="14D230B4"/>
    <w:rsid w:val="14DB365F"/>
    <w:rsid w:val="14DF4F80"/>
    <w:rsid w:val="14E729AE"/>
    <w:rsid w:val="151128EE"/>
    <w:rsid w:val="151846D4"/>
    <w:rsid w:val="1539792C"/>
    <w:rsid w:val="155A1941"/>
    <w:rsid w:val="155C6825"/>
    <w:rsid w:val="156B7C55"/>
    <w:rsid w:val="15841F13"/>
    <w:rsid w:val="15C550C0"/>
    <w:rsid w:val="15E430BD"/>
    <w:rsid w:val="15F4611D"/>
    <w:rsid w:val="15FA6615"/>
    <w:rsid w:val="160A5A99"/>
    <w:rsid w:val="162E6114"/>
    <w:rsid w:val="16311739"/>
    <w:rsid w:val="164D0908"/>
    <w:rsid w:val="165B57E2"/>
    <w:rsid w:val="165D7BBA"/>
    <w:rsid w:val="16694EF2"/>
    <w:rsid w:val="16754CA9"/>
    <w:rsid w:val="1679785E"/>
    <w:rsid w:val="167B26D8"/>
    <w:rsid w:val="16B25E17"/>
    <w:rsid w:val="16B41853"/>
    <w:rsid w:val="16C602DC"/>
    <w:rsid w:val="16CF5015"/>
    <w:rsid w:val="16D76491"/>
    <w:rsid w:val="16DA5ACD"/>
    <w:rsid w:val="16E228F1"/>
    <w:rsid w:val="17001660"/>
    <w:rsid w:val="170169BF"/>
    <w:rsid w:val="1702428A"/>
    <w:rsid w:val="17060219"/>
    <w:rsid w:val="170E32CB"/>
    <w:rsid w:val="17143D10"/>
    <w:rsid w:val="17241BE9"/>
    <w:rsid w:val="17255924"/>
    <w:rsid w:val="173F5445"/>
    <w:rsid w:val="176D01AB"/>
    <w:rsid w:val="17715D52"/>
    <w:rsid w:val="177F712E"/>
    <w:rsid w:val="17855470"/>
    <w:rsid w:val="17873C92"/>
    <w:rsid w:val="179E3DE4"/>
    <w:rsid w:val="17D53FDD"/>
    <w:rsid w:val="17F9666A"/>
    <w:rsid w:val="180D7117"/>
    <w:rsid w:val="1825567C"/>
    <w:rsid w:val="185B1A80"/>
    <w:rsid w:val="185B4E1F"/>
    <w:rsid w:val="188C5E73"/>
    <w:rsid w:val="18922214"/>
    <w:rsid w:val="1898797A"/>
    <w:rsid w:val="18C4383E"/>
    <w:rsid w:val="18CB53A7"/>
    <w:rsid w:val="18D6439F"/>
    <w:rsid w:val="19085775"/>
    <w:rsid w:val="19145C0C"/>
    <w:rsid w:val="192327E3"/>
    <w:rsid w:val="1933360A"/>
    <w:rsid w:val="1959632C"/>
    <w:rsid w:val="196B47E3"/>
    <w:rsid w:val="19706DFC"/>
    <w:rsid w:val="197B2909"/>
    <w:rsid w:val="197F0E74"/>
    <w:rsid w:val="19846E82"/>
    <w:rsid w:val="19956FC4"/>
    <w:rsid w:val="1996530A"/>
    <w:rsid w:val="199A3558"/>
    <w:rsid w:val="19B56F2F"/>
    <w:rsid w:val="19BA263E"/>
    <w:rsid w:val="19C3446A"/>
    <w:rsid w:val="19C96E07"/>
    <w:rsid w:val="19D366E2"/>
    <w:rsid w:val="19E507EB"/>
    <w:rsid w:val="19E56060"/>
    <w:rsid w:val="19EE3A48"/>
    <w:rsid w:val="1A1C69A8"/>
    <w:rsid w:val="1A2F0278"/>
    <w:rsid w:val="1A351D2C"/>
    <w:rsid w:val="1A3A265F"/>
    <w:rsid w:val="1A491E95"/>
    <w:rsid w:val="1A815D76"/>
    <w:rsid w:val="1A8678F0"/>
    <w:rsid w:val="1A8D66A2"/>
    <w:rsid w:val="1A8F1197"/>
    <w:rsid w:val="1A9E7FCF"/>
    <w:rsid w:val="1AA674C7"/>
    <w:rsid w:val="1AAF3C7E"/>
    <w:rsid w:val="1AAF7EE6"/>
    <w:rsid w:val="1ABA44C1"/>
    <w:rsid w:val="1AC5035A"/>
    <w:rsid w:val="1AE80B88"/>
    <w:rsid w:val="1AFA1979"/>
    <w:rsid w:val="1B155622"/>
    <w:rsid w:val="1B1C2FAB"/>
    <w:rsid w:val="1B23091C"/>
    <w:rsid w:val="1B4114EA"/>
    <w:rsid w:val="1B4B3BF6"/>
    <w:rsid w:val="1B551ECF"/>
    <w:rsid w:val="1B6217BF"/>
    <w:rsid w:val="1B8E5AF2"/>
    <w:rsid w:val="1B992C2C"/>
    <w:rsid w:val="1BA42536"/>
    <w:rsid w:val="1BA613BE"/>
    <w:rsid w:val="1BAD2285"/>
    <w:rsid w:val="1BAD43FB"/>
    <w:rsid w:val="1BC15B4C"/>
    <w:rsid w:val="1BC43812"/>
    <w:rsid w:val="1BC61DCF"/>
    <w:rsid w:val="1BEB6DD8"/>
    <w:rsid w:val="1BEC76CB"/>
    <w:rsid w:val="1BF51389"/>
    <w:rsid w:val="1BFA31E5"/>
    <w:rsid w:val="1C007DC3"/>
    <w:rsid w:val="1C2E7F27"/>
    <w:rsid w:val="1C4856D0"/>
    <w:rsid w:val="1C4C0A13"/>
    <w:rsid w:val="1C4F3790"/>
    <w:rsid w:val="1C562675"/>
    <w:rsid w:val="1C593E3A"/>
    <w:rsid w:val="1C621BD6"/>
    <w:rsid w:val="1C880D70"/>
    <w:rsid w:val="1C9253E8"/>
    <w:rsid w:val="1C9733EC"/>
    <w:rsid w:val="1C987D04"/>
    <w:rsid w:val="1CB329EB"/>
    <w:rsid w:val="1CB9117C"/>
    <w:rsid w:val="1CBD071B"/>
    <w:rsid w:val="1CBE70FB"/>
    <w:rsid w:val="1CC3056B"/>
    <w:rsid w:val="1CCC3084"/>
    <w:rsid w:val="1CD42B55"/>
    <w:rsid w:val="1CD93F87"/>
    <w:rsid w:val="1CDE5CEC"/>
    <w:rsid w:val="1CE41F8D"/>
    <w:rsid w:val="1CE563F6"/>
    <w:rsid w:val="1CFD7977"/>
    <w:rsid w:val="1CFF6DBD"/>
    <w:rsid w:val="1D0256C9"/>
    <w:rsid w:val="1D062287"/>
    <w:rsid w:val="1D0662E8"/>
    <w:rsid w:val="1D0D02B0"/>
    <w:rsid w:val="1D0E322A"/>
    <w:rsid w:val="1D3910D5"/>
    <w:rsid w:val="1D3B4190"/>
    <w:rsid w:val="1D451168"/>
    <w:rsid w:val="1D727B6B"/>
    <w:rsid w:val="1DC334A5"/>
    <w:rsid w:val="1DC95630"/>
    <w:rsid w:val="1DDC4673"/>
    <w:rsid w:val="1E037548"/>
    <w:rsid w:val="1E082A0E"/>
    <w:rsid w:val="1E0A3DC4"/>
    <w:rsid w:val="1E11500E"/>
    <w:rsid w:val="1E1A3A62"/>
    <w:rsid w:val="1E335E5D"/>
    <w:rsid w:val="1E3A61D1"/>
    <w:rsid w:val="1E411260"/>
    <w:rsid w:val="1E5D3EAD"/>
    <w:rsid w:val="1E6B6437"/>
    <w:rsid w:val="1E777DAC"/>
    <w:rsid w:val="1E8C5A90"/>
    <w:rsid w:val="1E8E4FA6"/>
    <w:rsid w:val="1E90285F"/>
    <w:rsid w:val="1E905D80"/>
    <w:rsid w:val="1E963689"/>
    <w:rsid w:val="1EB01DB9"/>
    <w:rsid w:val="1EB11295"/>
    <w:rsid w:val="1EB56C96"/>
    <w:rsid w:val="1EB8799F"/>
    <w:rsid w:val="1ECC3BF7"/>
    <w:rsid w:val="1ED0332E"/>
    <w:rsid w:val="1ED24B37"/>
    <w:rsid w:val="1EEA161A"/>
    <w:rsid w:val="1EFC4103"/>
    <w:rsid w:val="1F074C91"/>
    <w:rsid w:val="1F0B5807"/>
    <w:rsid w:val="1F1355FD"/>
    <w:rsid w:val="1F1862E4"/>
    <w:rsid w:val="1F287922"/>
    <w:rsid w:val="1F2A5A49"/>
    <w:rsid w:val="1F353E88"/>
    <w:rsid w:val="1F6064A6"/>
    <w:rsid w:val="1F65333D"/>
    <w:rsid w:val="1F6B68E4"/>
    <w:rsid w:val="1F733FE6"/>
    <w:rsid w:val="1F7637EB"/>
    <w:rsid w:val="1F7E08AA"/>
    <w:rsid w:val="1F8824AD"/>
    <w:rsid w:val="1FA6660E"/>
    <w:rsid w:val="1FBE46A0"/>
    <w:rsid w:val="1FD14A60"/>
    <w:rsid w:val="1FE17A97"/>
    <w:rsid w:val="20025065"/>
    <w:rsid w:val="201C735F"/>
    <w:rsid w:val="202A6274"/>
    <w:rsid w:val="202E7DB5"/>
    <w:rsid w:val="204529F5"/>
    <w:rsid w:val="205633DF"/>
    <w:rsid w:val="207A2711"/>
    <w:rsid w:val="20CE0750"/>
    <w:rsid w:val="20D468C0"/>
    <w:rsid w:val="20DF6A01"/>
    <w:rsid w:val="20E511C8"/>
    <w:rsid w:val="20EC0F4C"/>
    <w:rsid w:val="20EF0020"/>
    <w:rsid w:val="20F6041C"/>
    <w:rsid w:val="20FF10A1"/>
    <w:rsid w:val="210A75D4"/>
    <w:rsid w:val="210C03C8"/>
    <w:rsid w:val="210C2560"/>
    <w:rsid w:val="211D3F00"/>
    <w:rsid w:val="2121251A"/>
    <w:rsid w:val="212B0F7D"/>
    <w:rsid w:val="212F1BD8"/>
    <w:rsid w:val="2143788C"/>
    <w:rsid w:val="21497E90"/>
    <w:rsid w:val="21694A89"/>
    <w:rsid w:val="2170535B"/>
    <w:rsid w:val="217D6D04"/>
    <w:rsid w:val="21834931"/>
    <w:rsid w:val="21A544DF"/>
    <w:rsid w:val="21A8068D"/>
    <w:rsid w:val="21AB7278"/>
    <w:rsid w:val="21AC6BC9"/>
    <w:rsid w:val="21B84F66"/>
    <w:rsid w:val="21EB2A40"/>
    <w:rsid w:val="21EE0F2F"/>
    <w:rsid w:val="21FE3F84"/>
    <w:rsid w:val="22256735"/>
    <w:rsid w:val="2227302D"/>
    <w:rsid w:val="22296C73"/>
    <w:rsid w:val="223A2000"/>
    <w:rsid w:val="22481A64"/>
    <w:rsid w:val="2256038F"/>
    <w:rsid w:val="22590BEF"/>
    <w:rsid w:val="226009A2"/>
    <w:rsid w:val="22607E89"/>
    <w:rsid w:val="22696A9B"/>
    <w:rsid w:val="2278089E"/>
    <w:rsid w:val="22846706"/>
    <w:rsid w:val="22876DE5"/>
    <w:rsid w:val="229265F4"/>
    <w:rsid w:val="229B22A3"/>
    <w:rsid w:val="229C3988"/>
    <w:rsid w:val="229E7F3E"/>
    <w:rsid w:val="22A806E9"/>
    <w:rsid w:val="22AF36FB"/>
    <w:rsid w:val="22C07BBC"/>
    <w:rsid w:val="22CC5F1A"/>
    <w:rsid w:val="22EE11BB"/>
    <w:rsid w:val="22EE62AA"/>
    <w:rsid w:val="22F22C47"/>
    <w:rsid w:val="22F93DC8"/>
    <w:rsid w:val="2300637E"/>
    <w:rsid w:val="230646FD"/>
    <w:rsid w:val="2311197F"/>
    <w:rsid w:val="232808E7"/>
    <w:rsid w:val="232B1C6D"/>
    <w:rsid w:val="23376D3E"/>
    <w:rsid w:val="2341436C"/>
    <w:rsid w:val="23527AD8"/>
    <w:rsid w:val="23616C16"/>
    <w:rsid w:val="23797414"/>
    <w:rsid w:val="237E7EAC"/>
    <w:rsid w:val="23885301"/>
    <w:rsid w:val="23991684"/>
    <w:rsid w:val="239F6D74"/>
    <w:rsid w:val="23A9422F"/>
    <w:rsid w:val="23AD66B1"/>
    <w:rsid w:val="23B42024"/>
    <w:rsid w:val="23BD3904"/>
    <w:rsid w:val="23BE52CB"/>
    <w:rsid w:val="23C5693A"/>
    <w:rsid w:val="23CF1225"/>
    <w:rsid w:val="23D30DA1"/>
    <w:rsid w:val="23DE7BE6"/>
    <w:rsid w:val="23F115A3"/>
    <w:rsid w:val="23F93F90"/>
    <w:rsid w:val="240A4A38"/>
    <w:rsid w:val="24235202"/>
    <w:rsid w:val="24281D65"/>
    <w:rsid w:val="242B1F66"/>
    <w:rsid w:val="244065FF"/>
    <w:rsid w:val="24532D12"/>
    <w:rsid w:val="24694584"/>
    <w:rsid w:val="247A7DFB"/>
    <w:rsid w:val="248A5876"/>
    <w:rsid w:val="248C2EEE"/>
    <w:rsid w:val="24944378"/>
    <w:rsid w:val="249D56F3"/>
    <w:rsid w:val="24A321BD"/>
    <w:rsid w:val="24AF78C5"/>
    <w:rsid w:val="24B76AAF"/>
    <w:rsid w:val="24C410CC"/>
    <w:rsid w:val="24CB1E8A"/>
    <w:rsid w:val="24FA1E64"/>
    <w:rsid w:val="251672DD"/>
    <w:rsid w:val="25185AAF"/>
    <w:rsid w:val="254A13C2"/>
    <w:rsid w:val="255148BE"/>
    <w:rsid w:val="25607FF5"/>
    <w:rsid w:val="25687038"/>
    <w:rsid w:val="256F22B8"/>
    <w:rsid w:val="25726754"/>
    <w:rsid w:val="25732169"/>
    <w:rsid w:val="257E3588"/>
    <w:rsid w:val="25913918"/>
    <w:rsid w:val="259537F5"/>
    <w:rsid w:val="25CE39EB"/>
    <w:rsid w:val="25D23310"/>
    <w:rsid w:val="25DE3BE3"/>
    <w:rsid w:val="25E02ACF"/>
    <w:rsid w:val="25EB6B19"/>
    <w:rsid w:val="25F82012"/>
    <w:rsid w:val="26100561"/>
    <w:rsid w:val="261A347A"/>
    <w:rsid w:val="261E4635"/>
    <w:rsid w:val="26275F3C"/>
    <w:rsid w:val="263863BE"/>
    <w:rsid w:val="263D1C5E"/>
    <w:rsid w:val="26501D79"/>
    <w:rsid w:val="26502FC7"/>
    <w:rsid w:val="26507253"/>
    <w:rsid w:val="26696379"/>
    <w:rsid w:val="266C53EB"/>
    <w:rsid w:val="266C5E4D"/>
    <w:rsid w:val="26721312"/>
    <w:rsid w:val="26786E87"/>
    <w:rsid w:val="26882365"/>
    <w:rsid w:val="269244EB"/>
    <w:rsid w:val="2699087F"/>
    <w:rsid w:val="26A21DE4"/>
    <w:rsid w:val="26B37493"/>
    <w:rsid w:val="26BA095F"/>
    <w:rsid w:val="26C10F85"/>
    <w:rsid w:val="26CD6A2A"/>
    <w:rsid w:val="26E66A59"/>
    <w:rsid w:val="26EF316C"/>
    <w:rsid w:val="26F275DC"/>
    <w:rsid w:val="26F40680"/>
    <w:rsid w:val="271024B3"/>
    <w:rsid w:val="271A431F"/>
    <w:rsid w:val="272427EE"/>
    <w:rsid w:val="27385826"/>
    <w:rsid w:val="27544462"/>
    <w:rsid w:val="275608BB"/>
    <w:rsid w:val="27833184"/>
    <w:rsid w:val="278B5B64"/>
    <w:rsid w:val="279C5B8F"/>
    <w:rsid w:val="279E5C84"/>
    <w:rsid w:val="27DA63B0"/>
    <w:rsid w:val="27E0463A"/>
    <w:rsid w:val="27EF0687"/>
    <w:rsid w:val="27F825D8"/>
    <w:rsid w:val="28070AA7"/>
    <w:rsid w:val="28075804"/>
    <w:rsid w:val="28161D9A"/>
    <w:rsid w:val="28167BB3"/>
    <w:rsid w:val="282674B9"/>
    <w:rsid w:val="282B4249"/>
    <w:rsid w:val="283363CD"/>
    <w:rsid w:val="28363740"/>
    <w:rsid w:val="28471320"/>
    <w:rsid w:val="285A2E0D"/>
    <w:rsid w:val="285D5FB9"/>
    <w:rsid w:val="28691D83"/>
    <w:rsid w:val="288A37E4"/>
    <w:rsid w:val="289210F5"/>
    <w:rsid w:val="289610F0"/>
    <w:rsid w:val="289E0376"/>
    <w:rsid w:val="28C57C59"/>
    <w:rsid w:val="28CC0A4E"/>
    <w:rsid w:val="28E21B1E"/>
    <w:rsid w:val="28F75F8F"/>
    <w:rsid w:val="28F813AA"/>
    <w:rsid w:val="29067139"/>
    <w:rsid w:val="29097BE7"/>
    <w:rsid w:val="2959302E"/>
    <w:rsid w:val="295D0567"/>
    <w:rsid w:val="297B007C"/>
    <w:rsid w:val="298A34F8"/>
    <w:rsid w:val="299A1DB6"/>
    <w:rsid w:val="299A34B0"/>
    <w:rsid w:val="29B34413"/>
    <w:rsid w:val="29C30785"/>
    <w:rsid w:val="29C45AB8"/>
    <w:rsid w:val="29CC3C34"/>
    <w:rsid w:val="29D52B13"/>
    <w:rsid w:val="29F8497F"/>
    <w:rsid w:val="2A0D2DA3"/>
    <w:rsid w:val="2A1E1621"/>
    <w:rsid w:val="2A2E65D9"/>
    <w:rsid w:val="2A423C61"/>
    <w:rsid w:val="2A4A3830"/>
    <w:rsid w:val="2A590455"/>
    <w:rsid w:val="2A6123AF"/>
    <w:rsid w:val="2A6E30A8"/>
    <w:rsid w:val="2A9259E2"/>
    <w:rsid w:val="2A9E5619"/>
    <w:rsid w:val="2AC62DFF"/>
    <w:rsid w:val="2AD07730"/>
    <w:rsid w:val="2AD16CF8"/>
    <w:rsid w:val="2AD754E9"/>
    <w:rsid w:val="2AE2279C"/>
    <w:rsid w:val="2AF20662"/>
    <w:rsid w:val="2B0207E4"/>
    <w:rsid w:val="2B032053"/>
    <w:rsid w:val="2B0B6161"/>
    <w:rsid w:val="2B14155C"/>
    <w:rsid w:val="2B2A0CA0"/>
    <w:rsid w:val="2B2C2CD0"/>
    <w:rsid w:val="2B300C21"/>
    <w:rsid w:val="2B597F39"/>
    <w:rsid w:val="2B7572FB"/>
    <w:rsid w:val="2B766391"/>
    <w:rsid w:val="2B826288"/>
    <w:rsid w:val="2B89627F"/>
    <w:rsid w:val="2B9C61C9"/>
    <w:rsid w:val="2BA377E0"/>
    <w:rsid w:val="2BAA6C07"/>
    <w:rsid w:val="2BAD38B8"/>
    <w:rsid w:val="2BB77759"/>
    <w:rsid w:val="2BD15D40"/>
    <w:rsid w:val="2BE15E55"/>
    <w:rsid w:val="2BF22456"/>
    <w:rsid w:val="2BF248B3"/>
    <w:rsid w:val="2C040AED"/>
    <w:rsid w:val="2C074643"/>
    <w:rsid w:val="2C1326A7"/>
    <w:rsid w:val="2C231CF9"/>
    <w:rsid w:val="2C233D66"/>
    <w:rsid w:val="2C2A25CD"/>
    <w:rsid w:val="2C311C2F"/>
    <w:rsid w:val="2C385F06"/>
    <w:rsid w:val="2C3910D2"/>
    <w:rsid w:val="2C4021B0"/>
    <w:rsid w:val="2C4A50C3"/>
    <w:rsid w:val="2C6E7F19"/>
    <w:rsid w:val="2C71352E"/>
    <w:rsid w:val="2C7461DB"/>
    <w:rsid w:val="2C7E522D"/>
    <w:rsid w:val="2C887D3D"/>
    <w:rsid w:val="2C945098"/>
    <w:rsid w:val="2C980FB7"/>
    <w:rsid w:val="2C9B1598"/>
    <w:rsid w:val="2CDB0C48"/>
    <w:rsid w:val="2CFA35AE"/>
    <w:rsid w:val="2D0510B2"/>
    <w:rsid w:val="2D126C6B"/>
    <w:rsid w:val="2D136EB3"/>
    <w:rsid w:val="2D2F6D57"/>
    <w:rsid w:val="2D391DAF"/>
    <w:rsid w:val="2D3E7EC4"/>
    <w:rsid w:val="2D4C790B"/>
    <w:rsid w:val="2D5648DE"/>
    <w:rsid w:val="2D580DCA"/>
    <w:rsid w:val="2D592F4C"/>
    <w:rsid w:val="2D5F7721"/>
    <w:rsid w:val="2D6F4135"/>
    <w:rsid w:val="2D7624E2"/>
    <w:rsid w:val="2D7646B2"/>
    <w:rsid w:val="2D8B0E94"/>
    <w:rsid w:val="2D8F5984"/>
    <w:rsid w:val="2D9704F5"/>
    <w:rsid w:val="2DA464D8"/>
    <w:rsid w:val="2DAD63AC"/>
    <w:rsid w:val="2DB831EA"/>
    <w:rsid w:val="2DBB7D52"/>
    <w:rsid w:val="2DBC001E"/>
    <w:rsid w:val="2DBC1E82"/>
    <w:rsid w:val="2DD82DD6"/>
    <w:rsid w:val="2DED7EE8"/>
    <w:rsid w:val="2E1157C0"/>
    <w:rsid w:val="2E1C5649"/>
    <w:rsid w:val="2E4A27DC"/>
    <w:rsid w:val="2E4C6446"/>
    <w:rsid w:val="2E513A1B"/>
    <w:rsid w:val="2E714B8D"/>
    <w:rsid w:val="2E725DD3"/>
    <w:rsid w:val="2E9C278B"/>
    <w:rsid w:val="2EAE69A6"/>
    <w:rsid w:val="2EB11858"/>
    <w:rsid w:val="2ED0018F"/>
    <w:rsid w:val="2EE16D68"/>
    <w:rsid w:val="2EEE5817"/>
    <w:rsid w:val="2EF91BEF"/>
    <w:rsid w:val="2F0930CE"/>
    <w:rsid w:val="2F16425A"/>
    <w:rsid w:val="2F3822DB"/>
    <w:rsid w:val="2F487B16"/>
    <w:rsid w:val="2F546E93"/>
    <w:rsid w:val="2F612C7B"/>
    <w:rsid w:val="2F6D613B"/>
    <w:rsid w:val="2F7475E4"/>
    <w:rsid w:val="2F7603EF"/>
    <w:rsid w:val="2F7F039E"/>
    <w:rsid w:val="2F923D65"/>
    <w:rsid w:val="2F956EF8"/>
    <w:rsid w:val="2F9D6D5B"/>
    <w:rsid w:val="2FAB55BD"/>
    <w:rsid w:val="2FB3208F"/>
    <w:rsid w:val="2FC02194"/>
    <w:rsid w:val="2FDD1A0E"/>
    <w:rsid w:val="2FE90957"/>
    <w:rsid w:val="30051E2D"/>
    <w:rsid w:val="303C082D"/>
    <w:rsid w:val="303E2E48"/>
    <w:rsid w:val="30414841"/>
    <w:rsid w:val="30423FCF"/>
    <w:rsid w:val="304C4B0B"/>
    <w:rsid w:val="30505432"/>
    <w:rsid w:val="305D476D"/>
    <w:rsid w:val="307A2F6E"/>
    <w:rsid w:val="30814433"/>
    <w:rsid w:val="308C673E"/>
    <w:rsid w:val="30A1483E"/>
    <w:rsid w:val="30AB50F9"/>
    <w:rsid w:val="30BA022B"/>
    <w:rsid w:val="30CE1DA6"/>
    <w:rsid w:val="30D14F02"/>
    <w:rsid w:val="30D56AC3"/>
    <w:rsid w:val="30E537BF"/>
    <w:rsid w:val="30ED6021"/>
    <w:rsid w:val="30FF4A50"/>
    <w:rsid w:val="312730F1"/>
    <w:rsid w:val="314700D7"/>
    <w:rsid w:val="314E248C"/>
    <w:rsid w:val="31502B15"/>
    <w:rsid w:val="315628DE"/>
    <w:rsid w:val="315C675D"/>
    <w:rsid w:val="315E1DE8"/>
    <w:rsid w:val="315E544E"/>
    <w:rsid w:val="31701B66"/>
    <w:rsid w:val="31723CF2"/>
    <w:rsid w:val="317816E2"/>
    <w:rsid w:val="318A08D0"/>
    <w:rsid w:val="3191535C"/>
    <w:rsid w:val="31AB7AA6"/>
    <w:rsid w:val="31C94F46"/>
    <w:rsid w:val="31CB4275"/>
    <w:rsid w:val="31CD6F74"/>
    <w:rsid w:val="31DC5DBA"/>
    <w:rsid w:val="31E72E80"/>
    <w:rsid w:val="321C64AD"/>
    <w:rsid w:val="32297C5D"/>
    <w:rsid w:val="32351719"/>
    <w:rsid w:val="323C66DD"/>
    <w:rsid w:val="32C07267"/>
    <w:rsid w:val="32C13E31"/>
    <w:rsid w:val="32D56686"/>
    <w:rsid w:val="32E07A09"/>
    <w:rsid w:val="330140C0"/>
    <w:rsid w:val="330426FB"/>
    <w:rsid w:val="330A2943"/>
    <w:rsid w:val="33135A73"/>
    <w:rsid w:val="33180428"/>
    <w:rsid w:val="33367C52"/>
    <w:rsid w:val="333718A4"/>
    <w:rsid w:val="336369ED"/>
    <w:rsid w:val="336A7E58"/>
    <w:rsid w:val="336E37E6"/>
    <w:rsid w:val="338E08A9"/>
    <w:rsid w:val="338F2BC6"/>
    <w:rsid w:val="33B10D08"/>
    <w:rsid w:val="33DF7169"/>
    <w:rsid w:val="33E44E66"/>
    <w:rsid w:val="33EB4A22"/>
    <w:rsid w:val="33EC3D15"/>
    <w:rsid w:val="34060862"/>
    <w:rsid w:val="3407784D"/>
    <w:rsid w:val="340908A0"/>
    <w:rsid w:val="340974FD"/>
    <w:rsid w:val="34135AAD"/>
    <w:rsid w:val="34241397"/>
    <w:rsid w:val="34313EB4"/>
    <w:rsid w:val="343237D4"/>
    <w:rsid w:val="343D3764"/>
    <w:rsid w:val="34684A82"/>
    <w:rsid w:val="347335AA"/>
    <w:rsid w:val="3482591B"/>
    <w:rsid w:val="3490036F"/>
    <w:rsid w:val="349654F2"/>
    <w:rsid w:val="34BA59C0"/>
    <w:rsid w:val="34D37B27"/>
    <w:rsid w:val="34E6194E"/>
    <w:rsid w:val="35164B43"/>
    <w:rsid w:val="35215AD4"/>
    <w:rsid w:val="35341FBD"/>
    <w:rsid w:val="35455228"/>
    <w:rsid w:val="359749D1"/>
    <w:rsid w:val="35A35698"/>
    <w:rsid w:val="35BF14D8"/>
    <w:rsid w:val="35D30796"/>
    <w:rsid w:val="35EC2F6B"/>
    <w:rsid w:val="35F4004A"/>
    <w:rsid w:val="36085D54"/>
    <w:rsid w:val="3620471F"/>
    <w:rsid w:val="36216628"/>
    <w:rsid w:val="362264BA"/>
    <w:rsid w:val="365F738D"/>
    <w:rsid w:val="36703C23"/>
    <w:rsid w:val="367758F2"/>
    <w:rsid w:val="367D6047"/>
    <w:rsid w:val="367D7F17"/>
    <w:rsid w:val="36902F61"/>
    <w:rsid w:val="36940CED"/>
    <w:rsid w:val="36A61835"/>
    <w:rsid w:val="36D26E28"/>
    <w:rsid w:val="36D51DB6"/>
    <w:rsid w:val="36D9536D"/>
    <w:rsid w:val="36DD0557"/>
    <w:rsid w:val="36DF3873"/>
    <w:rsid w:val="37006FCA"/>
    <w:rsid w:val="3702350F"/>
    <w:rsid w:val="370E2565"/>
    <w:rsid w:val="37195C45"/>
    <w:rsid w:val="371C3965"/>
    <w:rsid w:val="371F0685"/>
    <w:rsid w:val="3741461D"/>
    <w:rsid w:val="376A7113"/>
    <w:rsid w:val="377242D8"/>
    <w:rsid w:val="377E487D"/>
    <w:rsid w:val="37872B44"/>
    <w:rsid w:val="37937008"/>
    <w:rsid w:val="379552A6"/>
    <w:rsid w:val="37D86744"/>
    <w:rsid w:val="37DE585F"/>
    <w:rsid w:val="37E36651"/>
    <w:rsid w:val="37EA380E"/>
    <w:rsid w:val="37F11D36"/>
    <w:rsid w:val="38072ED5"/>
    <w:rsid w:val="380B3D78"/>
    <w:rsid w:val="38126790"/>
    <w:rsid w:val="381B2E25"/>
    <w:rsid w:val="3820775C"/>
    <w:rsid w:val="38225637"/>
    <w:rsid w:val="3840022D"/>
    <w:rsid w:val="389539A6"/>
    <w:rsid w:val="389C1A63"/>
    <w:rsid w:val="389E540D"/>
    <w:rsid w:val="38BC1629"/>
    <w:rsid w:val="38C15AB5"/>
    <w:rsid w:val="38D43A4C"/>
    <w:rsid w:val="38FC63AC"/>
    <w:rsid w:val="390C0230"/>
    <w:rsid w:val="390D5835"/>
    <w:rsid w:val="394B6143"/>
    <w:rsid w:val="395D36D3"/>
    <w:rsid w:val="395E3D12"/>
    <w:rsid w:val="39647B59"/>
    <w:rsid w:val="39681E9D"/>
    <w:rsid w:val="3974449A"/>
    <w:rsid w:val="398148EA"/>
    <w:rsid w:val="39A372B5"/>
    <w:rsid w:val="39A5330F"/>
    <w:rsid w:val="39C005A5"/>
    <w:rsid w:val="39CA5362"/>
    <w:rsid w:val="39D53B77"/>
    <w:rsid w:val="39D72377"/>
    <w:rsid w:val="39D77547"/>
    <w:rsid w:val="39D95CAA"/>
    <w:rsid w:val="39DA4AC9"/>
    <w:rsid w:val="39ED2F36"/>
    <w:rsid w:val="39FF6A8E"/>
    <w:rsid w:val="3A142154"/>
    <w:rsid w:val="3A1760D0"/>
    <w:rsid w:val="3A1C50B5"/>
    <w:rsid w:val="3A30379E"/>
    <w:rsid w:val="3A507721"/>
    <w:rsid w:val="3A634682"/>
    <w:rsid w:val="3A6A2296"/>
    <w:rsid w:val="3A6C0B22"/>
    <w:rsid w:val="3A75620A"/>
    <w:rsid w:val="3A78076A"/>
    <w:rsid w:val="3A7958F7"/>
    <w:rsid w:val="3A8914B0"/>
    <w:rsid w:val="3A930BA1"/>
    <w:rsid w:val="3A9F1BE3"/>
    <w:rsid w:val="3AA6229A"/>
    <w:rsid w:val="3AA95FDC"/>
    <w:rsid w:val="3AB446E4"/>
    <w:rsid w:val="3AB4706C"/>
    <w:rsid w:val="3AB51FE1"/>
    <w:rsid w:val="3AB56899"/>
    <w:rsid w:val="3ABF7B52"/>
    <w:rsid w:val="3AC0384A"/>
    <w:rsid w:val="3AD2000B"/>
    <w:rsid w:val="3AE57081"/>
    <w:rsid w:val="3AE65A38"/>
    <w:rsid w:val="3AE71E16"/>
    <w:rsid w:val="3AF40DFE"/>
    <w:rsid w:val="3B0E52C1"/>
    <w:rsid w:val="3B150CA5"/>
    <w:rsid w:val="3B176A24"/>
    <w:rsid w:val="3B1C6BD7"/>
    <w:rsid w:val="3B2A0AD7"/>
    <w:rsid w:val="3B336087"/>
    <w:rsid w:val="3B3A6E00"/>
    <w:rsid w:val="3B4306D2"/>
    <w:rsid w:val="3B4F7221"/>
    <w:rsid w:val="3B53272B"/>
    <w:rsid w:val="3B5B1098"/>
    <w:rsid w:val="3B5D64BD"/>
    <w:rsid w:val="3B5D77E7"/>
    <w:rsid w:val="3B655D28"/>
    <w:rsid w:val="3B746A8C"/>
    <w:rsid w:val="3B7D4F70"/>
    <w:rsid w:val="3B850861"/>
    <w:rsid w:val="3B8E4319"/>
    <w:rsid w:val="3B9402C6"/>
    <w:rsid w:val="3B9621F8"/>
    <w:rsid w:val="3B9C0A0E"/>
    <w:rsid w:val="3BA424F4"/>
    <w:rsid w:val="3BC15796"/>
    <w:rsid w:val="3BC76D4F"/>
    <w:rsid w:val="3BCA7EE3"/>
    <w:rsid w:val="3BCC6AC3"/>
    <w:rsid w:val="3BD64244"/>
    <w:rsid w:val="3BF0127E"/>
    <w:rsid w:val="3C031204"/>
    <w:rsid w:val="3C144C8F"/>
    <w:rsid w:val="3C342601"/>
    <w:rsid w:val="3C6B28DE"/>
    <w:rsid w:val="3C7A2CAA"/>
    <w:rsid w:val="3C7B0D2D"/>
    <w:rsid w:val="3C7E4412"/>
    <w:rsid w:val="3CA870EC"/>
    <w:rsid w:val="3CB133DB"/>
    <w:rsid w:val="3CBC6999"/>
    <w:rsid w:val="3CF61071"/>
    <w:rsid w:val="3D11203F"/>
    <w:rsid w:val="3D16527F"/>
    <w:rsid w:val="3D2C007F"/>
    <w:rsid w:val="3D477B2C"/>
    <w:rsid w:val="3D540BF2"/>
    <w:rsid w:val="3D570F95"/>
    <w:rsid w:val="3D5D091B"/>
    <w:rsid w:val="3D6336CC"/>
    <w:rsid w:val="3D6E6FB1"/>
    <w:rsid w:val="3DA126F1"/>
    <w:rsid w:val="3DBB4713"/>
    <w:rsid w:val="3DCC4624"/>
    <w:rsid w:val="3DCD55A2"/>
    <w:rsid w:val="3DDF1A03"/>
    <w:rsid w:val="3DEC4620"/>
    <w:rsid w:val="3DED614D"/>
    <w:rsid w:val="3E1919A7"/>
    <w:rsid w:val="3E2B3156"/>
    <w:rsid w:val="3E407CD0"/>
    <w:rsid w:val="3E503137"/>
    <w:rsid w:val="3E7B724C"/>
    <w:rsid w:val="3E827A0D"/>
    <w:rsid w:val="3E8648BE"/>
    <w:rsid w:val="3E8D27D3"/>
    <w:rsid w:val="3E915E64"/>
    <w:rsid w:val="3EA91C04"/>
    <w:rsid w:val="3EBB2555"/>
    <w:rsid w:val="3EC53E85"/>
    <w:rsid w:val="3EDA01B7"/>
    <w:rsid w:val="3EEB7C3C"/>
    <w:rsid w:val="3EED1486"/>
    <w:rsid w:val="3F0074D6"/>
    <w:rsid w:val="3F1C421D"/>
    <w:rsid w:val="3F205E32"/>
    <w:rsid w:val="3F2267F0"/>
    <w:rsid w:val="3F2C58BE"/>
    <w:rsid w:val="3F2E58C4"/>
    <w:rsid w:val="3F364745"/>
    <w:rsid w:val="3F427804"/>
    <w:rsid w:val="3F531363"/>
    <w:rsid w:val="3F6A4447"/>
    <w:rsid w:val="3F70070E"/>
    <w:rsid w:val="3F705C56"/>
    <w:rsid w:val="3F85316B"/>
    <w:rsid w:val="3FA316EA"/>
    <w:rsid w:val="3FCB1775"/>
    <w:rsid w:val="3FD1522C"/>
    <w:rsid w:val="3FDC56C6"/>
    <w:rsid w:val="3FFA38C1"/>
    <w:rsid w:val="400C5E34"/>
    <w:rsid w:val="40152F39"/>
    <w:rsid w:val="402C0988"/>
    <w:rsid w:val="405C7DA4"/>
    <w:rsid w:val="40662DA2"/>
    <w:rsid w:val="408F278F"/>
    <w:rsid w:val="409A456F"/>
    <w:rsid w:val="40A46138"/>
    <w:rsid w:val="40A5072A"/>
    <w:rsid w:val="40A74E7E"/>
    <w:rsid w:val="40C05A8C"/>
    <w:rsid w:val="410F3B13"/>
    <w:rsid w:val="412D6487"/>
    <w:rsid w:val="41534328"/>
    <w:rsid w:val="41554038"/>
    <w:rsid w:val="415D01E4"/>
    <w:rsid w:val="416A4497"/>
    <w:rsid w:val="417575EF"/>
    <w:rsid w:val="41783C38"/>
    <w:rsid w:val="41830273"/>
    <w:rsid w:val="418A4DAA"/>
    <w:rsid w:val="418F2BE9"/>
    <w:rsid w:val="419A1E0B"/>
    <w:rsid w:val="41A21AAC"/>
    <w:rsid w:val="41C17B03"/>
    <w:rsid w:val="41D079EE"/>
    <w:rsid w:val="41DD361F"/>
    <w:rsid w:val="41ED56EC"/>
    <w:rsid w:val="41EE07A5"/>
    <w:rsid w:val="41EF3F9A"/>
    <w:rsid w:val="41F55E7E"/>
    <w:rsid w:val="42047E13"/>
    <w:rsid w:val="420701F4"/>
    <w:rsid w:val="421144A5"/>
    <w:rsid w:val="42182C87"/>
    <w:rsid w:val="421A40E6"/>
    <w:rsid w:val="422300C8"/>
    <w:rsid w:val="422D485B"/>
    <w:rsid w:val="423044E5"/>
    <w:rsid w:val="423833C3"/>
    <w:rsid w:val="423E4537"/>
    <w:rsid w:val="423F7F20"/>
    <w:rsid w:val="42433457"/>
    <w:rsid w:val="424E1CBE"/>
    <w:rsid w:val="426631D1"/>
    <w:rsid w:val="42932BE2"/>
    <w:rsid w:val="42952A74"/>
    <w:rsid w:val="42A45C83"/>
    <w:rsid w:val="42AD574E"/>
    <w:rsid w:val="42E46100"/>
    <w:rsid w:val="42F34E4A"/>
    <w:rsid w:val="430A6CC8"/>
    <w:rsid w:val="430B271A"/>
    <w:rsid w:val="4339240B"/>
    <w:rsid w:val="434155C4"/>
    <w:rsid w:val="43474D87"/>
    <w:rsid w:val="434843C2"/>
    <w:rsid w:val="4350395A"/>
    <w:rsid w:val="43561C68"/>
    <w:rsid w:val="4359031D"/>
    <w:rsid w:val="436E64C0"/>
    <w:rsid w:val="439046B7"/>
    <w:rsid w:val="43B01B78"/>
    <w:rsid w:val="43BF3324"/>
    <w:rsid w:val="43D47E0A"/>
    <w:rsid w:val="43E57D48"/>
    <w:rsid w:val="43F74C9A"/>
    <w:rsid w:val="4413604B"/>
    <w:rsid w:val="4415139F"/>
    <w:rsid w:val="441847B4"/>
    <w:rsid w:val="44246EDE"/>
    <w:rsid w:val="442E218C"/>
    <w:rsid w:val="443064BC"/>
    <w:rsid w:val="446D4322"/>
    <w:rsid w:val="447C539F"/>
    <w:rsid w:val="44867971"/>
    <w:rsid w:val="44927C5E"/>
    <w:rsid w:val="449A64ED"/>
    <w:rsid w:val="449B3C0D"/>
    <w:rsid w:val="44A4613B"/>
    <w:rsid w:val="44A77A04"/>
    <w:rsid w:val="44AC3A9D"/>
    <w:rsid w:val="44BF6E37"/>
    <w:rsid w:val="44CA5D68"/>
    <w:rsid w:val="44D13C68"/>
    <w:rsid w:val="44E62D20"/>
    <w:rsid w:val="44E7747B"/>
    <w:rsid w:val="44FD0534"/>
    <w:rsid w:val="45034DFF"/>
    <w:rsid w:val="45154CD1"/>
    <w:rsid w:val="45164B3D"/>
    <w:rsid w:val="451B4171"/>
    <w:rsid w:val="452344EC"/>
    <w:rsid w:val="45435E76"/>
    <w:rsid w:val="454B0468"/>
    <w:rsid w:val="455542D1"/>
    <w:rsid w:val="45554C7B"/>
    <w:rsid w:val="45577C0D"/>
    <w:rsid w:val="455A36C3"/>
    <w:rsid w:val="45861182"/>
    <w:rsid w:val="458F35A3"/>
    <w:rsid w:val="4593129F"/>
    <w:rsid w:val="45991AA7"/>
    <w:rsid w:val="459F01F7"/>
    <w:rsid w:val="45B40488"/>
    <w:rsid w:val="45BB7571"/>
    <w:rsid w:val="45C30144"/>
    <w:rsid w:val="45C339CE"/>
    <w:rsid w:val="45C80C87"/>
    <w:rsid w:val="45CF27F6"/>
    <w:rsid w:val="45D01FEE"/>
    <w:rsid w:val="45DA7726"/>
    <w:rsid w:val="45E5654F"/>
    <w:rsid w:val="46090EAC"/>
    <w:rsid w:val="461C158D"/>
    <w:rsid w:val="462734E9"/>
    <w:rsid w:val="463050FE"/>
    <w:rsid w:val="46522102"/>
    <w:rsid w:val="465A10CE"/>
    <w:rsid w:val="46670D2C"/>
    <w:rsid w:val="466C643E"/>
    <w:rsid w:val="467C79CE"/>
    <w:rsid w:val="46A94421"/>
    <w:rsid w:val="46B23E74"/>
    <w:rsid w:val="46B73FCF"/>
    <w:rsid w:val="46C25A22"/>
    <w:rsid w:val="46C51CB5"/>
    <w:rsid w:val="46DC083E"/>
    <w:rsid w:val="46DC090F"/>
    <w:rsid w:val="46EC4ED3"/>
    <w:rsid w:val="46F01B25"/>
    <w:rsid w:val="47167D6C"/>
    <w:rsid w:val="47256378"/>
    <w:rsid w:val="47296FB5"/>
    <w:rsid w:val="474D5298"/>
    <w:rsid w:val="474D7948"/>
    <w:rsid w:val="47661AD2"/>
    <w:rsid w:val="476E0506"/>
    <w:rsid w:val="478975DA"/>
    <w:rsid w:val="478E6206"/>
    <w:rsid w:val="47A60D87"/>
    <w:rsid w:val="47AC48C9"/>
    <w:rsid w:val="47AE39FC"/>
    <w:rsid w:val="47BC607F"/>
    <w:rsid w:val="47EE121D"/>
    <w:rsid w:val="47FB762F"/>
    <w:rsid w:val="48055F9F"/>
    <w:rsid w:val="48123E10"/>
    <w:rsid w:val="48170003"/>
    <w:rsid w:val="482F7527"/>
    <w:rsid w:val="48356734"/>
    <w:rsid w:val="484D68DA"/>
    <w:rsid w:val="48540E5A"/>
    <w:rsid w:val="48616569"/>
    <w:rsid w:val="48635888"/>
    <w:rsid w:val="48645B8B"/>
    <w:rsid w:val="487E0BF2"/>
    <w:rsid w:val="48826773"/>
    <w:rsid w:val="488A6780"/>
    <w:rsid w:val="48A21FF5"/>
    <w:rsid w:val="48AA7EF4"/>
    <w:rsid w:val="48BF195A"/>
    <w:rsid w:val="48C51730"/>
    <w:rsid w:val="48FB371D"/>
    <w:rsid w:val="49141EC4"/>
    <w:rsid w:val="49310A81"/>
    <w:rsid w:val="4943415E"/>
    <w:rsid w:val="495E16FE"/>
    <w:rsid w:val="496E7612"/>
    <w:rsid w:val="49714519"/>
    <w:rsid w:val="497F41FA"/>
    <w:rsid w:val="49893217"/>
    <w:rsid w:val="498C4555"/>
    <w:rsid w:val="49981D32"/>
    <w:rsid w:val="49C44113"/>
    <w:rsid w:val="49C720FE"/>
    <w:rsid w:val="49C90743"/>
    <w:rsid w:val="49D47FC6"/>
    <w:rsid w:val="49F60565"/>
    <w:rsid w:val="49FE48A0"/>
    <w:rsid w:val="4A12651A"/>
    <w:rsid w:val="4A146615"/>
    <w:rsid w:val="4A2B5145"/>
    <w:rsid w:val="4A3169B6"/>
    <w:rsid w:val="4A352C04"/>
    <w:rsid w:val="4A35369B"/>
    <w:rsid w:val="4A3F3AEE"/>
    <w:rsid w:val="4A646D81"/>
    <w:rsid w:val="4A653F5A"/>
    <w:rsid w:val="4A663754"/>
    <w:rsid w:val="4A693A8C"/>
    <w:rsid w:val="4A81622C"/>
    <w:rsid w:val="4A9166C9"/>
    <w:rsid w:val="4AF37883"/>
    <w:rsid w:val="4B005D19"/>
    <w:rsid w:val="4B13419F"/>
    <w:rsid w:val="4B210BCB"/>
    <w:rsid w:val="4B375FE2"/>
    <w:rsid w:val="4B396ADB"/>
    <w:rsid w:val="4B6B4E20"/>
    <w:rsid w:val="4B6C48B7"/>
    <w:rsid w:val="4B6C5AB0"/>
    <w:rsid w:val="4BB84132"/>
    <w:rsid w:val="4BC17898"/>
    <w:rsid w:val="4BC31A45"/>
    <w:rsid w:val="4BC825E8"/>
    <w:rsid w:val="4BDA3165"/>
    <w:rsid w:val="4BE831B2"/>
    <w:rsid w:val="4BED0C81"/>
    <w:rsid w:val="4BF3234F"/>
    <w:rsid w:val="4BFA73D7"/>
    <w:rsid w:val="4C0B0563"/>
    <w:rsid w:val="4C0F30E3"/>
    <w:rsid w:val="4C1E2DFA"/>
    <w:rsid w:val="4C1F55C9"/>
    <w:rsid w:val="4C314FA0"/>
    <w:rsid w:val="4C3802E5"/>
    <w:rsid w:val="4C630C52"/>
    <w:rsid w:val="4C6E6F29"/>
    <w:rsid w:val="4C7116D9"/>
    <w:rsid w:val="4C7C699A"/>
    <w:rsid w:val="4C8F74E8"/>
    <w:rsid w:val="4C917FDE"/>
    <w:rsid w:val="4C93536F"/>
    <w:rsid w:val="4CA27533"/>
    <w:rsid w:val="4CAD3BCC"/>
    <w:rsid w:val="4CB20E27"/>
    <w:rsid w:val="4CB2735E"/>
    <w:rsid w:val="4CD52E44"/>
    <w:rsid w:val="4CDA6130"/>
    <w:rsid w:val="4CE7491C"/>
    <w:rsid w:val="4CEA2EA8"/>
    <w:rsid w:val="4CEF51D6"/>
    <w:rsid w:val="4CF11C83"/>
    <w:rsid w:val="4D0F3F2A"/>
    <w:rsid w:val="4D3D3FED"/>
    <w:rsid w:val="4D560EB0"/>
    <w:rsid w:val="4D673A2E"/>
    <w:rsid w:val="4D692AEA"/>
    <w:rsid w:val="4D7339F6"/>
    <w:rsid w:val="4D7A709B"/>
    <w:rsid w:val="4DAC34CF"/>
    <w:rsid w:val="4DC56456"/>
    <w:rsid w:val="4DC61F14"/>
    <w:rsid w:val="4DCD30CB"/>
    <w:rsid w:val="4DCE20EE"/>
    <w:rsid w:val="4E0F2BBF"/>
    <w:rsid w:val="4E10295F"/>
    <w:rsid w:val="4E1534C2"/>
    <w:rsid w:val="4E1E157F"/>
    <w:rsid w:val="4E22012B"/>
    <w:rsid w:val="4E2733A6"/>
    <w:rsid w:val="4E2A600E"/>
    <w:rsid w:val="4E2C4B50"/>
    <w:rsid w:val="4E4D6733"/>
    <w:rsid w:val="4E61714F"/>
    <w:rsid w:val="4E73111E"/>
    <w:rsid w:val="4E824F2D"/>
    <w:rsid w:val="4E870ED7"/>
    <w:rsid w:val="4EA63DAB"/>
    <w:rsid w:val="4EA64FA2"/>
    <w:rsid w:val="4EA9089F"/>
    <w:rsid w:val="4EB9313F"/>
    <w:rsid w:val="4EC778C3"/>
    <w:rsid w:val="4ED56BF4"/>
    <w:rsid w:val="4EE07E74"/>
    <w:rsid w:val="4EE92282"/>
    <w:rsid w:val="4F0315CE"/>
    <w:rsid w:val="4F1F1B13"/>
    <w:rsid w:val="4F1F2482"/>
    <w:rsid w:val="4F361373"/>
    <w:rsid w:val="4F3618DD"/>
    <w:rsid w:val="4F4E6749"/>
    <w:rsid w:val="4F5423F8"/>
    <w:rsid w:val="4F591D88"/>
    <w:rsid w:val="4F5D37FA"/>
    <w:rsid w:val="4F8D4841"/>
    <w:rsid w:val="4F93524E"/>
    <w:rsid w:val="4F9A0ABF"/>
    <w:rsid w:val="4F9B6107"/>
    <w:rsid w:val="4F9D579C"/>
    <w:rsid w:val="4FA06159"/>
    <w:rsid w:val="4FAA71AD"/>
    <w:rsid w:val="4FB102DF"/>
    <w:rsid w:val="4FBF0A7C"/>
    <w:rsid w:val="4FC110F8"/>
    <w:rsid w:val="4FCF7CAA"/>
    <w:rsid w:val="4FD823ED"/>
    <w:rsid w:val="4FE33A76"/>
    <w:rsid w:val="4FE966ED"/>
    <w:rsid w:val="4FEF59AF"/>
    <w:rsid w:val="4FF41A28"/>
    <w:rsid w:val="4FFE4416"/>
    <w:rsid w:val="50004971"/>
    <w:rsid w:val="50044ED5"/>
    <w:rsid w:val="50152D76"/>
    <w:rsid w:val="501A51B0"/>
    <w:rsid w:val="502D102F"/>
    <w:rsid w:val="502F557A"/>
    <w:rsid w:val="503D324C"/>
    <w:rsid w:val="50477A9B"/>
    <w:rsid w:val="50491360"/>
    <w:rsid w:val="505D1C36"/>
    <w:rsid w:val="50673E92"/>
    <w:rsid w:val="506800BC"/>
    <w:rsid w:val="508529A5"/>
    <w:rsid w:val="509068D6"/>
    <w:rsid w:val="509959F7"/>
    <w:rsid w:val="50C728DE"/>
    <w:rsid w:val="50DD307C"/>
    <w:rsid w:val="50E74546"/>
    <w:rsid w:val="50E748C8"/>
    <w:rsid w:val="50EB6CCD"/>
    <w:rsid w:val="50EC719B"/>
    <w:rsid w:val="50F12D83"/>
    <w:rsid w:val="50FC229C"/>
    <w:rsid w:val="510C5B72"/>
    <w:rsid w:val="51196CF7"/>
    <w:rsid w:val="512F18D2"/>
    <w:rsid w:val="5140028E"/>
    <w:rsid w:val="514529D1"/>
    <w:rsid w:val="514C60CA"/>
    <w:rsid w:val="51513A6B"/>
    <w:rsid w:val="51616D49"/>
    <w:rsid w:val="51B50D75"/>
    <w:rsid w:val="51B549C6"/>
    <w:rsid w:val="51BE2042"/>
    <w:rsid w:val="51C45801"/>
    <w:rsid w:val="51EF286E"/>
    <w:rsid w:val="520178B9"/>
    <w:rsid w:val="52225C65"/>
    <w:rsid w:val="52241E0E"/>
    <w:rsid w:val="52390048"/>
    <w:rsid w:val="524A694F"/>
    <w:rsid w:val="52504995"/>
    <w:rsid w:val="52526612"/>
    <w:rsid w:val="52621D71"/>
    <w:rsid w:val="52650DA5"/>
    <w:rsid w:val="528D3703"/>
    <w:rsid w:val="528E7807"/>
    <w:rsid w:val="52AC6A8D"/>
    <w:rsid w:val="52C42138"/>
    <w:rsid w:val="52C5393F"/>
    <w:rsid w:val="52E55793"/>
    <w:rsid w:val="52E849D2"/>
    <w:rsid w:val="52EF7282"/>
    <w:rsid w:val="52F01616"/>
    <w:rsid w:val="52F43702"/>
    <w:rsid w:val="52F71872"/>
    <w:rsid w:val="531C5EA2"/>
    <w:rsid w:val="531D2FF9"/>
    <w:rsid w:val="532417E9"/>
    <w:rsid w:val="53314682"/>
    <w:rsid w:val="533E4B73"/>
    <w:rsid w:val="53430E44"/>
    <w:rsid w:val="53471B05"/>
    <w:rsid w:val="53585959"/>
    <w:rsid w:val="53716B5F"/>
    <w:rsid w:val="53731F06"/>
    <w:rsid w:val="538C3A45"/>
    <w:rsid w:val="538D2AF6"/>
    <w:rsid w:val="53961B45"/>
    <w:rsid w:val="53982B98"/>
    <w:rsid w:val="539A5DEA"/>
    <w:rsid w:val="539B7FE3"/>
    <w:rsid w:val="539C48DF"/>
    <w:rsid w:val="53A35618"/>
    <w:rsid w:val="53C06780"/>
    <w:rsid w:val="53EC1E98"/>
    <w:rsid w:val="53EE055E"/>
    <w:rsid w:val="53F76178"/>
    <w:rsid w:val="53F761E7"/>
    <w:rsid w:val="540607C2"/>
    <w:rsid w:val="540A2F8C"/>
    <w:rsid w:val="540C1395"/>
    <w:rsid w:val="540E2E42"/>
    <w:rsid w:val="54107E76"/>
    <w:rsid w:val="54164996"/>
    <w:rsid w:val="54401FA7"/>
    <w:rsid w:val="545172EE"/>
    <w:rsid w:val="54530266"/>
    <w:rsid w:val="54547D2C"/>
    <w:rsid w:val="546A38C0"/>
    <w:rsid w:val="54915C30"/>
    <w:rsid w:val="549611E5"/>
    <w:rsid w:val="549A2101"/>
    <w:rsid w:val="549C55B4"/>
    <w:rsid w:val="54B1069A"/>
    <w:rsid w:val="54C5550E"/>
    <w:rsid w:val="54FE2D34"/>
    <w:rsid w:val="5513444C"/>
    <w:rsid w:val="551A17A2"/>
    <w:rsid w:val="55257C19"/>
    <w:rsid w:val="55384DCD"/>
    <w:rsid w:val="553B7CA5"/>
    <w:rsid w:val="55486FEF"/>
    <w:rsid w:val="554F6571"/>
    <w:rsid w:val="55677488"/>
    <w:rsid w:val="5569655F"/>
    <w:rsid w:val="556D3B10"/>
    <w:rsid w:val="557403A3"/>
    <w:rsid w:val="5579082E"/>
    <w:rsid w:val="55847B19"/>
    <w:rsid w:val="559F4AF9"/>
    <w:rsid w:val="55AC345B"/>
    <w:rsid w:val="55BC6E89"/>
    <w:rsid w:val="55BF1743"/>
    <w:rsid w:val="55D42CF9"/>
    <w:rsid w:val="55DC05F9"/>
    <w:rsid w:val="55E81267"/>
    <w:rsid w:val="55EE7A25"/>
    <w:rsid w:val="55EF107A"/>
    <w:rsid w:val="56053352"/>
    <w:rsid w:val="56092170"/>
    <w:rsid w:val="56181737"/>
    <w:rsid w:val="561D3DCF"/>
    <w:rsid w:val="56280FF3"/>
    <w:rsid w:val="56324DD3"/>
    <w:rsid w:val="56391973"/>
    <w:rsid w:val="563E3AE5"/>
    <w:rsid w:val="56547667"/>
    <w:rsid w:val="565503AB"/>
    <w:rsid w:val="56645175"/>
    <w:rsid w:val="566D6523"/>
    <w:rsid w:val="56703DA5"/>
    <w:rsid w:val="5672711D"/>
    <w:rsid w:val="56736459"/>
    <w:rsid w:val="569B547B"/>
    <w:rsid w:val="56BB5917"/>
    <w:rsid w:val="56BD3CE1"/>
    <w:rsid w:val="56C059F9"/>
    <w:rsid w:val="56C52B9C"/>
    <w:rsid w:val="56C72865"/>
    <w:rsid w:val="56C84945"/>
    <w:rsid w:val="56D47974"/>
    <w:rsid w:val="56D8255E"/>
    <w:rsid w:val="56DE29DC"/>
    <w:rsid w:val="56E743F0"/>
    <w:rsid w:val="56F74FB7"/>
    <w:rsid w:val="56FE3D15"/>
    <w:rsid w:val="57086286"/>
    <w:rsid w:val="571451AD"/>
    <w:rsid w:val="57662673"/>
    <w:rsid w:val="576E2144"/>
    <w:rsid w:val="57703DEC"/>
    <w:rsid w:val="57B84BC4"/>
    <w:rsid w:val="57D14131"/>
    <w:rsid w:val="57D52DCD"/>
    <w:rsid w:val="57DB1EF0"/>
    <w:rsid w:val="57DE6034"/>
    <w:rsid w:val="57E305F0"/>
    <w:rsid w:val="57F0746D"/>
    <w:rsid w:val="57F93111"/>
    <w:rsid w:val="58003544"/>
    <w:rsid w:val="58082DCF"/>
    <w:rsid w:val="580A4AB4"/>
    <w:rsid w:val="581D5920"/>
    <w:rsid w:val="58247293"/>
    <w:rsid w:val="583C433B"/>
    <w:rsid w:val="58445ED1"/>
    <w:rsid w:val="58530719"/>
    <w:rsid w:val="5853753D"/>
    <w:rsid w:val="58570EDB"/>
    <w:rsid w:val="586855C6"/>
    <w:rsid w:val="587160AD"/>
    <w:rsid w:val="58731013"/>
    <w:rsid w:val="588F0439"/>
    <w:rsid w:val="589818DC"/>
    <w:rsid w:val="58B606AC"/>
    <w:rsid w:val="58BA2BC1"/>
    <w:rsid w:val="58CB3D64"/>
    <w:rsid w:val="58D91C9D"/>
    <w:rsid w:val="58F70160"/>
    <w:rsid w:val="58F70A3E"/>
    <w:rsid w:val="58FE5152"/>
    <w:rsid w:val="590329C5"/>
    <w:rsid w:val="590E0244"/>
    <w:rsid w:val="590E34A1"/>
    <w:rsid w:val="59173A21"/>
    <w:rsid w:val="592D7B3A"/>
    <w:rsid w:val="5941337F"/>
    <w:rsid w:val="594C1EFA"/>
    <w:rsid w:val="594E41CB"/>
    <w:rsid w:val="5953408D"/>
    <w:rsid w:val="595A1109"/>
    <w:rsid w:val="59820D3E"/>
    <w:rsid w:val="59871A08"/>
    <w:rsid w:val="59883C2B"/>
    <w:rsid w:val="598F2E82"/>
    <w:rsid w:val="5994546B"/>
    <w:rsid w:val="599C645B"/>
    <w:rsid w:val="59A70B2A"/>
    <w:rsid w:val="59A80F6E"/>
    <w:rsid w:val="59A8184F"/>
    <w:rsid w:val="59A94F83"/>
    <w:rsid w:val="59C66E75"/>
    <w:rsid w:val="59D9192E"/>
    <w:rsid w:val="59DA1DC8"/>
    <w:rsid w:val="59DC0A66"/>
    <w:rsid w:val="59E01CDD"/>
    <w:rsid w:val="59F46083"/>
    <w:rsid w:val="5A071F32"/>
    <w:rsid w:val="5A1430D5"/>
    <w:rsid w:val="5A2300B3"/>
    <w:rsid w:val="5A393DAE"/>
    <w:rsid w:val="5A3A4E8A"/>
    <w:rsid w:val="5A407747"/>
    <w:rsid w:val="5A4C3A99"/>
    <w:rsid w:val="5A53545A"/>
    <w:rsid w:val="5A627F21"/>
    <w:rsid w:val="5A7061C9"/>
    <w:rsid w:val="5A7C3E7A"/>
    <w:rsid w:val="5A7E0955"/>
    <w:rsid w:val="5A7E1BE9"/>
    <w:rsid w:val="5A831608"/>
    <w:rsid w:val="5A9166AF"/>
    <w:rsid w:val="5A940C73"/>
    <w:rsid w:val="5A9C6D9A"/>
    <w:rsid w:val="5AA12695"/>
    <w:rsid w:val="5AA26616"/>
    <w:rsid w:val="5AC17D9D"/>
    <w:rsid w:val="5ADA7BF1"/>
    <w:rsid w:val="5AE65413"/>
    <w:rsid w:val="5B064EB4"/>
    <w:rsid w:val="5B114678"/>
    <w:rsid w:val="5B232C98"/>
    <w:rsid w:val="5B4D1499"/>
    <w:rsid w:val="5B5B7BCD"/>
    <w:rsid w:val="5B5C0767"/>
    <w:rsid w:val="5B610018"/>
    <w:rsid w:val="5B821E6B"/>
    <w:rsid w:val="5B8F5C14"/>
    <w:rsid w:val="5B9F1D89"/>
    <w:rsid w:val="5BC571E4"/>
    <w:rsid w:val="5BDA20C6"/>
    <w:rsid w:val="5BFA4A23"/>
    <w:rsid w:val="5C3515C6"/>
    <w:rsid w:val="5C362E00"/>
    <w:rsid w:val="5C651A06"/>
    <w:rsid w:val="5C7612B5"/>
    <w:rsid w:val="5C791A51"/>
    <w:rsid w:val="5C8E2C30"/>
    <w:rsid w:val="5C907A4A"/>
    <w:rsid w:val="5CB93953"/>
    <w:rsid w:val="5CBF1F0D"/>
    <w:rsid w:val="5CC52632"/>
    <w:rsid w:val="5CC8097F"/>
    <w:rsid w:val="5CD23F87"/>
    <w:rsid w:val="5CDA1C0C"/>
    <w:rsid w:val="5CDC6150"/>
    <w:rsid w:val="5CDE4DCF"/>
    <w:rsid w:val="5CE26038"/>
    <w:rsid w:val="5CED304D"/>
    <w:rsid w:val="5CFD0270"/>
    <w:rsid w:val="5CFD10A5"/>
    <w:rsid w:val="5D253404"/>
    <w:rsid w:val="5D2821E3"/>
    <w:rsid w:val="5D2D30CE"/>
    <w:rsid w:val="5D345D0D"/>
    <w:rsid w:val="5D494615"/>
    <w:rsid w:val="5D4C76B1"/>
    <w:rsid w:val="5D515DEC"/>
    <w:rsid w:val="5D54483B"/>
    <w:rsid w:val="5D586CCE"/>
    <w:rsid w:val="5D5D203C"/>
    <w:rsid w:val="5D854123"/>
    <w:rsid w:val="5D9332F2"/>
    <w:rsid w:val="5D960D16"/>
    <w:rsid w:val="5D9619C8"/>
    <w:rsid w:val="5D991D71"/>
    <w:rsid w:val="5DAA7D82"/>
    <w:rsid w:val="5DB33D12"/>
    <w:rsid w:val="5DB43567"/>
    <w:rsid w:val="5DC6178E"/>
    <w:rsid w:val="5DCD55B8"/>
    <w:rsid w:val="5DD951A6"/>
    <w:rsid w:val="5DEB6DB0"/>
    <w:rsid w:val="5E0A36B8"/>
    <w:rsid w:val="5E0E0DB2"/>
    <w:rsid w:val="5E1D3B24"/>
    <w:rsid w:val="5E29499C"/>
    <w:rsid w:val="5E452C52"/>
    <w:rsid w:val="5E5C1236"/>
    <w:rsid w:val="5E5D6E8E"/>
    <w:rsid w:val="5E710F80"/>
    <w:rsid w:val="5E742BFD"/>
    <w:rsid w:val="5E956D01"/>
    <w:rsid w:val="5E9B4567"/>
    <w:rsid w:val="5EA057B5"/>
    <w:rsid w:val="5EC7703F"/>
    <w:rsid w:val="5EE322E0"/>
    <w:rsid w:val="5EF21D24"/>
    <w:rsid w:val="5EFC388A"/>
    <w:rsid w:val="5F12473C"/>
    <w:rsid w:val="5F1F6668"/>
    <w:rsid w:val="5F2C6785"/>
    <w:rsid w:val="5F2D091F"/>
    <w:rsid w:val="5F337BAC"/>
    <w:rsid w:val="5F3B641B"/>
    <w:rsid w:val="5F7016D5"/>
    <w:rsid w:val="5F8B25C0"/>
    <w:rsid w:val="5F973E00"/>
    <w:rsid w:val="5FB478E1"/>
    <w:rsid w:val="5FB67C35"/>
    <w:rsid w:val="5FD409B3"/>
    <w:rsid w:val="5FFB0C90"/>
    <w:rsid w:val="602173AC"/>
    <w:rsid w:val="60255E84"/>
    <w:rsid w:val="602854EC"/>
    <w:rsid w:val="602D3F51"/>
    <w:rsid w:val="6037132F"/>
    <w:rsid w:val="603C068A"/>
    <w:rsid w:val="604218A2"/>
    <w:rsid w:val="60427E08"/>
    <w:rsid w:val="604436EF"/>
    <w:rsid w:val="60527949"/>
    <w:rsid w:val="60807E63"/>
    <w:rsid w:val="6088150E"/>
    <w:rsid w:val="60B90D03"/>
    <w:rsid w:val="60E12427"/>
    <w:rsid w:val="60E51CE1"/>
    <w:rsid w:val="60F85412"/>
    <w:rsid w:val="610743C6"/>
    <w:rsid w:val="611A1F85"/>
    <w:rsid w:val="611C3371"/>
    <w:rsid w:val="612044CD"/>
    <w:rsid w:val="61221E52"/>
    <w:rsid w:val="612E203B"/>
    <w:rsid w:val="613F751A"/>
    <w:rsid w:val="615C5518"/>
    <w:rsid w:val="617444D1"/>
    <w:rsid w:val="61796817"/>
    <w:rsid w:val="617A66E1"/>
    <w:rsid w:val="61802130"/>
    <w:rsid w:val="61AE024D"/>
    <w:rsid w:val="61BF1105"/>
    <w:rsid w:val="61D0141A"/>
    <w:rsid w:val="61E5570B"/>
    <w:rsid w:val="61E65AA2"/>
    <w:rsid w:val="61FF3471"/>
    <w:rsid w:val="6215013F"/>
    <w:rsid w:val="622906F9"/>
    <w:rsid w:val="6237404F"/>
    <w:rsid w:val="623E1C0E"/>
    <w:rsid w:val="62460A3C"/>
    <w:rsid w:val="624C3AF2"/>
    <w:rsid w:val="626F24B3"/>
    <w:rsid w:val="629B2DCD"/>
    <w:rsid w:val="62B473A8"/>
    <w:rsid w:val="62D1452C"/>
    <w:rsid w:val="630C6E1C"/>
    <w:rsid w:val="631C27FA"/>
    <w:rsid w:val="63217004"/>
    <w:rsid w:val="63316B81"/>
    <w:rsid w:val="63370C43"/>
    <w:rsid w:val="633D0659"/>
    <w:rsid w:val="63403708"/>
    <w:rsid w:val="63407839"/>
    <w:rsid w:val="634F2B1A"/>
    <w:rsid w:val="634F7207"/>
    <w:rsid w:val="637201E4"/>
    <w:rsid w:val="63776C9E"/>
    <w:rsid w:val="637C112D"/>
    <w:rsid w:val="63A4691B"/>
    <w:rsid w:val="63BF2BE8"/>
    <w:rsid w:val="63C60ECD"/>
    <w:rsid w:val="63F73571"/>
    <w:rsid w:val="63F83FAD"/>
    <w:rsid w:val="63FA510E"/>
    <w:rsid w:val="6403041B"/>
    <w:rsid w:val="640E5868"/>
    <w:rsid w:val="641C4294"/>
    <w:rsid w:val="64202D08"/>
    <w:rsid w:val="64292685"/>
    <w:rsid w:val="643975E6"/>
    <w:rsid w:val="646C2BDA"/>
    <w:rsid w:val="64807BCD"/>
    <w:rsid w:val="64811A20"/>
    <w:rsid w:val="648E09DF"/>
    <w:rsid w:val="64A35023"/>
    <w:rsid w:val="64CC093C"/>
    <w:rsid w:val="64D01D1B"/>
    <w:rsid w:val="64D21D47"/>
    <w:rsid w:val="64D71828"/>
    <w:rsid w:val="64E660BF"/>
    <w:rsid w:val="64FE32E2"/>
    <w:rsid w:val="65024622"/>
    <w:rsid w:val="652F630E"/>
    <w:rsid w:val="653513C3"/>
    <w:rsid w:val="6539439F"/>
    <w:rsid w:val="65401E6B"/>
    <w:rsid w:val="65412626"/>
    <w:rsid w:val="65627ABD"/>
    <w:rsid w:val="6577131F"/>
    <w:rsid w:val="6578555E"/>
    <w:rsid w:val="657B13B9"/>
    <w:rsid w:val="657F269F"/>
    <w:rsid w:val="658F20AF"/>
    <w:rsid w:val="659E755E"/>
    <w:rsid w:val="65A56879"/>
    <w:rsid w:val="65B948F4"/>
    <w:rsid w:val="65C8515A"/>
    <w:rsid w:val="65F049E4"/>
    <w:rsid w:val="65FA421D"/>
    <w:rsid w:val="65FA65EA"/>
    <w:rsid w:val="65FC2652"/>
    <w:rsid w:val="66045B33"/>
    <w:rsid w:val="661624FC"/>
    <w:rsid w:val="66394452"/>
    <w:rsid w:val="665B495A"/>
    <w:rsid w:val="66691493"/>
    <w:rsid w:val="666F225F"/>
    <w:rsid w:val="66767BAF"/>
    <w:rsid w:val="66827520"/>
    <w:rsid w:val="66841003"/>
    <w:rsid w:val="668A66E7"/>
    <w:rsid w:val="668D3D4A"/>
    <w:rsid w:val="669071DC"/>
    <w:rsid w:val="66CA59FA"/>
    <w:rsid w:val="66D055AE"/>
    <w:rsid w:val="66D733F1"/>
    <w:rsid w:val="66F31DDE"/>
    <w:rsid w:val="66FA4346"/>
    <w:rsid w:val="6711389E"/>
    <w:rsid w:val="672201CF"/>
    <w:rsid w:val="6724451D"/>
    <w:rsid w:val="67306C91"/>
    <w:rsid w:val="6756048E"/>
    <w:rsid w:val="67732D2E"/>
    <w:rsid w:val="6774573F"/>
    <w:rsid w:val="677A4223"/>
    <w:rsid w:val="679077A3"/>
    <w:rsid w:val="67C664C4"/>
    <w:rsid w:val="67C813BB"/>
    <w:rsid w:val="67D135F8"/>
    <w:rsid w:val="67D548DA"/>
    <w:rsid w:val="67DB1C5F"/>
    <w:rsid w:val="67E06824"/>
    <w:rsid w:val="67E34F22"/>
    <w:rsid w:val="67E45EEA"/>
    <w:rsid w:val="67F83642"/>
    <w:rsid w:val="67F95622"/>
    <w:rsid w:val="680F776D"/>
    <w:rsid w:val="681B766E"/>
    <w:rsid w:val="68393A1A"/>
    <w:rsid w:val="68476478"/>
    <w:rsid w:val="6851521F"/>
    <w:rsid w:val="68692692"/>
    <w:rsid w:val="68735787"/>
    <w:rsid w:val="687F6807"/>
    <w:rsid w:val="68850EB8"/>
    <w:rsid w:val="68863D8F"/>
    <w:rsid w:val="689F567A"/>
    <w:rsid w:val="68B56067"/>
    <w:rsid w:val="68BF2322"/>
    <w:rsid w:val="68D23D27"/>
    <w:rsid w:val="68D94A6A"/>
    <w:rsid w:val="68E55AD4"/>
    <w:rsid w:val="68E608A7"/>
    <w:rsid w:val="68E82A9A"/>
    <w:rsid w:val="68EE3186"/>
    <w:rsid w:val="68FA65CC"/>
    <w:rsid w:val="69013D54"/>
    <w:rsid w:val="6904186B"/>
    <w:rsid w:val="690E31C7"/>
    <w:rsid w:val="6910352C"/>
    <w:rsid w:val="69143FF6"/>
    <w:rsid w:val="69300E80"/>
    <w:rsid w:val="693D4B4C"/>
    <w:rsid w:val="69492A86"/>
    <w:rsid w:val="69606E90"/>
    <w:rsid w:val="69614FBD"/>
    <w:rsid w:val="697914E0"/>
    <w:rsid w:val="697F61A1"/>
    <w:rsid w:val="6985397E"/>
    <w:rsid w:val="69920364"/>
    <w:rsid w:val="699F45A7"/>
    <w:rsid w:val="699F4B0A"/>
    <w:rsid w:val="69A31C1F"/>
    <w:rsid w:val="69B643CC"/>
    <w:rsid w:val="69CB0D7E"/>
    <w:rsid w:val="69E463B1"/>
    <w:rsid w:val="69F36013"/>
    <w:rsid w:val="6A01017B"/>
    <w:rsid w:val="6A06185A"/>
    <w:rsid w:val="6A233DED"/>
    <w:rsid w:val="6A3445A9"/>
    <w:rsid w:val="6A37739D"/>
    <w:rsid w:val="6A4E06C7"/>
    <w:rsid w:val="6A5C5E97"/>
    <w:rsid w:val="6A620452"/>
    <w:rsid w:val="6A7700CD"/>
    <w:rsid w:val="6A801043"/>
    <w:rsid w:val="6A8D10CB"/>
    <w:rsid w:val="6AA72CDF"/>
    <w:rsid w:val="6AAF071B"/>
    <w:rsid w:val="6ACB3376"/>
    <w:rsid w:val="6AD248FE"/>
    <w:rsid w:val="6ADD5F4B"/>
    <w:rsid w:val="6AE30F36"/>
    <w:rsid w:val="6AEB039C"/>
    <w:rsid w:val="6AF006B5"/>
    <w:rsid w:val="6AF27C1E"/>
    <w:rsid w:val="6AF966D1"/>
    <w:rsid w:val="6AFE0B35"/>
    <w:rsid w:val="6AFE52BC"/>
    <w:rsid w:val="6B0E627D"/>
    <w:rsid w:val="6B0F3973"/>
    <w:rsid w:val="6B1037CB"/>
    <w:rsid w:val="6B20221E"/>
    <w:rsid w:val="6B226DE5"/>
    <w:rsid w:val="6B350DAD"/>
    <w:rsid w:val="6B364C52"/>
    <w:rsid w:val="6B3F44BF"/>
    <w:rsid w:val="6B4A79BA"/>
    <w:rsid w:val="6B602DA2"/>
    <w:rsid w:val="6B6201CC"/>
    <w:rsid w:val="6B6C47C9"/>
    <w:rsid w:val="6B980A39"/>
    <w:rsid w:val="6BBD7CAA"/>
    <w:rsid w:val="6BC33BEA"/>
    <w:rsid w:val="6BC420BF"/>
    <w:rsid w:val="6BDD3DD7"/>
    <w:rsid w:val="6BE74EAF"/>
    <w:rsid w:val="6BEB3B45"/>
    <w:rsid w:val="6BF5209C"/>
    <w:rsid w:val="6BFE7F82"/>
    <w:rsid w:val="6C063D94"/>
    <w:rsid w:val="6C071269"/>
    <w:rsid w:val="6C152604"/>
    <w:rsid w:val="6C160A81"/>
    <w:rsid w:val="6C193DFF"/>
    <w:rsid w:val="6C2864DD"/>
    <w:rsid w:val="6C2F3F1C"/>
    <w:rsid w:val="6C3D243F"/>
    <w:rsid w:val="6C3D5A68"/>
    <w:rsid w:val="6C416D2F"/>
    <w:rsid w:val="6C690EBF"/>
    <w:rsid w:val="6C7224BA"/>
    <w:rsid w:val="6CA070AF"/>
    <w:rsid w:val="6CAB3368"/>
    <w:rsid w:val="6CB12E07"/>
    <w:rsid w:val="6CB530EE"/>
    <w:rsid w:val="6CC629CF"/>
    <w:rsid w:val="6CD05FA5"/>
    <w:rsid w:val="6CDB2108"/>
    <w:rsid w:val="6CFD1D58"/>
    <w:rsid w:val="6D0351C8"/>
    <w:rsid w:val="6D2F79C7"/>
    <w:rsid w:val="6D324D8D"/>
    <w:rsid w:val="6D365490"/>
    <w:rsid w:val="6D3A640D"/>
    <w:rsid w:val="6D3C1887"/>
    <w:rsid w:val="6D3C6778"/>
    <w:rsid w:val="6D6F49B2"/>
    <w:rsid w:val="6D753866"/>
    <w:rsid w:val="6D7936CA"/>
    <w:rsid w:val="6DA52226"/>
    <w:rsid w:val="6DC16F02"/>
    <w:rsid w:val="6DC44C61"/>
    <w:rsid w:val="6DCB38B7"/>
    <w:rsid w:val="6DCD7B00"/>
    <w:rsid w:val="6DE44275"/>
    <w:rsid w:val="6DF11EDD"/>
    <w:rsid w:val="6DFB6208"/>
    <w:rsid w:val="6E1A75D7"/>
    <w:rsid w:val="6E204E4B"/>
    <w:rsid w:val="6E224946"/>
    <w:rsid w:val="6E3673ED"/>
    <w:rsid w:val="6E40236F"/>
    <w:rsid w:val="6E444F6A"/>
    <w:rsid w:val="6E4C1D00"/>
    <w:rsid w:val="6E543489"/>
    <w:rsid w:val="6E5960AD"/>
    <w:rsid w:val="6E657393"/>
    <w:rsid w:val="6E6640AE"/>
    <w:rsid w:val="6E803BD1"/>
    <w:rsid w:val="6E880068"/>
    <w:rsid w:val="6E95383D"/>
    <w:rsid w:val="6EA45267"/>
    <w:rsid w:val="6EB355D6"/>
    <w:rsid w:val="6EC47EB4"/>
    <w:rsid w:val="6ED054FB"/>
    <w:rsid w:val="6ED56CED"/>
    <w:rsid w:val="6EDA25C3"/>
    <w:rsid w:val="6EE45A1F"/>
    <w:rsid w:val="6EF846E6"/>
    <w:rsid w:val="6F0121F2"/>
    <w:rsid w:val="6F032A16"/>
    <w:rsid w:val="6F0D4F4D"/>
    <w:rsid w:val="6F162032"/>
    <w:rsid w:val="6F190196"/>
    <w:rsid w:val="6F344B41"/>
    <w:rsid w:val="6F5552AE"/>
    <w:rsid w:val="6F6303CB"/>
    <w:rsid w:val="6F647F5F"/>
    <w:rsid w:val="6F7C652B"/>
    <w:rsid w:val="6F9B0817"/>
    <w:rsid w:val="6FAC1A03"/>
    <w:rsid w:val="6FB364A7"/>
    <w:rsid w:val="6FBE32CD"/>
    <w:rsid w:val="6FC245BF"/>
    <w:rsid w:val="6FCA1C18"/>
    <w:rsid w:val="6FD351FB"/>
    <w:rsid w:val="6FE31611"/>
    <w:rsid w:val="6FEA1448"/>
    <w:rsid w:val="6FEA1C15"/>
    <w:rsid w:val="6FEA6AD5"/>
    <w:rsid w:val="701674BC"/>
    <w:rsid w:val="70441F7F"/>
    <w:rsid w:val="70445B1E"/>
    <w:rsid w:val="704B7998"/>
    <w:rsid w:val="7054385B"/>
    <w:rsid w:val="706758D3"/>
    <w:rsid w:val="706761AE"/>
    <w:rsid w:val="706A2337"/>
    <w:rsid w:val="70735396"/>
    <w:rsid w:val="709D6B6B"/>
    <w:rsid w:val="70A67E19"/>
    <w:rsid w:val="70A75F7B"/>
    <w:rsid w:val="70B662E4"/>
    <w:rsid w:val="70BB7D26"/>
    <w:rsid w:val="70DA3F76"/>
    <w:rsid w:val="70F606ED"/>
    <w:rsid w:val="70F765BE"/>
    <w:rsid w:val="7115034B"/>
    <w:rsid w:val="711A24B3"/>
    <w:rsid w:val="711A3B11"/>
    <w:rsid w:val="711D7E08"/>
    <w:rsid w:val="71311F9A"/>
    <w:rsid w:val="71331B3E"/>
    <w:rsid w:val="7135166A"/>
    <w:rsid w:val="71460D9C"/>
    <w:rsid w:val="71466C1A"/>
    <w:rsid w:val="714870A4"/>
    <w:rsid w:val="714E3DC3"/>
    <w:rsid w:val="715A4BB1"/>
    <w:rsid w:val="71641812"/>
    <w:rsid w:val="71687F97"/>
    <w:rsid w:val="71AC5116"/>
    <w:rsid w:val="71B3079D"/>
    <w:rsid w:val="71B92122"/>
    <w:rsid w:val="71DD7A82"/>
    <w:rsid w:val="71E67346"/>
    <w:rsid w:val="720E6952"/>
    <w:rsid w:val="72171FFA"/>
    <w:rsid w:val="721C40FD"/>
    <w:rsid w:val="723046F3"/>
    <w:rsid w:val="72353955"/>
    <w:rsid w:val="723601CA"/>
    <w:rsid w:val="72471415"/>
    <w:rsid w:val="724737A9"/>
    <w:rsid w:val="724958C6"/>
    <w:rsid w:val="725C684E"/>
    <w:rsid w:val="72740B13"/>
    <w:rsid w:val="72967A5B"/>
    <w:rsid w:val="729E3518"/>
    <w:rsid w:val="72A0051E"/>
    <w:rsid w:val="72A025B9"/>
    <w:rsid w:val="72B54AD9"/>
    <w:rsid w:val="72B94E88"/>
    <w:rsid w:val="72CB7EF6"/>
    <w:rsid w:val="72DC0293"/>
    <w:rsid w:val="72FE4DF2"/>
    <w:rsid w:val="731C002F"/>
    <w:rsid w:val="73237771"/>
    <w:rsid w:val="733B3412"/>
    <w:rsid w:val="733C1990"/>
    <w:rsid w:val="7367291E"/>
    <w:rsid w:val="738F005C"/>
    <w:rsid w:val="73916489"/>
    <w:rsid w:val="73932111"/>
    <w:rsid w:val="739D5C4B"/>
    <w:rsid w:val="73AA0C0D"/>
    <w:rsid w:val="73B91448"/>
    <w:rsid w:val="73CB4948"/>
    <w:rsid w:val="73D322A4"/>
    <w:rsid w:val="73DB57D7"/>
    <w:rsid w:val="73E22C64"/>
    <w:rsid w:val="74135864"/>
    <w:rsid w:val="74185E95"/>
    <w:rsid w:val="74193078"/>
    <w:rsid w:val="74197FA1"/>
    <w:rsid w:val="741C7E89"/>
    <w:rsid w:val="7422017D"/>
    <w:rsid w:val="742B0C4A"/>
    <w:rsid w:val="742D158C"/>
    <w:rsid w:val="742D20F2"/>
    <w:rsid w:val="742D3D0E"/>
    <w:rsid w:val="7437583E"/>
    <w:rsid w:val="743A10BB"/>
    <w:rsid w:val="743E14A7"/>
    <w:rsid w:val="74622721"/>
    <w:rsid w:val="74645513"/>
    <w:rsid w:val="748637B3"/>
    <w:rsid w:val="74953585"/>
    <w:rsid w:val="74975EA3"/>
    <w:rsid w:val="749F35C8"/>
    <w:rsid w:val="74A244B3"/>
    <w:rsid w:val="74B25F82"/>
    <w:rsid w:val="74E42996"/>
    <w:rsid w:val="74E4546F"/>
    <w:rsid w:val="74EB0D02"/>
    <w:rsid w:val="74F83193"/>
    <w:rsid w:val="74FE7DBB"/>
    <w:rsid w:val="750A4EFD"/>
    <w:rsid w:val="75114BD0"/>
    <w:rsid w:val="755C5C5C"/>
    <w:rsid w:val="758C65F8"/>
    <w:rsid w:val="75905D7E"/>
    <w:rsid w:val="75966B2C"/>
    <w:rsid w:val="759748A4"/>
    <w:rsid w:val="75B6466E"/>
    <w:rsid w:val="75C076C7"/>
    <w:rsid w:val="75C1515E"/>
    <w:rsid w:val="75CC0477"/>
    <w:rsid w:val="75DE2293"/>
    <w:rsid w:val="75DF5844"/>
    <w:rsid w:val="75E25629"/>
    <w:rsid w:val="75E30DA8"/>
    <w:rsid w:val="75F17095"/>
    <w:rsid w:val="760C05B3"/>
    <w:rsid w:val="76171E54"/>
    <w:rsid w:val="7618106E"/>
    <w:rsid w:val="76240E89"/>
    <w:rsid w:val="76317479"/>
    <w:rsid w:val="764B0112"/>
    <w:rsid w:val="76572607"/>
    <w:rsid w:val="767D7EF9"/>
    <w:rsid w:val="76842ADE"/>
    <w:rsid w:val="7688421D"/>
    <w:rsid w:val="76916ED8"/>
    <w:rsid w:val="7692007D"/>
    <w:rsid w:val="76A264B7"/>
    <w:rsid w:val="76B30349"/>
    <w:rsid w:val="76BF011B"/>
    <w:rsid w:val="76E721B2"/>
    <w:rsid w:val="76EC1289"/>
    <w:rsid w:val="76ED401E"/>
    <w:rsid w:val="76F92380"/>
    <w:rsid w:val="77275223"/>
    <w:rsid w:val="7741241C"/>
    <w:rsid w:val="77430F06"/>
    <w:rsid w:val="775435E8"/>
    <w:rsid w:val="77555F35"/>
    <w:rsid w:val="77621D20"/>
    <w:rsid w:val="777E330E"/>
    <w:rsid w:val="778153B7"/>
    <w:rsid w:val="77AC0285"/>
    <w:rsid w:val="77CA4FA0"/>
    <w:rsid w:val="77E911E1"/>
    <w:rsid w:val="77FA021D"/>
    <w:rsid w:val="77FD43D3"/>
    <w:rsid w:val="780D0645"/>
    <w:rsid w:val="78104347"/>
    <w:rsid w:val="78125BB2"/>
    <w:rsid w:val="781A6D24"/>
    <w:rsid w:val="783B4FF5"/>
    <w:rsid w:val="78430ADD"/>
    <w:rsid w:val="78492576"/>
    <w:rsid w:val="78535BE0"/>
    <w:rsid w:val="78655E71"/>
    <w:rsid w:val="78674ABD"/>
    <w:rsid w:val="7874016B"/>
    <w:rsid w:val="78774FF8"/>
    <w:rsid w:val="7886428E"/>
    <w:rsid w:val="78865E56"/>
    <w:rsid w:val="78914382"/>
    <w:rsid w:val="7897209D"/>
    <w:rsid w:val="789E1BA3"/>
    <w:rsid w:val="78CA1866"/>
    <w:rsid w:val="78CF4989"/>
    <w:rsid w:val="78D9416C"/>
    <w:rsid w:val="78E73512"/>
    <w:rsid w:val="78F94C8E"/>
    <w:rsid w:val="79186645"/>
    <w:rsid w:val="79553CF5"/>
    <w:rsid w:val="79796D64"/>
    <w:rsid w:val="798146CC"/>
    <w:rsid w:val="799A0E50"/>
    <w:rsid w:val="799E2CCC"/>
    <w:rsid w:val="79A74EFA"/>
    <w:rsid w:val="79AB6452"/>
    <w:rsid w:val="79BB40DC"/>
    <w:rsid w:val="79E05D35"/>
    <w:rsid w:val="79E60553"/>
    <w:rsid w:val="79F35664"/>
    <w:rsid w:val="79FF25CF"/>
    <w:rsid w:val="7A2B1B0D"/>
    <w:rsid w:val="7A2E4F78"/>
    <w:rsid w:val="7A340A04"/>
    <w:rsid w:val="7A46629C"/>
    <w:rsid w:val="7A4A12E1"/>
    <w:rsid w:val="7A4B50DD"/>
    <w:rsid w:val="7A711947"/>
    <w:rsid w:val="7A73036E"/>
    <w:rsid w:val="7A860922"/>
    <w:rsid w:val="7A9450F4"/>
    <w:rsid w:val="7A957091"/>
    <w:rsid w:val="7AA2719E"/>
    <w:rsid w:val="7AA5393E"/>
    <w:rsid w:val="7AB07FE4"/>
    <w:rsid w:val="7ABA67BF"/>
    <w:rsid w:val="7AC44376"/>
    <w:rsid w:val="7ACB69D2"/>
    <w:rsid w:val="7ADC3BD9"/>
    <w:rsid w:val="7AE02A76"/>
    <w:rsid w:val="7AE30846"/>
    <w:rsid w:val="7AE531F3"/>
    <w:rsid w:val="7AE9026E"/>
    <w:rsid w:val="7B03682B"/>
    <w:rsid w:val="7B2C2222"/>
    <w:rsid w:val="7B413C93"/>
    <w:rsid w:val="7B566D8C"/>
    <w:rsid w:val="7B6A41D6"/>
    <w:rsid w:val="7B7B1B14"/>
    <w:rsid w:val="7B913F7F"/>
    <w:rsid w:val="7B981EDE"/>
    <w:rsid w:val="7B9A669E"/>
    <w:rsid w:val="7BA471B4"/>
    <w:rsid w:val="7BA74FFE"/>
    <w:rsid w:val="7BB40F0C"/>
    <w:rsid w:val="7BBD4EE5"/>
    <w:rsid w:val="7BC57B79"/>
    <w:rsid w:val="7BC73A48"/>
    <w:rsid w:val="7BCF244C"/>
    <w:rsid w:val="7BDC04C2"/>
    <w:rsid w:val="7BDE4339"/>
    <w:rsid w:val="7BE42265"/>
    <w:rsid w:val="7BF665E2"/>
    <w:rsid w:val="7BF90634"/>
    <w:rsid w:val="7C000C1A"/>
    <w:rsid w:val="7C050CB7"/>
    <w:rsid w:val="7C233F1A"/>
    <w:rsid w:val="7C292119"/>
    <w:rsid w:val="7C295167"/>
    <w:rsid w:val="7C3171BA"/>
    <w:rsid w:val="7C350B76"/>
    <w:rsid w:val="7C3F161D"/>
    <w:rsid w:val="7C4F6312"/>
    <w:rsid w:val="7C545DF0"/>
    <w:rsid w:val="7C6900ED"/>
    <w:rsid w:val="7C6B094E"/>
    <w:rsid w:val="7C7A329A"/>
    <w:rsid w:val="7C882B65"/>
    <w:rsid w:val="7C9A7428"/>
    <w:rsid w:val="7CA079E2"/>
    <w:rsid w:val="7CAF02D8"/>
    <w:rsid w:val="7CB86A8B"/>
    <w:rsid w:val="7CBB6BF1"/>
    <w:rsid w:val="7CC9752A"/>
    <w:rsid w:val="7CCF6B36"/>
    <w:rsid w:val="7CDA3478"/>
    <w:rsid w:val="7CE46B0F"/>
    <w:rsid w:val="7CE519CC"/>
    <w:rsid w:val="7CE971A1"/>
    <w:rsid w:val="7CEB5176"/>
    <w:rsid w:val="7CF815D7"/>
    <w:rsid w:val="7D122322"/>
    <w:rsid w:val="7D1D418D"/>
    <w:rsid w:val="7D230130"/>
    <w:rsid w:val="7D2E469A"/>
    <w:rsid w:val="7D3218E8"/>
    <w:rsid w:val="7D40099A"/>
    <w:rsid w:val="7D4A158B"/>
    <w:rsid w:val="7D4F04C4"/>
    <w:rsid w:val="7D6055F6"/>
    <w:rsid w:val="7D665363"/>
    <w:rsid w:val="7D672213"/>
    <w:rsid w:val="7D7953BD"/>
    <w:rsid w:val="7D824B7E"/>
    <w:rsid w:val="7D855441"/>
    <w:rsid w:val="7D941761"/>
    <w:rsid w:val="7D9A2E23"/>
    <w:rsid w:val="7D9C537D"/>
    <w:rsid w:val="7DA96E0B"/>
    <w:rsid w:val="7DAB191F"/>
    <w:rsid w:val="7DBB448C"/>
    <w:rsid w:val="7DC504CF"/>
    <w:rsid w:val="7DCC2F1B"/>
    <w:rsid w:val="7DD03A99"/>
    <w:rsid w:val="7DE14C85"/>
    <w:rsid w:val="7E043554"/>
    <w:rsid w:val="7E0468F1"/>
    <w:rsid w:val="7E1361A9"/>
    <w:rsid w:val="7E285142"/>
    <w:rsid w:val="7E30065C"/>
    <w:rsid w:val="7E3D5259"/>
    <w:rsid w:val="7E4D3EAA"/>
    <w:rsid w:val="7E6E4451"/>
    <w:rsid w:val="7E735D7C"/>
    <w:rsid w:val="7E7A433A"/>
    <w:rsid w:val="7E857F9E"/>
    <w:rsid w:val="7EAE1953"/>
    <w:rsid w:val="7EAE7380"/>
    <w:rsid w:val="7EBE7654"/>
    <w:rsid w:val="7EBF6022"/>
    <w:rsid w:val="7ECE131E"/>
    <w:rsid w:val="7EE169CB"/>
    <w:rsid w:val="7EE86A96"/>
    <w:rsid w:val="7EED7096"/>
    <w:rsid w:val="7EF21088"/>
    <w:rsid w:val="7EFE7B43"/>
    <w:rsid w:val="7F092B57"/>
    <w:rsid w:val="7F0E1573"/>
    <w:rsid w:val="7F16499E"/>
    <w:rsid w:val="7F2B6207"/>
    <w:rsid w:val="7F3B6AC4"/>
    <w:rsid w:val="7F415414"/>
    <w:rsid w:val="7F4C1D43"/>
    <w:rsid w:val="7F737799"/>
    <w:rsid w:val="7F870E9F"/>
    <w:rsid w:val="7F9B549E"/>
    <w:rsid w:val="7F9F5A0C"/>
    <w:rsid w:val="7FA94143"/>
    <w:rsid w:val="7FBA4528"/>
    <w:rsid w:val="7FD245FF"/>
    <w:rsid w:val="7FDE39ED"/>
    <w:rsid w:val="7FE56362"/>
    <w:rsid w:val="7FED2381"/>
    <w:rsid w:val="7FFC5B33"/>
    <w:rsid w:val="FFD6E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4">
    <w:name w:val="annotation text"/>
    <w:basedOn w:val="1"/>
    <w:qFormat/>
    <w:uiPriority w:val="0"/>
    <w:pPr>
      <w:jc w:val="left"/>
    </w:pPr>
  </w:style>
  <w:style w:type="paragraph" w:styleId="5">
    <w:name w:val="Body Text"/>
    <w:basedOn w:val="1"/>
    <w:next w:val="6"/>
    <w:qFormat/>
    <w:uiPriority w:val="1"/>
    <w:pPr>
      <w:autoSpaceDE w:val="0"/>
      <w:autoSpaceDN w:val="0"/>
      <w:adjustRightInd w:val="0"/>
      <w:jc w:val="left"/>
    </w:pPr>
    <w:rPr>
      <w:rFonts w:ascii="仿宋_GB2312"/>
      <w:kern w:val="0"/>
    </w:rPr>
  </w:style>
  <w:style w:type="paragraph" w:styleId="6">
    <w:name w:val="Title"/>
    <w:basedOn w:val="1"/>
    <w:next w:val="1"/>
    <w:qFormat/>
    <w:uiPriority w:val="0"/>
    <w:pPr>
      <w:spacing w:before="240" w:after="60"/>
      <w:jc w:val="center"/>
    </w:pPr>
    <w:rPr>
      <w:rFonts w:ascii="Arial" w:hAnsi="Arial"/>
      <w:b/>
      <w:bCs/>
      <w:kern w:val="0"/>
      <w:sz w:val="44"/>
    </w:rPr>
  </w:style>
  <w:style w:type="paragraph" w:styleId="7">
    <w:name w:val="Plain Text"/>
    <w:basedOn w:val="1"/>
    <w:unhideWhenUsed/>
    <w:qFormat/>
    <w:uiPriority w:val="99"/>
    <w:pPr>
      <w:widowControl w:val="0"/>
      <w:jc w:val="both"/>
    </w:pPr>
    <w:rPr>
      <w:rFonts w:ascii="宋体" w:hAnsi="Calibri" w:eastAsia="宋体" w:cs="Courier New"/>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0"/>
    <w:pPr>
      <w:jc w:val="left"/>
    </w:pPr>
    <w:rPr>
      <w:rFonts w:ascii="Times New Roman" w:hAnsi="Times New Roman"/>
      <w:kern w:val="0"/>
      <w:sz w:val="24"/>
      <w:szCs w:val="20"/>
    </w:rPr>
  </w:style>
  <w:style w:type="character" w:styleId="13">
    <w:name w:val="Strong"/>
    <w:qFormat/>
    <w:uiPriority w:val="0"/>
    <w:rPr>
      <w:rFonts w:ascii="Calibri" w:hAnsi="Calibri" w:eastAsia="宋体" w:cs="Times New Roman"/>
      <w:b/>
    </w:rPr>
  </w:style>
  <w:style w:type="character" w:styleId="14">
    <w:name w:val="FollowedHyperlink"/>
    <w:basedOn w:val="12"/>
    <w:qFormat/>
    <w:uiPriority w:val="0"/>
    <w:rPr>
      <w:color w:val="333333"/>
      <w:u w:val="none"/>
      <w:vertAlign w:val="baseli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1024EE"/>
      <w:u w:val="singl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customStyle="1" w:styleId="21">
    <w:name w:val="font31"/>
    <w:basedOn w:val="12"/>
    <w:qFormat/>
    <w:uiPriority w:val="0"/>
    <w:rPr>
      <w:rFonts w:hint="eastAsia" w:ascii="宋体" w:hAnsi="宋体" w:eastAsia="宋体" w:cs="宋体"/>
      <w:b/>
      <w:color w:val="000000"/>
      <w:sz w:val="24"/>
      <w:szCs w:val="24"/>
      <w:u w:val="none"/>
    </w:rPr>
  </w:style>
  <w:style w:type="character" w:customStyle="1" w:styleId="22">
    <w:name w:val="fontstyle21"/>
    <w:qFormat/>
    <w:uiPriority w:val="99"/>
    <w:rPr>
      <w:rFonts w:ascii="仿宋_GB2312" w:hAnsi="仿宋_GB2312" w:eastAsia="仿宋_GB2312"/>
      <w:color w:val="000000"/>
      <w:sz w:val="32"/>
    </w:rPr>
  </w:style>
  <w:style w:type="character" w:customStyle="1" w:styleId="23">
    <w:name w:val="f-fr"/>
    <w:basedOn w:val="12"/>
    <w:qFormat/>
    <w:uiPriority w:val="0"/>
  </w:style>
  <w:style w:type="character" w:customStyle="1" w:styleId="24">
    <w:name w:val="f-fr1"/>
    <w:basedOn w:val="12"/>
    <w:qFormat/>
    <w:uiPriority w:val="0"/>
  </w:style>
  <w:style w:type="character" w:customStyle="1" w:styleId="25">
    <w:name w:val="f-fr2"/>
    <w:basedOn w:val="12"/>
    <w:qFormat/>
    <w:uiPriority w:val="0"/>
    <w:rPr>
      <w:color w:val="999999"/>
    </w:rPr>
  </w:style>
  <w:style w:type="character" w:customStyle="1" w:styleId="26">
    <w:name w:val="f-fr3"/>
    <w:basedOn w:val="12"/>
    <w:qFormat/>
    <w:uiPriority w:val="0"/>
    <w:rPr>
      <w:color w:val="FFFFFF"/>
      <w:sz w:val="27"/>
      <w:szCs w:val="27"/>
    </w:rPr>
  </w:style>
  <w:style w:type="character" w:customStyle="1" w:styleId="27">
    <w:name w:val="f-fl2"/>
    <w:basedOn w:val="12"/>
    <w:qFormat/>
    <w:uiPriority w:val="0"/>
    <w:rPr>
      <w:color w:val="FFFFFF"/>
      <w:sz w:val="27"/>
      <w:szCs w:val="27"/>
      <w:shd w:val="clear" w:fill="015293"/>
    </w:rPr>
  </w:style>
  <w:style w:type="character" w:customStyle="1" w:styleId="28">
    <w:name w:val="f-fl3"/>
    <w:basedOn w:val="12"/>
    <w:qFormat/>
    <w:uiPriority w:val="0"/>
  </w:style>
  <w:style w:type="character" w:customStyle="1" w:styleId="29">
    <w:name w:val="f-fl4"/>
    <w:basedOn w:val="12"/>
    <w:qFormat/>
    <w:uiPriority w:val="0"/>
    <w:rPr>
      <w:color w:val="FFFFFF"/>
      <w:sz w:val="27"/>
      <w:szCs w:val="27"/>
      <w:shd w:val="clear" w:fill="8C4E7F"/>
    </w:rPr>
  </w:style>
  <w:style w:type="character" w:customStyle="1" w:styleId="30">
    <w:name w:val="f-fl5"/>
    <w:basedOn w:val="12"/>
    <w:qFormat/>
    <w:uiPriority w:val="0"/>
  </w:style>
  <w:style w:type="character" w:customStyle="1" w:styleId="31">
    <w:name w:val="f-fl6"/>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7716</Words>
  <Characters>7874</Characters>
  <Lines>58</Lines>
  <Paragraphs>16</Paragraphs>
  <TotalTime>17</TotalTime>
  <ScaleCrop>false</ScaleCrop>
  <LinksUpToDate>false</LinksUpToDate>
  <CharactersWithSpaces>7909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CJJ-21602</dc:creator>
  <cp:lastModifiedBy>sssuper</cp:lastModifiedBy>
  <cp:lastPrinted>2022-08-29T19:50:00Z</cp:lastPrinted>
  <dcterms:modified xsi:type="dcterms:W3CDTF">2022-09-06T20:46:54Z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E93D637A202845C6953A66616F62BAA0</vt:lpwstr>
  </property>
</Properties>
</file>