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cs="仿宋_GB2312"/>
          <w:sz w:val="32"/>
          <w:szCs w:val="32"/>
        </w:rPr>
      </w:pPr>
      <w:r>
        <w:rPr>
          <w:rFonts w:hint="eastAsia" w:ascii="仿宋_GB2312" w:hAnsi="仿宋_GB2312" w:cs="仿宋_GB2312"/>
          <w:sz w:val="32"/>
          <w:szCs w:val="32"/>
        </w:rPr>
        <w:t>附件</w:t>
      </w:r>
      <w:r>
        <w:rPr>
          <w:rFonts w:ascii="仿宋_GB2312" w:hAnsi="仿宋_GB2312" w:cs="仿宋_GB2312"/>
          <w:sz w:val="32"/>
          <w:szCs w:val="32"/>
        </w:rPr>
        <w:t>5</w:t>
      </w:r>
    </w:p>
    <w:p>
      <w:pPr>
        <w:pStyle w:val="20"/>
        <w:spacing w:before="0" w:after="0" w:line="300" w:lineRule="exact"/>
      </w:pPr>
    </w:p>
    <w:p>
      <w:pPr>
        <w:pStyle w:val="20"/>
        <w:spacing w:before="0" w:after="0" w:line="300" w:lineRule="exact"/>
      </w:pPr>
    </w:p>
    <w:p>
      <w:pPr>
        <w:pStyle w:val="20"/>
        <w:spacing w:before="0" w:after="0" w:line="300" w:lineRule="exact"/>
      </w:pPr>
    </w:p>
    <w:p>
      <w:pPr>
        <w:pStyle w:val="21"/>
        <w:spacing w:after="0" w:line="44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2021年度部门评价报告</w:t>
      </w:r>
    </w:p>
    <w:p>
      <w:pPr>
        <w:pStyle w:val="21"/>
        <w:keepNext w:val="0"/>
        <w:keepLines w:val="0"/>
        <w:pageBreakBefore w:val="0"/>
        <w:widowControl w:val="0"/>
        <w:kinsoku/>
        <w:wordWrap/>
        <w:overflowPunct/>
        <w:topLinePunct w:val="0"/>
        <w:autoSpaceDE/>
        <w:autoSpaceDN/>
        <w:bidi w:val="0"/>
        <w:adjustRightInd/>
        <w:snapToGrid/>
        <w:spacing w:after="0" w:line="440" w:lineRule="exact"/>
        <w:jc w:val="center"/>
        <w:textAlignment w:val="auto"/>
        <w:outlineLvl w:val="9"/>
      </w:pPr>
    </w:p>
    <w:p>
      <w:pPr>
        <w:pStyle w:val="21"/>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pPr>
    </w:p>
    <w:p>
      <w:pPr>
        <w:pStyle w:val="21"/>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pPr>
    </w:p>
    <w:p>
      <w:pPr>
        <w:pStyle w:val="21"/>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pPr>
    </w:p>
    <w:p>
      <w:pPr>
        <w:pStyle w:val="20"/>
        <w:spacing w:before="0" w:after="0" w:line="624" w:lineRule="exact"/>
        <w:ind w:firstLine="3080" w:firstLineChars="700"/>
        <w:rPr>
          <w:rFonts w:ascii="仿宋_GB2312" w:hAnsi="Calibri" w:eastAsia="仿宋_GB2312" w:cs="Times New Roman"/>
          <w:spacing w:val="0"/>
          <w:sz w:val="44"/>
          <w:szCs w:val="44"/>
        </w:rPr>
      </w:pPr>
      <w:r>
        <w:rPr>
          <w:rFonts w:hint="eastAsia" w:ascii="仿宋_GB2312" w:hAnsi="Calibri" w:eastAsia="仿宋_GB2312" w:cs="Times New Roman"/>
          <w:spacing w:val="0"/>
          <w:sz w:val="44"/>
          <w:szCs w:val="44"/>
        </w:rPr>
        <w:t xml:space="preserve"> </w:t>
      </w:r>
    </w:p>
    <w:p>
      <w:pPr>
        <w:pStyle w:val="22"/>
        <w:keepNext w:val="0"/>
        <w:keepLines w:val="0"/>
        <w:pageBreakBefore w:val="0"/>
        <w:widowControl w:val="0"/>
        <w:kinsoku/>
        <w:wordWrap/>
        <w:overflowPunct/>
        <w:topLinePunct w:val="0"/>
        <w:autoSpaceDE/>
        <w:autoSpaceDN/>
        <w:bidi w:val="0"/>
        <w:adjustRightInd/>
        <w:snapToGrid/>
        <w:spacing w:before="0" w:line="360" w:lineRule="auto"/>
        <w:ind w:left="2880" w:leftChars="0" w:hanging="2880" w:hangingChars="800"/>
        <w:textAlignment w:val="auto"/>
        <w:rPr>
          <w:rFonts w:hint="eastAsia" w:ascii="仿宋_GB2312" w:eastAsia="仿宋_GB2312"/>
          <w:sz w:val="36"/>
          <w:szCs w:val="36"/>
          <w:lang w:val="en-US" w:eastAsia="zh-CN"/>
        </w:rPr>
      </w:pPr>
      <w:r>
        <w:rPr>
          <w:rFonts w:hint="eastAsia" w:ascii="仿宋_GB2312" w:eastAsia="仿宋_GB2312"/>
          <w:sz w:val="36"/>
          <w:szCs w:val="36"/>
        </w:rPr>
        <w:t>项</w:t>
      </w:r>
      <w:r>
        <w:rPr>
          <w:rFonts w:hint="eastAsia" w:ascii="仿宋_GB2312" w:eastAsia="仿宋_GB2312"/>
          <w:sz w:val="36"/>
          <w:szCs w:val="36"/>
          <w:lang w:val="en-US"/>
        </w:rPr>
        <w:t xml:space="preserve">  </w:t>
      </w:r>
      <w:r>
        <w:rPr>
          <w:rFonts w:hint="eastAsia" w:ascii="仿宋_GB2312" w:eastAsia="仿宋_GB2312"/>
          <w:sz w:val="36"/>
          <w:szCs w:val="36"/>
        </w:rPr>
        <w:t>目</w:t>
      </w:r>
      <w:r>
        <w:rPr>
          <w:rFonts w:hint="eastAsia" w:ascii="仿宋_GB2312" w:eastAsia="仿宋_GB2312"/>
          <w:sz w:val="36"/>
          <w:szCs w:val="36"/>
          <w:lang w:val="en-US"/>
        </w:rPr>
        <w:t xml:space="preserve">  </w:t>
      </w:r>
      <w:r>
        <w:rPr>
          <w:rFonts w:hint="eastAsia" w:ascii="仿宋_GB2312" w:eastAsia="仿宋_GB2312"/>
          <w:sz w:val="36"/>
          <w:szCs w:val="36"/>
        </w:rPr>
        <w:t>名</w:t>
      </w:r>
      <w:r>
        <w:rPr>
          <w:rFonts w:hint="eastAsia" w:ascii="仿宋_GB2312" w:eastAsia="仿宋_GB2312"/>
          <w:sz w:val="36"/>
          <w:szCs w:val="36"/>
          <w:lang w:val="en-US"/>
        </w:rPr>
        <w:t xml:space="preserve">  </w:t>
      </w:r>
      <w:r>
        <w:rPr>
          <w:rFonts w:hint="eastAsia" w:ascii="仿宋_GB2312" w:eastAsia="仿宋_GB2312"/>
          <w:sz w:val="36"/>
          <w:szCs w:val="36"/>
        </w:rPr>
        <w:t>称：宜城大道（深汕大道至创智路）建设工程</w:t>
      </w:r>
    </w:p>
    <w:p>
      <w:pPr>
        <w:pStyle w:val="22"/>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default" w:ascii="仿宋_GB2312" w:hAnsi="Calibri" w:eastAsia="仿宋_GB2312"/>
          <w:sz w:val="36"/>
          <w:szCs w:val="36"/>
          <w:lang w:val="en-US" w:eastAsia="zh-CN"/>
        </w:rPr>
        <w:sectPr>
          <w:pgSz w:w="12240" w:h="15840"/>
          <w:pgMar w:top="1440" w:right="1800" w:bottom="1440" w:left="1800" w:header="720" w:footer="720" w:gutter="0"/>
          <w:cols w:space="720" w:num="1"/>
        </w:sectPr>
      </w:pPr>
      <w:r>
        <w:rPr>
          <w:rFonts w:hint="eastAsia" w:ascii="仿宋_GB2312" w:eastAsia="仿宋_GB2312"/>
          <w:sz w:val="36"/>
          <w:szCs w:val="36"/>
        </w:rPr>
        <w:t>评价单位（公章）：</w:t>
      </w:r>
      <w:r>
        <w:rPr>
          <w:rFonts w:hint="eastAsia" w:ascii="仿宋_GB2312" w:eastAsia="仿宋_GB2312"/>
          <w:sz w:val="36"/>
          <w:szCs w:val="36"/>
          <w:lang w:val="en-US" w:eastAsia="zh-CN"/>
        </w:rPr>
        <w:t>深圳市深汕特别合作区建筑工务署</w:t>
      </w:r>
    </w:p>
    <w:p>
      <w:pPr>
        <w:spacing w:line="600" w:lineRule="exact"/>
        <w:ind w:firstLine="600" w:firstLineChars="200"/>
        <w:rPr>
          <w:rFonts w:ascii="黑体" w:hAnsi="黑体" w:eastAsia="黑体"/>
        </w:rPr>
      </w:pPr>
      <w:r>
        <w:rPr>
          <w:rFonts w:hint="eastAsia" w:ascii="黑体" w:hAnsi="黑体" w:eastAsia="黑体"/>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01" w:firstLineChars="200"/>
        <w:textAlignment w:val="auto"/>
        <w:outlineLvl w:val="1"/>
        <w:rPr>
          <w:rFonts w:hint="eastAsia" w:ascii="仿宋_GB2312"/>
          <w:b/>
          <w:bCs/>
        </w:rPr>
      </w:pPr>
      <w:r>
        <w:rPr>
          <w:rFonts w:hint="eastAsia" w:ascii="仿宋_GB2312"/>
          <w:b/>
          <w:bCs/>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lang w:val="en-US" w:eastAsia="zh-CN"/>
        </w:rPr>
      </w:pPr>
      <w:r>
        <w:rPr>
          <w:rFonts w:hint="eastAsia" w:ascii="仿宋_GB2312"/>
          <w:lang w:val="en-US" w:eastAsia="zh-CN"/>
        </w:rPr>
        <w:t>1.项目背景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lang w:val="en-US" w:eastAsia="zh-CN"/>
        </w:rPr>
      </w:pPr>
      <w:r>
        <w:rPr>
          <w:rFonts w:hint="eastAsia" w:ascii="仿宋_GB2312"/>
          <w:lang w:val="en-US" w:eastAsia="zh-CN"/>
        </w:rPr>
        <w:t>2011年2月，广东省委、省政府批复了《深汕（尾）特别合作区基本框架方案》，在深圳（汕尾）产业转移工业园的基础上正式设立深汕特别合作区（以下简称“合作区”），享有地级市一级管理权限。2017年9月，广东省委、省政府批复《深汕特别合作区体制机制调整方案》，决定深圳全面主导，以深圳市一个新功能区的标准和要求建设合作区。至此，合作区在深圳市“10+1”模式（10 个区+深汕特别合作区）下，开启了全新的发展篇章。2018年12月16日，深汕特别合作区正式举行揭牌仪式，标志着合作区进入崭新的发展阶段。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default" w:ascii="仿宋_GB2312"/>
          <w:lang w:val="en-US" w:eastAsia="zh-CN"/>
        </w:rPr>
      </w:pPr>
      <w:r>
        <w:rPr>
          <w:rFonts w:hint="eastAsia" w:ascii="仿宋_GB2312"/>
          <w:lang w:val="en-US" w:eastAsia="zh-CN"/>
        </w:rPr>
        <w:t>2021年5月28日，为全面深化履职，服务经济社会发展，促进部门机构设置进一步完善，深圳市深汕特别合作区建筑工务署（简称“区建筑工务署”）正式成立。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default" w:ascii="仿宋_GB2312"/>
          <w:lang w:val="en-US" w:eastAsia="zh-CN"/>
        </w:rPr>
      </w:pPr>
      <w:r>
        <w:rPr>
          <w:rFonts w:hint="eastAsia" w:ascii="仿宋_GB2312"/>
          <w:lang w:val="en-US" w:eastAsia="zh-CN"/>
        </w:rPr>
        <w:t>宜城大道（深汕大道至创智路）建设工程施工项目由深圳市深汕特别合作区住房建设和水务局立项，区建筑工务署成立后，项目移交至区建筑工务署。宜城大道(深汕大道至创智路)作为合作区南北向主干道和景观大道,是落实相关规划,完善主干路网、周边市政配套服务及经济可持续发展的需要。为促进合作区城市化建设、改善投资环境，为区域经济可持续发展提供坚实的交通保障和市政基础设施配套服务，特开展本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lang w:val="en-US" w:eastAsia="zh-CN"/>
        </w:rPr>
      </w:pPr>
      <w:r>
        <w:rPr>
          <w:rFonts w:hint="eastAsia" w:ascii="仿宋_GB2312"/>
          <w:lang w:val="en-US" w:eastAsia="zh-CN"/>
        </w:rPr>
        <w:t>2.主要内容及实施情况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lang w:val="en-US" w:eastAsia="zh-CN"/>
        </w:rPr>
      </w:pPr>
      <w:r>
        <w:rPr>
          <w:rFonts w:hint="eastAsia" w:ascii="仿宋_GB2312"/>
          <w:lang w:val="en-US" w:eastAsia="zh-CN"/>
        </w:rPr>
        <w:t>本项目建设工程起点接深汕大道，终点接创智路，全长约6.885KM，其中桥梁5座，总长为902M（新建大桥一座，长度516.4M，新建中桥4座，总长为385.6M），隧道一座，长度为220M。道路等级为城市主干道，规划道路红线宽60M，双向八车道标准建设，设计时速60KM/h。主要建设内容包括道路工程、交通工程、岩土工程、桥梁工程、隧道工程、管线工程、景观绿化工程、照明工程和附属工程等。</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lang w:val="en-US" w:eastAsia="zh-CN"/>
        </w:rPr>
      </w:pPr>
      <w:r>
        <w:rPr>
          <w:rFonts w:hint="eastAsia" w:ascii="仿宋_GB2312"/>
          <w:lang w:val="en-US" w:eastAsia="zh-CN"/>
        </w:rPr>
        <w:t>本项目合同工期为533天，项目已于2021年9月29日前完成竣工验收。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lang w:val="en-US" w:eastAsia="zh-CN"/>
        </w:rPr>
      </w:pPr>
      <w:r>
        <w:rPr>
          <w:rFonts w:hint="eastAsia" w:ascii="仿宋_GB2312"/>
          <w:lang w:val="en-US" w:eastAsia="zh-CN"/>
        </w:rPr>
        <w:t>3.资金投入及使用情况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lang w:val="en-US" w:eastAsia="zh-CN"/>
        </w:rPr>
      </w:pPr>
      <w:r>
        <w:rPr>
          <w:rFonts w:hint="eastAsia" w:ascii="仿宋_GB2312"/>
          <w:lang w:val="en-US" w:eastAsia="zh-CN"/>
        </w:rPr>
        <w:t>本项目纳入单位年度预算管理，资金拨付及时到位，该项目总投资额为193,813.02万元，2021年度投资额为</w:t>
      </w:r>
      <w:r>
        <w:rPr>
          <w:rFonts w:hint="eastAsia" w:ascii="仿宋_GB2312"/>
          <w:highlight w:val="none"/>
          <w:lang w:val="en-US" w:eastAsia="zh-CN"/>
        </w:rPr>
        <w:t>17,385.26</w:t>
      </w:r>
      <w:r>
        <w:rPr>
          <w:rFonts w:hint="eastAsia" w:ascii="仿宋_GB2312"/>
          <w:lang w:val="en-US" w:eastAsia="zh-CN"/>
        </w:rPr>
        <w:t>万元，项目实际支出金额</w:t>
      </w:r>
      <w:r>
        <w:rPr>
          <w:rFonts w:hint="eastAsia" w:ascii="仿宋_GB2312"/>
          <w:highlight w:val="none"/>
          <w:lang w:val="en-US" w:eastAsia="zh-CN"/>
        </w:rPr>
        <w:t>为 17,385.26</w:t>
      </w:r>
      <w:r>
        <w:rPr>
          <w:rFonts w:hint="eastAsia" w:ascii="仿宋_GB2312"/>
          <w:lang w:val="en-US" w:eastAsia="zh-CN"/>
        </w:rPr>
        <w:t>万元，预算执行率100%。</w:t>
      </w:r>
    </w:p>
    <w:p>
      <w:pPr>
        <w:keepNext w:val="0"/>
        <w:keepLines w:val="0"/>
        <w:pageBreakBefore w:val="0"/>
        <w:widowControl w:val="0"/>
        <w:kinsoku/>
        <w:wordWrap/>
        <w:overflowPunct/>
        <w:topLinePunct w:val="0"/>
        <w:autoSpaceDE/>
        <w:autoSpaceDN/>
        <w:bidi w:val="0"/>
        <w:adjustRightInd/>
        <w:snapToGrid/>
        <w:spacing w:line="600" w:lineRule="exact"/>
        <w:ind w:firstLine="601" w:firstLineChars="200"/>
        <w:textAlignment w:val="auto"/>
        <w:outlineLvl w:val="1"/>
        <w:rPr>
          <w:rFonts w:hint="eastAsia" w:ascii="仿宋_GB2312"/>
          <w:b/>
          <w:bCs/>
        </w:rPr>
      </w:pPr>
      <w:r>
        <w:rPr>
          <w:rFonts w:hint="eastAsia" w:ascii="仿宋_GB2312"/>
          <w:b/>
          <w:bCs/>
        </w:rPr>
        <w:t>（二）项目绩效目标</w:t>
      </w:r>
    </w:p>
    <w:p>
      <w:pPr>
        <w:spacing w:line="600" w:lineRule="exact"/>
        <w:ind w:firstLine="600" w:firstLineChars="200"/>
        <w:rPr>
          <w:rFonts w:hint="eastAsia" w:ascii="仿宋_GB2312"/>
        </w:rPr>
      </w:pPr>
      <w:r>
        <w:rPr>
          <w:rFonts w:hint="eastAsia" w:ascii="仿宋_GB2312"/>
          <w:lang w:val="en-US" w:eastAsia="zh-CN"/>
        </w:rPr>
        <w:t>1.</w:t>
      </w:r>
      <w:r>
        <w:rPr>
          <w:rFonts w:hint="eastAsia" w:ascii="仿宋_GB2312"/>
        </w:rPr>
        <w:t>总体目标</w:t>
      </w:r>
    </w:p>
    <w:p>
      <w:pPr>
        <w:spacing w:line="600" w:lineRule="exact"/>
        <w:ind w:firstLine="600" w:firstLineChars="200"/>
        <w:rPr>
          <w:rFonts w:hint="default" w:ascii="仿宋_GB2312"/>
          <w:lang w:val="en-US" w:eastAsia="zh-CN"/>
        </w:rPr>
      </w:pPr>
      <w:r>
        <w:rPr>
          <w:rFonts w:hint="eastAsia" w:ascii="仿宋_GB2312"/>
          <w:lang w:val="en-US" w:eastAsia="zh-CN"/>
        </w:rPr>
        <w:t>完善合作区主干路网、周边市政配套服务，促进合作区城市化进程，改善投资环境，为合作区经济可持续发展提供交通保障及市政基础设施配套服务。</w:t>
      </w:r>
    </w:p>
    <w:p>
      <w:pPr>
        <w:spacing w:line="600" w:lineRule="exact"/>
        <w:ind w:firstLine="600" w:firstLineChars="200"/>
        <w:rPr>
          <w:rFonts w:hint="eastAsia" w:ascii="仿宋_GB2312"/>
        </w:rPr>
      </w:pPr>
      <w:r>
        <w:rPr>
          <w:rFonts w:hint="eastAsia" w:ascii="仿宋_GB2312"/>
          <w:lang w:val="en-US" w:eastAsia="zh-CN"/>
        </w:rPr>
        <w:t>2.</w:t>
      </w:r>
      <w:r>
        <w:rPr>
          <w:rFonts w:hint="eastAsia" w:ascii="仿宋_GB2312"/>
        </w:rPr>
        <w:t>阶段性目标</w:t>
      </w:r>
    </w:p>
    <w:p>
      <w:pPr>
        <w:spacing w:line="600" w:lineRule="exact"/>
        <w:ind w:firstLine="600" w:firstLineChars="200"/>
        <w:rPr>
          <w:rFonts w:hint="default" w:ascii="仿宋_GB2312" w:eastAsia="仿宋_GB2312"/>
          <w:lang w:val="en-US" w:eastAsia="zh-CN"/>
        </w:rPr>
      </w:pPr>
      <w:r>
        <w:rPr>
          <w:rFonts w:hint="eastAsia" w:ascii="仿宋_GB2312"/>
          <w:lang w:val="en-US" w:eastAsia="zh-CN"/>
        </w:rPr>
        <w:t>项目竣工验收完成，保证施工期间无安全事故发生。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ascii="黑体" w:hAnsi="黑体" w:eastAsia="黑体"/>
        </w:rPr>
      </w:pPr>
      <w:r>
        <w:rPr>
          <w:rFonts w:hint="eastAsia" w:ascii="黑体" w:hAnsi="黑体" w:eastAsia="黑体"/>
        </w:rPr>
        <w:t>二、绩效评价工作开展情况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01" w:firstLineChars="200"/>
        <w:textAlignment w:val="auto"/>
        <w:outlineLvl w:val="1"/>
        <w:rPr>
          <w:rFonts w:ascii="仿宋_GB2312"/>
          <w:b/>
          <w:bCs/>
        </w:rPr>
      </w:pPr>
      <w:r>
        <w:rPr>
          <w:rFonts w:hint="eastAsia" w:ascii="仿宋_GB2312"/>
          <w:b/>
          <w:bCs/>
        </w:rPr>
        <w:t>（一）绩效评价目的、对象和范围。</w:t>
      </w:r>
    </w:p>
    <w:p>
      <w:pPr>
        <w:spacing w:line="600" w:lineRule="exact"/>
        <w:ind w:firstLine="600" w:firstLineChars="200"/>
        <w:rPr>
          <w:rFonts w:hint="eastAsia" w:ascii="仿宋_GB2312"/>
        </w:rPr>
      </w:pPr>
      <w:r>
        <w:rPr>
          <w:rFonts w:hint="eastAsia" w:ascii="仿宋_GB2312"/>
        </w:rPr>
        <w:t>从资金使用的经济性、效率性、效果性和公平性进行综合评判，客观评价2021年度</w:t>
      </w:r>
      <w:r>
        <w:rPr>
          <w:rFonts w:hint="eastAsia" w:ascii="仿宋_GB2312"/>
          <w:highlight w:val="none"/>
        </w:rPr>
        <w:t>宜城大道（深汕大道至创智路）建设工程施工</w:t>
      </w:r>
      <w:r>
        <w:rPr>
          <w:rFonts w:hint="eastAsia" w:ascii="仿宋_GB2312"/>
        </w:rPr>
        <w:t>项目的经费使用情况，衡量一个完整财政年度内项目支出的整体绩效。通过本次绩效评价，总结既有经验、分析存在问题，强化部门预算绩效管理意识，促进被评价单位进一步提升预算绩效管理工作水平，强化支出责任，规范资金管理行为，提高财政资金使用效益。本次评价对象为</w:t>
      </w:r>
      <w:r>
        <w:rPr>
          <w:rFonts w:hint="eastAsia" w:ascii="仿宋_GB2312"/>
          <w:highlight w:val="none"/>
          <w:lang w:eastAsia="zh-CN"/>
        </w:rPr>
        <w:t>宜城大道（深汕大道至创智路）建设工程施工</w:t>
      </w:r>
      <w:r>
        <w:rPr>
          <w:rFonts w:hint="eastAsia" w:ascii="仿宋_GB2312"/>
        </w:rPr>
        <w:t>项目，</w:t>
      </w:r>
      <w:r>
        <w:rPr>
          <w:rFonts w:hint="eastAsia" w:ascii="仿宋_GB2312"/>
          <w:lang w:val="en-US" w:eastAsia="zh-CN"/>
        </w:rPr>
        <w:t>评价范围为</w:t>
      </w:r>
      <w:r>
        <w:rPr>
          <w:rFonts w:hint="eastAsia" w:ascii="仿宋_GB2312"/>
        </w:rPr>
        <w:t>项目</w:t>
      </w:r>
      <w:r>
        <w:rPr>
          <w:rFonts w:hint="eastAsia" w:ascii="仿宋_GB2312"/>
          <w:lang w:val="en-US" w:eastAsia="zh-CN"/>
        </w:rPr>
        <w:t>2021</w:t>
      </w:r>
      <w:r>
        <w:rPr>
          <w:rFonts w:hint="eastAsia" w:ascii="仿宋_GB2312"/>
        </w:rPr>
        <w:t>年度</w:t>
      </w:r>
      <w:r>
        <w:rPr>
          <w:rFonts w:hint="eastAsia" w:ascii="仿宋_GB2312"/>
          <w:lang w:val="en-US" w:eastAsia="zh-CN"/>
        </w:rPr>
        <w:t>的</w:t>
      </w:r>
      <w:r>
        <w:rPr>
          <w:rFonts w:hint="eastAsia" w:ascii="仿宋_GB2312"/>
        </w:rPr>
        <w:t>预算下达金额</w:t>
      </w:r>
      <w:r>
        <w:rPr>
          <w:rFonts w:hint="eastAsia" w:ascii="仿宋_GB2312"/>
          <w:highlight w:val="none"/>
          <w:lang w:val="en-US" w:eastAsia="zh-CN"/>
        </w:rPr>
        <w:t>17,385.26</w:t>
      </w:r>
      <w:r>
        <w:rPr>
          <w:rFonts w:hint="eastAsia" w:ascii="仿宋_GB2312"/>
        </w:rPr>
        <w:t>万元。</w:t>
      </w:r>
    </w:p>
    <w:p>
      <w:pPr>
        <w:keepNext w:val="0"/>
        <w:keepLines w:val="0"/>
        <w:pageBreakBefore w:val="0"/>
        <w:widowControl w:val="0"/>
        <w:kinsoku/>
        <w:wordWrap/>
        <w:overflowPunct/>
        <w:topLinePunct w:val="0"/>
        <w:autoSpaceDE/>
        <w:autoSpaceDN/>
        <w:bidi w:val="0"/>
        <w:adjustRightInd/>
        <w:snapToGrid/>
        <w:spacing w:line="600" w:lineRule="exact"/>
        <w:ind w:firstLine="601" w:firstLineChars="200"/>
        <w:textAlignment w:val="auto"/>
        <w:outlineLvl w:val="1"/>
        <w:rPr>
          <w:rFonts w:ascii="仿宋_GB2312"/>
          <w:b/>
          <w:bCs/>
        </w:rPr>
      </w:pPr>
      <w:r>
        <w:rPr>
          <w:rFonts w:hint="eastAsia" w:ascii="仿宋_GB2312"/>
          <w:b/>
          <w:bCs/>
        </w:rPr>
        <w:t>（二）绩效评价原则、评价指标体系、评价方法、评价标准等。</w:t>
      </w:r>
    </w:p>
    <w:p>
      <w:pPr>
        <w:pStyle w:val="24"/>
        <w:keepNext w:val="0"/>
        <w:keepLines w:val="0"/>
        <w:pageBreakBefore w:val="0"/>
        <w:widowControl w:val="0"/>
        <w:kinsoku/>
        <w:wordWrap/>
        <w:overflowPunct/>
        <w:topLinePunct w:val="0"/>
        <w:autoSpaceDE/>
        <w:autoSpaceDN/>
        <w:bidi w:val="0"/>
        <w:adjustRightInd/>
        <w:snapToGrid/>
        <w:ind w:firstLine="562"/>
        <w:jc w:val="both"/>
        <w:textAlignment w:val="auto"/>
        <w:outlineLvl w:val="9"/>
        <w:rPr>
          <w:rFonts w:cs="Times New Roman"/>
          <w:b w:val="0"/>
          <w:bCs w:val="0"/>
          <w:sz w:val="30"/>
          <w:szCs w:val="30"/>
          <w:u w:val="none"/>
        </w:rPr>
      </w:pPr>
      <w:r>
        <w:rPr>
          <w:rFonts w:cs="Times New Roman"/>
          <w:b w:val="0"/>
          <w:bCs w:val="0"/>
          <w:sz w:val="30"/>
          <w:szCs w:val="30"/>
          <w:u w:val="none"/>
        </w:rPr>
        <w:t>1.</w:t>
      </w:r>
      <w:r>
        <w:rPr>
          <w:rFonts w:hint="eastAsia" w:cs="Times New Roman"/>
          <w:b w:val="0"/>
          <w:bCs w:val="0"/>
          <w:sz w:val="30"/>
          <w:szCs w:val="30"/>
          <w:u w:val="none"/>
        </w:rPr>
        <w:t>评价原则</w:t>
      </w:r>
    </w:p>
    <w:p>
      <w:pPr>
        <w:pStyle w:val="24"/>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b w:val="0"/>
          <w:bCs w:val="0"/>
          <w:sz w:val="30"/>
          <w:szCs w:val="30"/>
          <w:u w:val="none"/>
        </w:rPr>
      </w:pPr>
      <w:r>
        <w:rPr>
          <w:rFonts w:hint="eastAsia" w:cs="Times New Roman"/>
          <w:b w:val="0"/>
          <w:bCs w:val="0"/>
          <w:sz w:val="30"/>
          <w:szCs w:val="30"/>
          <w:u w:val="none"/>
        </w:rPr>
        <w:t>（</w:t>
      </w:r>
      <w:r>
        <w:rPr>
          <w:rFonts w:cs="Times New Roman"/>
          <w:b w:val="0"/>
          <w:bCs w:val="0"/>
          <w:sz w:val="30"/>
          <w:szCs w:val="30"/>
          <w:u w:val="none"/>
        </w:rPr>
        <w:t>1</w:t>
      </w:r>
      <w:r>
        <w:rPr>
          <w:rFonts w:hint="eastAsia" w:cs="Times New Roman"/>
          <w:b w:val="0"/>
          <w:bCs w:val="0"/>
          <w:sz w:val="30"/>
          <w:szCs w:val="30"/>
          <w:u w:val="none"/>
        </w:rPr>
        <w:t>）相关性原则。绩效评价指标与绩效目标有直接的联系，能够恰当反映目标的实现程度。</w:t>
      </w:r>
    </w:p>
    <w:p>
      <w:pPr>
        <w:pStyle w:val="24"/>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b w:val="0"/>
          <w:bCs w:val="0"/>
          <w:sz w:val="30"/>
          <w:szCs w:val="30"/>
          <w:u w:val="none"/>
        </w:rPr>
      </w:pPr>
      <w:r>
        <w:rPr>
          <w:rFonts w:hint="eastAsia" w:cs="Times New Roman"/>
          <w:b w:val="0"/>
          <w:bCs w:val="0"/>
          <w:sz w:val="30"/>
          <w:szCs w:val="30"/>
          <w:u w:val="none"/>
        </w:rPr>
        <w:t>（</w:t>
      </w:r>
      <w:r>
        <w:rPr>
          <w:rFonts w:cs="Times New Roman"/>
          <w:b w:val="0"/>
          <w:bCs w:val="0"/>
          <w:sz w:val="30"/>
          <w:szCs w:val="30"/>
          <w:u w:val="none"/>
        </w:rPr>
        <w:t>2</w:t>
      </w:r>
      <w:r>
        <w:rPr>
          <w:rFonts w:hint="eastAsia" w:cs="Times New Roman"/>
          <w:b w:val="0"/>
          <w:bCs w:val="0"/>
          <w:sz w:val="30"/>
          <w:szCs w:val="30"/>
          <w:u w:val="none"/>
        </w:rPr>
        <w:t>）重要性原则。优先使用最具评价对象代表性、最能反映评价要求的核心指标。</w:t>
      </w:r>
    </w:p>
    <w:p>
      <w:pPr>
        <w:pStyle w:val="24"/>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b w:val="0"/>
          <w:bCs w:val="0"/>
          <w:sz w:val="30"/>
          <w:szCs w:val="30"/>
          <w:u w:val="none"/>
        </w:rPr>
      </w:pPr>
      <w:r>
        <w:rPr>
          <w:rFonts w:hint="eastAsia" w:cs="Times New Roman"/>
          <w:b w:val="0"/>
          <w:bCs w:val="0"/>
          <w:sz w:val="30"/>
          <w:szCs w:val="30"/>
          <w:u w:val="none"/>
        </w:rPr>
        <w:t>（</w:t>
      </w:r>
      <w:r>
        <w:rPr>
          <w:rFonts w:cs="Times New Roman"/>
          <w:b w:val="0"/>
          <w:bCs w:val="0"/>
          <w:sz w:val="30"/>
          <w:szCs w:val="30"/>
          <w:u w:val="none"/>
        </w:rPr>
        <w:t>3</w:t>
      </w:r>
      <w:r>
        <w:rPr>
          <w:rFonts w:hint="eastAsia" w:cs="Times New Roman"/>
          <w:b w:val="0"/>
          <w:bCs w:val="0"/>
          <w:sz w:val="30"/>
          <w:szCs w:val="30"/>
          <w:u w:val="none"/>
        </w:rPr>
        <w:t>）可比性原则。对同类评价对象设定共性的绩效评价指标，以便于评价标准的规范和评价结果可相互比较。</w:t>
      </w:r>
    </w:p>
    <w:p>
      <w:pPr>
        <w:pStyle w:val="24"/>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b w:val="0"/>
          <w:bCs w:val="0"/>
          <w:sz w:val="30"/>
          <w:szCs w:val="30"/>
          <w:u w:val="none"/>
        </w:rPr>
      </w:pPr>
      <w:r>
        <w:rPr>
          <w:rFonts w:hint="eastAsia" w:cs="Times New Roman"/>
          <w:b w:val="0"/>
          <w:bCs w:val="0"/>
          <w:sz w:val="30"/>
          <w:szCs w:val="30"/>
          <w:u w:val="none"/>
        </w:rPr>
        <w:t>（</w:t>
      </w:r>
      <w:r>
        <w:rPr>
          <w:rFonts w:cs="Times New Roman"/>
          <w:b w:val="0"/>
          <w:bCs w:val="0"/>
          <w:sz w:val="30"/>
          <w:szCs w:val="30"/>
          <w:u w:val="none"/>
        </w:rPr>
        <w:t>4</w:t>
      </w:r>
      <w:r>
        <w:rPr>
          <w:rFonts w:hint="eastAsia" w:cs="Times New Roman"/>
          <w:b w:val="0"/>
          <w:bCs w:val="0"/>
          <w:sz w:val="30"/>
          <w:szCs w:val="30"/>
          <w:u w:val="none"/>
        </w:rPr>
        <w:t>）系统性原则。将定量指标与定性指标相结合，定量指标量化，定性指标可衡量，系统反映财政支出所产生的社会效益、经济效益、环境效益和可持续影响等。</w:t>
      </w:r>
    </w:p>
    <w:p>
      <w:pPr>
        <w:pStyle w:val="24"/>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b w:val="0"/>
          <w:bCs w:val="0"/>
          <w:sz w:val="30"/>
          <w:szCs w:val="30"/>
          <w:u w:val="none"/>
        </w:rPr>
      </w:pPr>
      <w:r>
        <w:rPr>
          <w:rFonts w:hint="eastAsia" w:cs="Times New Roman"/>
          <w:b w:val="0"/>
          <w:bCs w:val="0"/>
          <w:sz w:val="30"/>
          <w:szCs w:val="30"/>
          <w:u w:val="none"/>
        </w:rPr>
        <w:t>（</w:t>
      </w:r>
      <w:r>
        <w:rPr>
          <w:rFonts w:cs="Times New Roman"/>
          <w:b w:val="0"/>
          <w:bCs w:val="0"/>
          <w:sz w:val="30"/>
          <w:szCs w:val="30"/>
          <w:u w:val="none"/>
        </w:rPr>
        <w:t>5</w:t>
      </w:r>
      <w:r>
        <w:rPr>
          <w:rFonts w:hint="eastAsia" w:cs="Times New Roman"/>
          <w:b w:val="0"/>
          <w:bCs w:val="0"/>
          <w:sz w:val="30"/>
          <w:szCs w:val="30"/>
          <w:u w:val="none"/>
        </w:rPr>
        <w:t>）经济性原则。通俗易懂、简便易行，数据的获得考虑现实条件和可操作性，符合成本效益原则。</w:t>
      </w:r>
    </w:p>
    <w:p>
      <w:pPr>
        <w:pStyle w:val="24"/>
        <w:keepNext w:val="0"/>
        <w:keepLines w:val="0"/>
        <w:pageBreakBefore w:val="0"/>
        <w:widowControl w:val="0"/>
        <w:kinsoku/>
        <w:wordWrap/>
        <w:overflowPunct/>
        <w:topLinePunct w:val="0"/>
        <w:autoSpaceDE/>
        <w:autoSpaceDN/>
        <w:bidi w:val="0"/>
        <w:adjustRightInd/>
        <w:snapToGrid/>
        <w:ind w:firstLine="562"/>
        <w:jc w:val="both"/>
        <w:textAlignment w:val="auto"/>
        <w:outlineLvl w:val="9"/>
        <w:rPr>
          <w:rFonts w:hint="eastAsia" w:cs="Times New Roman"/>
          <w:b w:val="0"/>
          <w:bCs w:val="0"/>
          <w:sz w:val="30"/>
          <w:szCs w:val="30"/>
          <w:u w:val="none"/>
          <w:lang w:val="en-US" w:eastAsia="zh-CN"/>
        </w:rPr>
      </w:pPr>
      <w:r>
        <w:rPr>
          <w:rFonts w:hint="eastAsia" w:cs="Times New Roman"/>
          <w:b w:val="0"/>
          <w:bCs w:val="0"/>
          <w:sz w:val="30"/>
          <w:szCs w:val="30"/>
          <w:u w:val="none"/>
          <w:lang w:val="en-US" w:eastAsia="zh-CN"/>
        </w:rPr>
        <w:t>2.评价指标体系</w:t>
      </w:r>
    </w:p>
    <w:p>
      <w:pPr>
        <w:pStyle w:val="24"/>
        <w:keepNext w:val="0"/>
        <w:keepLines w:val="0"/>
        <w:pageBreakBefore w:val="0"/>
        <w:widowControl w:val="0"/>
        <w:kinsoku/>
        <w:wordWrap/>
        <w:overflowPunct/>
        <w:topLinePunct w:val="0"/>
        <w:autoSpaceDE/>
        <w:autoSpaceDN/>
        <w:bidi w:val="0"/>
        <w:adjustRightInd/>
        <w:snapToGrid/>
        <w:ind w:firstLine="562"/>
        <w:jc w:val="both"/>
        <w:textAlignment w:val="auto"/>
        <w:outlineLvl w:val="9"/>
        <w:rPr>
          <w:rFonts w:hint="default" w:cs="Times New Roman"/>
          <w:b w:val="0"/>
          <w:bCs w:val="0"/>
          <w:sz w:val="30"/>
          <w:szCs w:val="30"/>
          <w:u w:val="none"/>
          <w:lang w:val="en-US" w:eastAsia="zh-CN"/>
        </w:rPr>
      </w:pPr>
      <w:r>
        <w:rPr>
          <w:rFonts w:hint="default" w:cs="Times New Roman"/>
          <w:b w:val="0"/>
          <w:bCs w:val="0"/>
          <w:sz w:val="30"/>
          <w:szCs w:val="30"/>
          <w:u w:val="none"/>
          <w:lang w:val="en-US" w:eastAsia="zh-CN"/>
        </w:rPr>
        <w:t>本次绩效评价遵循客观公正的原则，综合运用现场调研法、数据核算法、访谈座谈法等评价方法对项目开展绩效评价工作。根据《深圳市市级项目支出绩效评价工作规程》（深财绩〔2020〕14号），以决策、过程、产出、效益等四个方面设定绩效评价指标体系（具体详见附件），结合项目工作实际情况，细化三级指标，明确评分标准，以各指标的评分标准对项目进行情况分析与分数评定。</w:t>
      </w:r>
    </w:p>
    <w:p>
      <w:pPr>
        <w:pStyle w:val="24"/>
        <w:keepNext w:val="0"/>
        <w:keepLines w:val="0"/>
        <w:pageBreakBefore w:val="0"/>
        <w:widowControl w:val="0"/>
        <w:kinsoku/>
        <w:wordWrap/>
        <w:overflowPunct/>
        <w:topLinePunct w:val="0"/>
        <w:autoSpaceDE/>
        <w:autoSpaceDN/>
        <w:bidi w:val="0"/>
        <w:adjustRightInd/>
        <w:snapToGrid/>
        <w:ind w:firstLine="562"/>
        <w:jc w:val="both"/>
        <w:textAlignment w:val="auto"/>
        <w:outlineLvl w:val="9"/>
        <w:rPr>
          <w:rFonts w:cs="Times New Roman"/>
          <w:b w:val="0"/>
          <w:bCs w:val="0"/>
          <w:sz w:val="30"/>
          <w:szCs w:val="30"/>
          <w:u w:val="none"/>
        </w:rPr>
      </w:pPr>
      <w:r>
        <w:rPr>
          <w:rFonts w:hint="eastAsia" w:cs="Times New Roman"/>
          <w:b w:val="0"/>
          <w:bCs w:val="0"/>
          <w:sz w:val="30"/>
          <w:szCs w:val="30"/>
          <w:u w:val="none"/>
          <w:lang w:val="en-US" w:eastAsia="zh-CN"/>
        </w:rPr>
        <w:t>3</w:t>
      </w:r>
      <w:r>
        <w:rPr>
          <w:rFonts w:cs="Times New Roman"/>
          <w:b w:val="0"/>
          <w:bCs w:val="0"/>
          <w:sz w:val="30"/>
          <w:szCs w:val="30"/>
          <w:u w:val="none"/>
        </w:rPr>
        <w:t>.</w:t>
      </w:r>
      <w:r>
        <w:rPr>
          <w:rFonts w:hint="eastAsia" w:cs="Times New Roman"/>
          <w:b w:val="0"/>
          <w:bCs w:val="0"/>
          <w:sz w:val="30"/>
          <w:szCs w:val="30"/>
          <w:u w:val="none"/>
        </w:rPr>
        <w:t>评价方法</w:t>
      </w:r>
    </w:p>
    <w:p>
      <w:pPr>
        <w:pStyle w:val="24"/>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b w:val="0"/>
          <w:bCs w:val="0"/>
          <w:sz w:val="30"/>
          <w:szCs w:val="30"/>
          <w:u w:val="none"/>
        </w:rPr>
      </w:pPr>
      <w:r>
        <w:rPr>
          <w:rFonts w:hint="eastAsia" w:cs="Times New Roman"/>
          <w:b w:val="0"/>
          <w:bCs w:val="0"/>
          <w:sz w:val="30"/>
          <w:szCs w:val="30"/>
          <w:u w:val="none"/>
        </w:rPr>
        <w:t>本次绩效评价主要采用以下评价方法：</w:t>
      </w:r>
    </w:p>
    <w:p>
      <w:pPr>
        <w:pStyle w:val="24"/>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b w:val="0"/>
          <w:bCs w:val="0"/>
          <w:sz w:val="30"/>
          <w:szCs w:val="30"/>
          <w:u w:val="none"/>
        </w:rPr>
      </w:pPr>
      <w:r>
        <w:rPr>
          <w:rFonts w:hint="eastAsia" w:cs="Times New Roman"/>
          <w:b w:val="0"/>
          <w:bCs w:val="0"/>
          <w:sz w:val="30"/>
          <w:szCs w:val="30"/>
          <w:u w:val="none"/>
        </w:rPr>
        <w:t>（</w:t>
      </w:r>
      <w:r>
        <w:rPr>
          <w:rFonts w:cs="Times New Roman"/>
          <w:b w:val="0"/>
          <w:bCs w:val="0"/>
          <w:sz w:val="30"/>
          <w:szCs w:val="30"/>
          <w:u w:val="none"/>
        </w:rPr>
        <w:t>1</w:t>
      </w:r>
      <w:r>
        <w:rPr>
          <w:rFonts w:hint="eastAsia" w:cs="Times New Roman"/>
          <w:b w:val="0"/>
          <w:bCs w:val="0"/>
          <w:sz w:val="30"/>
          <w:szCs w:val="30"/>
          <w:u w:val="none"/>
        </w:rPr>
        <w:t>）比较法，通过对绩效目标与实施效果、历史与当期情况、不同部门和地区同类支出的比较，综合分析绩效目标实现程度。</w:t>
      </w:r>
    </w:p>
    <w:p>
      <w:pPr>
        <w:pStyle w:val="24"/>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b w:val="0"/>
          <w:bCs w:val="0"/>
          <w:sz w:val="30"/>
          <w:szCs w:val="30"/>
          <w:u w:val="none"/>
        </w:rPr>
      </w:pPr>
      <w:r>
        <w:rPr>
          <w:rFonts w:hint="eastAsia" w:cs="Times New Roman"/>
          <w:b w:val="0"/>
          <w:bCs w:val="0"/>
          <w:sz w:val="30"/>
          <w:szCs w:val="30"/>
          <w:u w:val="none"/>
        </w:rPr>
        <w:t>（</w:t>
      </w:r>
      <w:r>
        <w:rPr>
          <w:rFonts w:cs="Times New Roman"/>
          <w:b w:val="0"/>
          <w:bCs w:val="0"/>
          <w:sz w:val="30"/>
          <w:szCs w:val="30"/>
          <w:u w:val="none"/>
        </w:rPr>
        <w:t>2</w:t>
      </w:r>
      <w:r>
        <w:rPr>
          <w:rFonts w:hint="eastAsia" w:cs="Times New Roman"/>
          <w:b w:val="0"/>
          <w:bCs w:val="0"/>
          <w:sz w:val="30"/>
          <w:szCs w:val="30"/>
          <w:u w:val="none"/>
        </w:rPr>
        <w:t>）因素分析法，通过综合分析影响绩效目标实现、实施效果的内外因素，评价绩效目标实现程度。</w:t>
      </w:r>
    </w:p>
    <w:p>
      <w:pPr>
        <w:pStyle w:val="24"/>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b w:val="0"/>
          <w:bCs w:val="0"/>
          <w:sz w:val="30"/>
          <w:szCs w:val="30"/>
          <w:u w:val="none"/>
        </w:rPr>
      </w:pPr>
      <w:r>
        <w:rPr>
          <w:rFonts w:hint="eastAsia" w:cs="Times New Roman"/>
          <w:b w:val="0"/>
          <w:bCs w:val="0"/>
          <w:sz w:val="30"/>
          <w:szCs w:val="30"/>
          <w:u w:val="none"/>
        </w:rPr>
        <w:t>（</w:t>
      </w:r>
      <w:r>
        <w:rPr>
          <w:rFonts w:cs="Times New Roman"/>
          <w:b w:val="0"/>
          <w:bCs w:val="0"/>
          <w:sz w:val="30"/>
          <w:szCs w:val="30"/>
          <w:u w:val="none"/>
        </w:rPr>
        <w:t>3</w:t>
      </w:r>
      <w:r>
        <w:rPr>
          <w:rFonts w:hint="eastAsia" w:cs="Times New Roman"/>
          <w:b w:val="0"/>
          <w:bCs w:val="0"/>
          <w:sz w:val="30"/>
          <w:szCs w:val="30"/>
          <w:u w:val="none"/>
        </w:rPr>
        <w:t>）公众评判法，通过专家评估、公众问卷及抽样调查等对财政支出效果进行评判，评价绩效目标实现程度。</w:t>
      </w:r>
    </w:p>
    <w:p>
      <w:pPr>
        <w:pStyle w:val="24"/>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b w:val="0"/>
          <w:bCs w:val="0"/>
          <w:sz w:val="30"/>
          <w:szCs w:val="30"/>
          <w:u w:val="none"/>
        </w:rPr>
      </w:pPr>
      <w:r>
        <w:rPr>
          <w:rFonts w:hint="eastAsia" w:cs="Times New Roman"/>
          <w:b w:val="0"/>
          <w:bCs w:val="0"/>
          <w:sz w:val="30"/>
          <w:szCs w:val="30"/>
          <w:u w:val="none"/>
        </w:rPr>
        <w:t>根据项目特点，本次评价重点采用比较法和公众评判法，分析项目支出的内容、标准、计划是否经济合理，实际产出和效益是否达到预期。</w:t>
      </w:r>
    </w:p>
    <w:p>
      <w:pPr>
        <w:pStyle w:val="24"/>
        <w:keepNext w:val="0"/>
        <w:keepLines w:val="0"/>
        <w:pageBreakBefore w:val="0"/>
        <w:widowControl w:val="0"/>
        <w:kinsoku/>
        <w:wordWrap/>
        <w:overflowPunct/>
        <w:topLinePunct w:val="0"/>
        <w:autoSpaceDE/>
        <w:autoSpaceDN/>
        <w:bidi w:val="0"/>
        <w:adjustRightInd/>
        <w:snapToGrid/>
        <w:ind w:firstLine="562"/>
        <w:jc w:val="both"/>
        <w:textAlignment w:val="auto"/>
        <w:outlineLvl w:val="9"/>
        <w:rPr>
          <w:rFonts w:cs="Times New Roman"/>
          <w:b w:val="0"/>
          <w:bCs w:val="0"/>
          <w:sz w:val="30"/>
          <w:szCs w:val="30"/>
          <w:u w:val="none"/>
        </w:rPr>
      </w:pPr>
      <w:r>
        <w:rPr>
          <w:rFonts w:hint="eastAsia" w:cs="Times New Roman"/>
          <w:b w:val="0"/>
          <w:bCs w:val="0"/>
          <w:sz w:val="30"/>
          <w:szCs w:val="30"/>
          <w:u w:val="none"/>
          <w:lang w:val="en-US" w:eastAsia="zh-CN"/>
        </w:rPr>
        <w:t>4.</w:t>
      </w:r>
      <w:r>
        <w:rPr>
          <w:rFonts w:hint="eastAsia" w:cs="Times New Roman"/>
          <w:b w:val="0"/>
          <w:bCs w:val="0"/>
          <w:sz w:val="30"/>
          <w:szCs w:val="30"/>
          <w:u w:val="none"/>
        </w:rPr>
        <w:t>评价标准</w:t>
      </w:r>
    </w:p>
    <w:p>
      <w:pPr>
        <w:spacing w:line="600" w:lineRule="exact"/>
        <w:ind w:firstLine="600" w:firstLineChars="200"/>
        <w:rPr>
          <w:rFonts w:hint="eastAsia" w:ascii="仿宋_GB2312"/>
          <w:b w:val="0"/>
          <w:bCs w:val="0"/>
          <w:sz w:val="30"/>
          <w:szCs w:val="30"/>
        </w:rPr>
      </w:pPr>
      <w:r>
        <w:rPr>
          <w:rFonts w:hint="default" w:cs="Times New Roman"/>
          <w:b w:val="0"/>
          <w:bCs w:val="0"/>
          <w:sz w:val="30"/>
          <w:szCs w:val="30"/>
          <w:u w:val="none"/>
        </w:rPr>
        <w:t>本次评价的标准首先以政府、主管部门颁布的国家、地方规范、行业标准及政策文件为首要标准；其次以专家所提供的行业标准、规则作为专业技术指标评价标准。通过定量为主的评分方式进行评价，对于无法定量评价的指标采用定性分析的方法进行评价。</w:t>
      </w:r>
    </w:p>
    <w:p>
      <w:pPr>
        <w:keepNext w:val="0"/>
        <w:keepLines w:val="0"/>
        <w:pageBreakBefore w:val="0"/>
        <w:widowControl w:val="0"/>
        <w:kinsoku/>
        <w:wordWrap/>
        <w:overflowPunct/>
        <w:topLinePunct w:val="0"/>
        <w:autoSpaceDE/>
        <w:autoSpaceDN/>
        <w:bidi w:val="0"/>
        <w:adjustRightInd/>
        <w:snapToGrid/>
        <w:spacing w:line="600" w:lineRule="exact"/>
        <w:ind w:firstLine="601" w:firstLineChars="200"/>
        <w:textAlignment w:val="auto"/>
        <w:outlineLvl w:val="1"/>
        <w:rPr>
          <w:rFonts w:ascii="仿宋_GB2312"/>
          <w:b/>
          <w:bCs/>
        </w:rPr>
      </w:pPr>
      <w:r>
        <w:rPr>
          <w:rFonts w:hint="eastAsia" w:ascii="仿宋_GB2312"/>
          <w:b/>
          <w:bCs/>
        </w:rPr>
        <w:t>（三）绩效评价工作过程。</w:t>
      </w:r>
    </w:p>
    <w:p>
      <w:pPr>
        <w:spacing w:line="560" w:lineRule="exact"/>
        <w:ind w:firstLine="600" w:firstLineChars="200"/>
        <w:outlineLvl w:val="2"/>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1.前期准备阶段</w:t>
      </w:r>
    </w:p>
    <w:p>
      <w:pPr>
        <w:spacing w:line="560" w:lineRule="exact"/>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评价小组对项目进行必要的研究和分析，初步掌握预期目标和特点，并在此基础上设置和完善资料清单、访谈提纲及调研计划等，为项目后续开展做好充分准备。</w:t>
      </w:r>
    </w:p>
    <w:p>
      <w:pPr>
        <w:spacing w:line="560" w:lineRule="exact"/>
        <w:ind w:firstLine="600" w:firstLineChars="200"/>
        <w:outlineLvl w:val="2"/>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2.组织实施阶段</w:t>
      </w:r>
    </w:p>
    <w:p>
      <w:pPr>
        <w:spacing w:line="560" w:lineRule="exact"/>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（1）资料收集与调研</w:t>
      </w:r>
    </w:p>
    <w:p>
      <w:pPr>
        <w:spacing w:line="560" w:lineRule="exact"/>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评价小组通过内外部政策文件、制度条文的收集整理及分析，初步拟定项目资料收集清单，由各项目负责人准备并提供评价所需资料。</w:t>
      </w:r>
    </w:p>
    <w:p>
      <w:pPr>
        <w:spacing w:line="560" w:lineRule="exact"/>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评价小组通过资料现场查阅、关键人员访谈等方式，开展凭证抽查与访谈调研工作，进一步了解项目工作具体过程及资金发放情况。</w:t>
      </w:r>
    </w:p>
    <w:p>
      <w:pPr>
        <w:spacing w:line="560" w:lineRule="exact"/>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（2）绩效评价指标设计</w:t>
      </w:r>
    </w:p>
    <w:p>
      <w:pPr>
        <w:spacing w:line="560" w:lineRule="exact"/>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评价小组根据市财政局有关政策文件要求及制度规定，结合项目绩效目标、实际工作情况，依托数据分析及现场调研结果，充分考虑项目实际特点设计项目绩效评价指标体系，明确指标评价内容及评价标准。</w:t>
      </w:r>
    </w:p>
    <w:p>
      <w:pPr>
        <w:spacing w:line="560" w:lineRule="exact"/>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（3）绩效评分</w:t>
      </w:r>
    </w:p>
    <w:p>
      <w:pPr>
        <w:spacing w:line="560" w:lineRule="exact"/>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评价小组根据项目调研情况，根据绩效评价指标体系对项目进行初步评分。</w:t>
      </w:r>
    </w:p>
    <w:p>
      <w:pPr>
        <w:spacing w:line="560" w:lineRule="exact"/>
        <w:ind w:firstLine="600" w:firstLineChars="200"/>
        <w:outlineLvl w:val="2"/>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3.报告出具阶段</w:t>
      </w:r>
    </w:p>
    <w:p>
      <w:pPr>
        <w:spacing w:line="600" w:lineRule="exact"/>
        <w:ind w:firstLine="600" w:firstLineChars="200"/>
        <w:rPr>
          <w:rFonts w:hint="default" w:ascii="Times New Roman" w:hAnsi="Times New Roman" w:cs="Times New Roman"/>
          <w:b w:val="0"/>
          <w:bCs w:val="0"/>
          <w:sz w:val="32"/>
          <w:szCs w:val="32"/>
        </w:rPr>
      </w:pPr>
      <w:r>
        <w:rPr>
          <w:rFonts w:hint="default" w:ascii="Times New Roman" w:hAnsi="Times New Roman" w:cs="Times New Roman"/>
          <w:b w:val="0"/>
          <w:bCs w:val="0"/>
          <w:sz w:val="30"/>
          <w:szCs w:val="30"/>
        </w:rPr>
        <w:t>评价小组根据项目评估情况，对绩效目标、项目执行情况、项目效益、存在问题等进行客观阐述和分析，并提出下一步工作建议，在此基础上形成项目绩效评价报告。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ascii="仿宋_GB2312"/>
        </w:rPr>
      </w:pPr>
      <w:r>
        <w:rPr>
          <w:rFonts w:hint="eastAsia" w:ascii="黑体" w:hAnsi="黑体" w:eastAsia="黑体"/>
        </w:rPr>
        <w:t>三、综合评价情况及评价结论</w:t>
      </w:r>
    </w:p>
    <w:p>
      <w:pPr>
        <w:spacing w:line="600" w:lineRule="exact"/>
        <w:ind w:firstLine="600" w:firstLineChars="200"/>
        <w:rPr>
          <w:rFonts w:hint="default" w:cs="Times New Roman"/>
          <w:b w:val="0"/>
          <w:bCs w:val="0"/>
          <w:sz w:val="30"/>
          <w:szCs w:val="30"/>
          <w:u w:val="none"/>
        </w:rPr>
      </w:pPr>
      <w:bookmarkStart w:id="0" w:name="_Hlk98494054"/>
      <w:r>
        <w:rPr>
          <w:rFonts w:hint="default" w:cs="Times New Roman"/>
          <w:b w:val="0"/>
          <w:bCs w:val="0"/>
          <w:sz w:val="30"/>
          <w:szCs w:val="30"/>
          <w:u w:val="none"/>
        </w:rPr>
        <w:t>本次绩效评价指标体系共分为三级，包括一级指标4项、二级指标13项、三级指标2</w:t>
      </w:r>
      <w:r>
        <w:rPr>
          <w:rFonts w:hint="eastAsia" w:cs="Times New Roman"/>
          <w:b w:val="0"/>
          <w:bCs w:val="0"/>
          <w:sz w:val="30"/>
          <w:szCs w:val="30"/>
          <w:u w:val="none"/>
          <w:lang w:val="en-US" w:eastAsia="zh-CN"/>
        </w:rPr>
        <w:t>2</w:t>
      </w:r>
      <w:r>
        <w:rPr>
          <w:rFonts w:hint="default" w:cs="Times New Roman"/>
          <w:b w:val="0"/>
          <w:bCs w:val="0"/>
          <w:sz w:val="30"/>
          <w:szCs w:val="30"/>
          <w:u w:val="none"/>
        </w:rPr>
        <w:t>项，总分100分，主要从项目决策、过程、产出、效益等四个部分开展项目绩效评价工作。</w:t>
      </w:r>
    </w:p>
    <w:p>
      <w:pPr>
        <w:spacing w:line="600" w:lineRule="exact"/>
        <w:ind w:firstLine="600" w:firstLineChars="200"/>
        <w:rPr>
          <w:rFonts w:hint="default" w:ascii="Times New Roman" w:hAnsi="Times New Roman" w:cs="Times New Roman"/>
          <w:sz w:val="32"/>
          <w:szCs w:val="32"/>
        </w:rPr>
      </w:pPr>
      <w:r>
        <w:rPr>
          <w:rFonts w:hint="default" w:cs="Times New Roman"/>
          <w:b w:val="0"/>
          <w:bCs w:val="0"/>
          <w:sz w:val="30"/>
          <w:szCs w:val="30"/>
          <w:u w:val="none"/>
        </w:rPr>
        <w:t>评定等级为优，</w:t>
      </w:r>
      <w:r>
        <w:rPr>
          <w:rFonts w:hint="eastAsia" w:cs="Times New Roman"/>
          <w:b w:val="0"/>
          <w:bCs w:val="0"/>
          <w:sz w:val="30"/>
          <w:szCs w:val="30"/>
          <w:u w:val="none"/>
          <w:lang w:val="en-US" w:eastAsia="zh-CN"/>
        </w:rPr>
        <w:t>评价</w:t>
      </w:r>
      <w:r>
        <w:rPr>
          <w:rFonts w:hint="default" w:cs="Times New Roman"/>
          <w:b w:val="0"/>
          <w:bCs w:val="0"/>
          <w:sz w:val="30"/>
          <w:szCs w:val="30"/>
          <w:u w:val="none"/>
        </w:rPr>
        <w:t>等级标识分数对应标准：90分及以上为优，80-89分为良，60-79分为中，60分以下为差。评价小组基于项目绩效评价指标体系开展评分工作，最终计算出项目评价总得分为9</w:t>
      </w:r>
      <w:r>
        <w:rPr>
          <w:rFonts w:hint="eastAsia" w:cs="Times New Roman"/>
          <w:b w:val="0"/>
          <w:bCs w:val="0"/>
          <w:sz w:val="30"/>
          <w:szCs w:val="30"/>
          <w:u w:val="none"/>
          <w:lang w:val="en-US" w:eastAsia="zh-CN"/>
        </w:rPr>
        <w:t>5</w:t>
      </w:r>
      <w:r>
        <w:rPr>
          <w:rFonts w:hint="default" w:cs="Times New Roman"/>
          <w:b w:val="0"/>
          <w:bCs w:val="0"/>
          <w:sz w:val="30"/>
          <w:szCs w:val="30"/>
          <w:u w:val="none"/>
        </w:rPr>
        <w:t>分，其中，项目决策1</w:t>
      </w:r>
      <w:r>
        <w:rPr>
          <w:rFonts w:hint="eastAsia" w:cs="Times New Roman"/>
          <w:b w:val="0"/>
          <w:bCs w:val="0"/>
          <w:sz w:val="30"/>
          <w:szCs w:val="30"/>
          <w:u w:val="none"/>
          <w:lang w:val="en-US" w:eastAsia="zh-CN"/>
        </w:rPr>
        <w:t>5</w:t>
      </w:r>
      <w:r>
        <w:rPr>
          <w:rFonts w:hint="default" w:cs="Times New Roman"/>
          <w:b w:val="0"/>
          <w:bCs w:val="0"/>
          <w:sz w:val="30"/>
          <w:szCs w:val="30"/>
          <w:u w:val="none"/>
        </w:rPr>
        <w:t>分，项目过程20分，项目产出34分，项目效益26分。指标评分情况详见《绩效评价指标表》（附件）。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kern w:val="2"/>
          <w:sz w:val="32"/>
          <w:szCs w:val="22"/>
          <w:lang w:val="en-US" w:eastAsia="zh-CN" w:bidi="ar-SA"/>
        </w:rPr>
      </w:pPr>
      <w:r>
        <w:rPr>
          <w:rFonts w:hint="default" w:ascii="Times New Roman" w:hAnsi="Times New Roman" w:eastAsia="仿宋_GB2312" w:cs="Times New Roman"/>
          <w:b/>
          <w:kern w:val="2"/>
          <w:sz w:val="32"/>
          <w:szCs w:val="22"/>
          <w:lang w:val="en-US" w:eastAsia="zh-CN" w:bidi="ar-SA"/>
        </w:rPr>
        <w:t>宜城大道（深汕大道至创智路）建设工程施工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kern w:val="2"/>
          <w:sz w:val="32"/>
          <w:szCs w:val="22"/>
          <w:lang w:val="en-US" w:eastAsia="zh-CN" w:bidi="ar-SA"/>
        </w:rPr>
      </w:pPr>
      <w:r>
        <w:rPr>
          <w:rFonts w:hint="default" w:ascii="Times New Roman" w:hAnsi="Times New Roman" w:eastAsia="仿宋_GB2312" w:cs="Times New Roman"/>
          <w:b/>
          <w:kern w:val="2"/>
          <w:sz w:val="32"/>
          <w:szCs w:val="22"/>
          <w:lang w:val="en-US" w:eastAsia="zh-CN" w:bidi="ar-SA"/>
        </w:rPr>
        <w:t>项目绩效评价指标评分表</w:t>
      </w:r>
    </w:p>
    <w:tbl>
      <w:tblPr>
        <w:tblStyle w:val="11"/>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8"/>
        <w:gridCol w:w="1708"/>
        <w:gridCol w:w="1005"/>
        <w:gridCol w:w="2113"/>
        <w:gridCol w:w="120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blHeader/>
          <w:jc w:val="center"/>
        </w:trPr>
        <w:tc>
          <w:tcPr>
            <w:tcW w:w="181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一级指标</w:t>
            </w:r>
          </w:p>
        </w:tc>
        <w:tc>
          <w:tcPr>
            <w:tcW w:w="271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二级指标</w:t>
            </w:r>
          </w:p>
        </w:tc>
        <w:tc>
          <w:tcPr>
            <w:tcW w:w="332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三级指标</w:t>
            </w:r>
          </w:p>
        </w:tc>
        <w:tc>
          <w:tcPr>
            <w:tcW w:w="98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blHeader/>
          <w:jc w:val="center"/>
        </w:trPr>
        <w:tc>
          <w:tcPr>
            <w:tcW w:w="9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名称</w:t>
            </w:r>
          </w:p>
        </w:tc>
        <w:tc>
          <w:tcPr>
            <w:tcW w:w="9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权重</w:t>
            </w:r>
          </w:p>
        </w:tc>
        <w:tc>
          <w:tcPr>
            <w:tcW w:w="1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名称</w:t>
            </w:r>
          </w:p>
        </w:tc>
        <w:tc>
          <w:tcPr>
            <w:tcW w:w="10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权重</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名称</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权重</w:t>
            </w:r>
          </w:p>
        </w:tc>
        <w:tc>
          <w:tcPr>
            <w:tcW w:w="98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决策</w:t>
            </w:r>
          </w:p>
        </w:tc>
        <w:tc>
          <w:tcPr>
            <w:tcW w:w="9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w:t>
            </w:r>
          </w:p>
        </w:tc>
        <w:tc>
          <w:tcPr>
            <w:tcW w:w="17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项目立项</w:t>
            </w:r>
          </w:p>
        </w:tc>
        <w:tc>
          <w:tcPr>
            <w:tcW w:w="10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7</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立项依据充分性</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005"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立项程序规范性</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绩效目标</w:t>
            </w:r>
          </w:p>
        </w:tc>
        <w:tc>
          <w:tcPr>
            <w:tcW w:w="10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7</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绩效目标合理性</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000000"/>
                <w:kern w:val="0"/>
                <w:sz w:val="24"/>
                <w:lang w:eastAsia="zh-CN"/>
              </w:rPr>
            </w:pPr>
            <w:r>
              <w:rPr>
                <w:rFonts w:hint="eastAsia" w:cs="Times New Roman"/>
                <w:color w:val="000000"/>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005"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绩效指标明确性</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000000"/>
                <w:kern w:val="0"/>
                <w:sz w:val="24"/>
                <w:lang w:eastAsia="zh-CN"/>
              </w:rPr>
            </w:pPr>
            <w:r>
              <w:rPr>
                <w:rFonts w:hint="eastAsia" w:cs="Times New Roman"/>
                <w:color w:val="000000"/>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资金投入</w:t>
            </w:r>
          </w:p>
        </w:tc>
        <w:tc>
          <w:tcPr>
            <w:tcW w:w="100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6</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预算编制科学性</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0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资金分配合理性</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过程</w:t>
            </w:r>
          </w:p>
        </w:tc>
        <w:tc>
          <w:tcPr>
            <w:tcW w:w="9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w:t>
            </w:r>
          </w:p>
        </w:tc>
        <w:tc>
          <w:tcPr>
            <w:tcW w:w="17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资金管理</w:t>
            </w:r>
          </w:p>
        </w:tc>
        <w:tc>
          <w:tcPr>
            <w:tcW w:w="100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12</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资金到位率</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005"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预算执行率</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0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资金使用合规性</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组织实施</w:t>
            </w:r>
          </w:p>
        </w:tc>
        <w:tc>
          <w:tcPr>
            <w:tcW w:w="10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8</w:t>
            </w:r>
          </w:p>
        </w:tc>
        <w:tc>
          <w:tcPr>
            <w:tcW w:w="211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管理制度健全性</w:t>
            </w:r>
          </w:p>
        </w:tc>
        <w:tc>
          <w:tcPr>
            <w:tcW w:w="12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005"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制度执行有效性</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6" w:hRule="atLeast"/>
          <w:jc w:val="center"/>
        </w:trPr>
        <w:tc>
          <w:tcPr>
            <w:tcW w:w="90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产出</w:t>
            </w:r>
          </w:p>
        </w:tc>
        <w:tc>
          <w:tcPr>
            <w:tcW w:w="9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34</w:t>
            </w:r>
          </w:p>
        </w:tc>
        <w:tc>
          <w:tcPr>
            <w:tcW w:w="170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产出数量</w:t>
            </w:r>
          </w:p>
        </w:tc>
        <w:tc>
          <w:tcPr>
            <w:tcW w:w="10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cs="Times New Roman"/>
                <w:color w:val="000000"/>
                <w:kern w:val="0"/>
                <w:sz w:val="24"/>
              </w:rPr>
              <w:t>1</w:t>
            </w:r>
            <w:r>
              <w:rPr>
                <w:rFonts w:hint="eastAsia" w:cs="Times New Roman"/>
                <w:color w:val="000000"/>
                <w:kern w:val="0"/>
                <w:sz w:val="24"/>
                <w:lang w:val="en-US" w:eastAsia="zh-CN"/>
              </w:rPr>
              <w:t>5</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完成建设里程数</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000000"/>
                <w:kern w:val="0"/>
                <w:sz w:val="24"/>
                <w:lang w:eastAsia="zh-CN"/>
              </w:rPr>
            </w:pPr>
            <w:r>
              <w:rPr>
                <w:rFonts w:hint="eastAsia" w:cs="Times New Roman"/>
                <w:color w:val="000000"/>
                <w:kern w:val="0"/>
                <w:sz w:val="24"/>
                <w:lang w:val="en-US" w:eastAsia="zh-CN"/>
              </w:rPr>
              <w:t>5</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000000"/>
                <w:kern w:val="0"/>
                <w:sz w:val="24"/>
                <w:lang w:eastAsia="zh-CN"/>
              </w:rPr>
            </w:pPr>
            <w:r>
              <w:rPr>
                <w:rFonts w:hint="eastAsia" w:cs="Times New Roman"/>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4"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00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4"/>
                <w:lang w:val="en-US" w:eastAsia="zh-CN"/>
              </w:rPr>
            </w:pPr>
            <w:r>
              <w:rPr>
                <w:rFonts w:hint="eastAsia" w:cs="Times New Roman"/>
                <w:color w:val="000000"/>
                <w:kern w:val="0"/>
                <w:sz w:val="24"/>
                <w:lang w:val="en-US" w:eastAsia="zh-CN"/>
              </w:rPr>
              <w:t>完成桥梁建设数</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000000"/>
                <w:kern w:val="0"/>
                <w:sz w:val="24"/>
                <w:lang w:eastAsia="zh-CN"/>
              </w:rPr>
            </w:pPr>
            <w:r>
              <w:rPr>
                <w:rFonts w:hint="eastAsia" w:cs="Times New Roman"/>
                <w:color w:val="000000"/>
                <w:kern w:val="0"/>
                <w:sz w:val="24"/>
                <w:lang w:val="en-US" w:eastAsia="zh-CN"/>
              </w:rPr>
              <w:t>5</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000000"/>
                <w:kern w:val="0"/>
                <w:sz w:val="24"/>
                <w:lang w:eastAsia="zh-CN"/>
              </w:rPr>
            </w:pPr>
            <w:r>
              <w:rPr>
                <w:rFonts w:hint="eastAsia" w:cs="Times New Roman"/>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0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_GB2312" w:cs="Times New Roman"/>
                <w:color w:val="000000"/>
                <w:kern w:val="0"/>
                <w:sz w:val="24"/>
                <w:lang w:val="en-US" w:eastAsia="zh-CN"/>
              </w:rPr>
            </w:pPr>
            <w:r>
              <w:rPr>
                <w:rFonts w:hint="eastAsia" w:cs="Times New Roman"/>
                <w:color w:val="000000"/>
                <w:kern w:val="0"/>
                <w:sz w:val="24"/>
                <w:lang w:val="en-US" w:eastAsia="zh-CN"/>
              </w:rPr>
              <w:t>完成隧道建设数</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000000"/>
                <w:kern w:val="0"/>
                <w:sz w:val="24"/>
                <w:lang w:val="en-US" w:eastAsia="zh-CN"/>
              </w:rPr>
            </w:pPr>
            <w:r>
              <w:rPr>
                <w:rFonts w:hint="eastAsia" w:cs="Times New Roman"/>
                <w:color w:val="000000"/>
                <w:kern w:val="0"/>
                <w:sz w:val="24"/>
                <w:lang w:val="en-US" w:eastAsia="zh-CN"/>
              </w:rPr>
              <w:t>5</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000000"/>
                <w:kern w:val="0"/>
                <w:sz w:val="24"/>
                <w:lang w:val="en-US" w:eastAsia="zh-CN"/>
              </w:rPr>
            </w:pPr>
            <w:r>
              <w:rPr>
                <w:rFonts w:hint="eastAsia" w:cs="Times New Roman"/>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产出质量</w:t>
            </w:r>
          </w:p>
        </w:tc>
        <w:tc>
          <w:tcPr>
            <w:tcW w:w="10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000000"/>
                <w:kern w:val="0"/>
                <w:sz w:val="24"/>
                <w:lang w:eastAsia="zh-CN"/>
              </w:rPr>
            </w:pPr>
            <w:r>
              <w:rPr>
                <w:rFonts w:hint="default" w:ascii="Times New Roman" w:hAnsi="Times New Roman" w:cs="Times New Roman"/>
                <w:color w:val="000000"/>
                <w:kern w:val="0"/>
                <w:sz w:val="24"/>
              </w:rPr>
              <w:t>1</w:t>
            </w:r>
            <w:r>
              <w:rPr>
                <w:rFonts w:hint="eastAsia" w:cs="Times New Roman"/>
                <w:color w:val="000000"/>
                <w:kern w:val="0"/>
                <w:sz w:val="24"/>
                <w:lang w:val="en-US" w:eastAsia="zh-CN"/>
              </w:rPr>
              <w:t>0</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kern w:val="0"/>
                <w:sz w:val="24"/>
                <w:lang w:val="en-US" w:eastAsia="zh-CN"/>
              </w:rPr>
            </w:pPr>
            <w:r>
              <w:rPr>
                <w:rFonts w:hint="eastAsia" w:cs="Times New Roman"/>
                <w:color w:val="000000"/>
                <w:kern w:val="0"/>
                <w:sz w:val="24"/>
                <w:lang w:val="en-US" w:eastAsia="zh-CN"/>
              </w:rPr>
              <w:t>图纸审查合格率</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0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kern w:val="0"/>
                <w:sz w:val="24"/>
                <w:lang w:val="en-US" w:eastAsia="zh-CN"/>
              </w:rPr>
            </w:pPr>
            <w:r>
              <w:rPr>
                <w:rFonts w:hint="eastAsia" w:cs="Times New Roman"/>
                <w:color w:val="000000"/>
                <w:kern w:val="0"/>
                <w:sz w:val="24"/>
                <w:lang w:val="en-US" w:eastAsia="zh-CN"/>
              </w:rPr>
              <w:t>安全事故发生率</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产出时效</w:t>
            </w:r>
          </w:p>
        </w:tc>
        <w:tc>
          <w:tcPr>
            <w:tcW w:w="10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kern w:val="0"/>
                <w:sz w:val="24"/>
                <w:lang w:val="en-US" w:eastAsia="zh-CN"/>
              </w:rPr>
            </w:pPr>
            <w:r>
              <w:rPr>
                <w:rFonts w:hint="eastAsia" w:cs="Times New Roman"/>
                <w:color w:val="000000"/>
                <w:kern w:val="0"/>
                <w:sz w:val="24"/>
                <w:lang w:val="en-US" w:eastAsia="zh-CN"/>
              </w:rPr>
              <w:t>5</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kern w:val="0"/>
                <w:sz w:val="24"/>
                <w:lang w:val="en-US" w:eastAsia="zh-CN"/>
              </w:rPr>
            </w:pPr>
            <w:r>
              <w:rPr>
                <w:rFonts w:hint="eastAsia" w:cs="Times New Roman"/>
                <w:color w:val="000000"/>
                <w:kern w:val="0"/>
                <w:sz w:val="24"/>
                <w:lang w:val="en-US" w:eastAsia="zh-CN"/>
              </w:rPr>
              <w:t>设计完成及时性</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908"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p>
        </w:tc>
        <w:tc>
          <w:tcPr>
            <w:tcW w:w="1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产出成本</w:t>
            </w:r>
          </w:p>
        </w:tc>
        <w:tc>
          <w:tcPr>
            <w:tcW w:w="10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211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项目预算控制数</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效益</w:t>
            </w:r>
          </w:p>
        </w:tc>
        <w:tc>
          <w:tcPr>
            <w:tcW w:w="9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26</w:t>
            </w:r>
          </w:p>
        </w:tc>
        <w:tc>
          <w:tcPr>
            <w:tcW w:w="1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r>
              <w:rPr>
                <w:rFonts w:hint="default" w:ascii="Times New Roman" w:hAnsi="Times New Roman" w:cs="Times New Roman"/>
                <w:color w:val="000000"/>
                <w:kern w:val="0"/>
                <w:sz w:val="24"/>
                <w:lang w:bidi="ar"/>
              </w:rPr>
              <w:t>经济效益指标</w:t>
            </w:r>
          </w:p>
        </w:tc>
        <w:tc>
          <w:tcPr>
            <w:tcW w:w="10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Cs/>
                <w:color w:val="000000"/>
                <w:kern w:val="0"/>
                <w:sz w:val="24"/>
                <w:lang w:eastAsia="zh-CN"/>
              </w:rPr>
            </w:pPr>
            <w:r>
              <w:rPr>
                <w:rFonts w:hint="eastAsia" w:cs="Times New Roman"/>
                <w:bCs/>
                <w:color w:val="000000"/>
                <w:kern w:val="0"/>
                <w:sz w:val="24"/>
                <w:lang w:val="en-US" w:eastAsia="zh-CN"/>
              </w:rPr>
              <w:t>5</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kern w:val="0"/>
                <w:sz w:val="24"/>
                <w:lang w:val="en-US" w:eastAsia="zh-CN"/>
              </w:rPr>
            </w:pPr>
            <w:r>
              <w:rPr>
                <w:rFonts w:hint="eastAsia" w:cs="Times New Roman"/>
                <w:color w:val="000000"/>
                <w:kern w:val="0"/>
                <w:sz w:val="24"/>
                <w:lang w:val="en-US" w:eastAsia="zh-CN" w:bidi="ar"/>
              </w:rPr>
              <w:t>公路沿线经济增长性</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Cs/>
                <w:color w:val="000000"/>
                <w:kern w:val="0"/>
                <w:sz w:val="24"/>
                <w:lang w:eastAsia="zh-CN"/>
              </w:rPr>
            </w:pPr>
            <w:r>
              <w:rPr>
                <w:rFonts w:hint="eastAsia" w:cs="Times New Roman"/>
                <w:bCs/>
                <w:color w:val="000000"/>
                <w:kern w:val="0"/>
                <w:sz w:val="24"/>
                <w:lang w:val="en-US" w:eastAsia="zh-CN"/>
              </w:rPr>
              <w:t>5</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Cs/>
                <w:color w:val="000000"/>
                <w:kern w:val="0"/>
                <w:sz w:val="24"/>
                <w:lang w:eastAsia="zh-CN"/>
              </w:rPr>
            </w:pPr>
            <w:r>
              <w:rPr>
                <w:rFonts w:hint="eastAsia" w:cs="Times New Roman"/>
                <w:bCs/>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p>
        </w:tc>
        <w:tc>
          <w:tcPr>
            <w:tcW w:w="9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p>
        </w:tc>
        <w:tc>
          <w:tcPr>
            <w:tcW w:w="1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r>
              <w:rPr>
                <w:rFonts w:hint="default" w:ascii="Times New Roman" w:hAnsi="Times New Roman" w:eastAsia="仿宋_GB2312" w:cs="Times New Roman"/>
                <w:color w:val="000000"/>
                <w:sz w:val="24"/>
                <w:szCs w:val="24"/>
                <w:u w:val="none"/>
                <w:lang w:bidi="ar"/>
              </w:rPr>
              <w:t>社会效益指标*</w:t>
            </w:r>
          </w:p>
        </w:tc>
        <w:tc>
          <w:tcPr>
            <w:tcW w:w="10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Cs/>
                <w:color w:val="000000"/>
                <w:kern w:val="0"/>
                <w:sz w:val="24"/>
                <w:lang w:eastAsia="zh-CN"/>
              </w:rPr>
            </w:pPr>
            <w:r>
              <w:rPr>
                <w:rFonts w:hint="eastAsia" w:cs="Times New Roman"/>
                <w:bCs/>
                <w:color w:val="000000"/>
                <w:kern w:val="0"/>
                <w:sz w:val="24"/>
                <w:lang w:val="en-US" w:eastAsia="zh-CN"/>
              </w:rPr>
              <w:t>6</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公共交通出行便利度</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Cs/>
                <w:color w:val="000000"/>
                <w:kern w:val="0"/>
                <w:sz w:val="24"/>
                <w:lang w:eastAsia="zh-CN"/>
              </w:rPr>
            </w:pPr>
            <w:r>
              <w:rPr>
                <w:rFonts w:hint="eastAsia" w:cs="Times New Roman"/>
                <w:color w:val="000000"/>
                <w:sz w:val="24"/>
                <w:lang w:val="en-US" w:eastAsia="zh-CN"/>
              </w:rPr>
              <w:t>6</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Cs/>
                <w:color w:val="000000"/>
                <w:kern w:val="0"/>
                <w:sz w:val="24"/>
                <w:lang w:eastAsia="zh-CN"/>
              </w:rPr>
            </w:pPr>
            <w:r>
              <w:rPr>
                <w:rFonts w:hint="eastAsia" w:cs="Times New Roman"/>
                <w:bCs/>
                <w:color w:val="000000"/>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p>
        </w:tc>
        <w:tc>
          <w:tcPr>
            <w:tcW w:w="9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p>
        </w:tc>
        <w:tc>
          <w:tcPr>
            <w:tcW w:w="1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r>
              <w:rPr>
                <w:rFonts w:hint="default" w:ascii="Times New Roman" w:hAnsi="Times New Roman" w:cs="Times New Roman"/>
                <w:color w:val="000000"/>
                <w:kern w:val="0"/>
                <w:sz w:val="24"/>
                <w:lang w:bidi="ar"/>
              </w:rPr>
              <w:t>生态效益指标</w:t>
            </w:r>
          </w:p>
        </w:tc>
        <w:tc>
          <w:tcPr>
            <w:tcW w:w="10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Cs/>
                <w:color w:val="000000"/>
                <w:kern w:val="0"/>
                <w:sz w:val="24"/>
                <w:lang w:eastAsia="zh-CN"/>
              </w:rPr>
            </w:pPr>
            <w:r>
              <w:rPr>
                <w:rFonts w:hint="eastAsia" w:cs="Times New Roman"/>
                <w:color w:val="000000"/>
                <w:kern w:val="0"/>
                <w:sz w:val="24"/>
                <w:lang w:val="en-US" w:eastAsia="zh-CN" w:bidi="ar"/>
              </w:rPr>
              <w:t>5</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kern w:val="0"/>
                <w:sz w:val="24"/>
                <w:lang w:val="en-US" w:eastAsia="zh-CN"/>
              </w:rPr>
            </w:pPr>
            <w:r>
              <w:rPr>
                <w:rFonts w:hint="eastAsia" w:cs="Times New Roman"/>
                <w:color w:val="000000"/>
                <w:kern w:val="0"/>
                <w:sz w:val="24"/>
                <w:lang w:val="en-US" w:eastAsia="zh-CN" w:bidi="ar"/>
              </w:rPr>
              <w:t>森林植被恢复率</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Cs/>
                <w:color w:val="000000"/>
                <w:kern w:val="0"/>
                <w:sz w:val="24"/>
                <w:lang w:eastAsia="zh-CN"/>
              </w:rPr>
            </w:pPr>
            <w:r>
              <w:rPr>
                <w:rFonts w:hint="eastAsia" w:cs="Times New Roman"/>
                <w:color w:val="000000"/>
                <w:sz w:val="24"/>
                <w:lang w:val="en-US" w:eastAsia="zh-CN"/>
              </w:rPr>
              <w:t>5</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Cs/>
                <w:color w:val="000000"/>
                <w:kern w:val="0"/>
                <w:sz w:val="24"/>
                <w:lang w:eastAsia="zh-CN"/>
              </w:rPr>
            </w:pPr>
            <w:r>
              <w:rPr>
                <w:rFonts w:hint="eastAsia" w:cs="Times New Roman"/>
                <w:bCs/>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p>
        </w:tc>
        <w:tc>
          <w:tcPr>
            <w:tcW w:w="9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p>
        </w:tc>
        <w:tc>
          <w:tcPr>
            <w:tcW w:w="1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r>
              <w:rPr>
                <w:rFonts w:hint="default" w:ascii="Times New Roman" w:hAnsi="Times New Roman" w:eastAsia="仿宋_GB2312" w:cs="Times New Roman"/>
                <w:color w:val="000000"/>
                <w:sz w:val="24"/>
                <w:szCs w:val="24"/>
                <w:u w:val="none"/>
                <w:lang w:bidi="ar"/>
              </w:rPr>
              <w:t>满意度指标*</w:t>
            </w:r>
          </w:p>
        </w:tc>
        <w:tc>
          <w:tcPr>
            <w:tcW w:w="10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10</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000000"/>
                <w:kern w:val="0"/>
                <w:sz w:val="24"/>
                <w:lang w:val="en-US" w:eastAsia="zh-CN"/>
              </w:rPr>
            </w:pPr>
            <w:r>
              <w:rPr>
                <w:rFonts w:hint="default" w:ascii="Times New Roman" w:hAnsi="Times New Roman" w:cs="Times New Roman"/>
                <w:color w:val="000000"/>
                <w:kern w:val="0"/>
                <w:sz w:val="24"/>
                <w:lang w:bidi="ar"/>
              </w:rPr>
              <w:t>项目沿线群众</w:t>
            </w:r>
            <w:r>
              <w:rPr>
                <w:rFonts w:hint="eastAsia" w:cs="Times New Roman"/>
                <w:color w:val="000000"/>
                <w:kern w:val="0"/>
                <w:sz w:val="24"/>
                <w:lang w:val="en-US" w:eastAsia="zh-CN" w:bidi="ar"/>
              </w:rPr>
              <w:t>满意度</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r>
              <w:rPr>
                <w:rFonts w:hint="default" w:ascii="Times New Roman" w:hAnsi="Times New Roman" w:cs="Times New Roman"/>
                <w:color w:val="000000"/>
                <w:sz w:val="24"/>
              </w:rPr>
              <w:t>10</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总分</w:t>
            </w:r>
          </w:p>
        </w:tc>
        <w:tc>
          <w:tcPr>
            <w:tcW w:w="9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100</w:t>
            </w:r>
          </w:p>
        </w:tc>
        <w:tc>
          <w:tcPr>
            <w:tcW w:w="1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w:t>
            </w:r>
          </w:p>
        </w:tc>
        <w:tc>
          <w:tcPr>
            <w:tcW w:w="10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100</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100</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
                <w:bCs/>
                <w:color w:val="000000"/>
                <w:kern w:val="0"/>
                <w:sz w:val="24"/>
                <w:lang w:eastAsia="zh-CN"/>
              </w:rPr>
            </w:pPr>
            <w:r>
              <w:rPr>
                <w:rFonts w:hint="default" w:ascii="Times New Roman" w:hAnsi="Times New Roman" w:cs="Times New Roman"/>
                <w:b/>
                <w:bCs/>
                <w:color w:val="000000"/>
                <w:kern w:val="0"/>
                <w:sz w:val="24"/>
              </w:rPr>
              <w:t>9</w:t>
            </w:r>
            <w:r>
              <w:rPr>
                <w:rFonts w:hint="eastAsia" w:cs="Times New Roman"/>
                <w:b/>
                <w:bCs/>
                <w:color w:val="000000"/>
                <w:kern w:val="0"/>
                <w:sz w:val="24"/>
                <w:lang w:val="en-US" w:eastAsia="zh-CN"/>
              </w:rPr>
              <w:t>5</w:t>
            </w:r>
          </w:p>
        </w:tc>
      </w:tr>
      <w:bookmarkEnd w:id="0"/>
    </w:tbl>
    <w:p>
      <w:pPr>
        <w:spacing w:line="600" w:lineRule="exact"/>
        <w:ind w:firstLine="600" w:firstLineChars="200"/>
        <w:rPr>
          <w:rFonts w:ascii="黑体" w:hAnsi="黑体" w:eastAsia="黑体"/>
        </w:rPr>
      </w:pPr>
      <w:r>
        <w:rPr>
          <w:rFonts w:hint="eastAsia" w:ascii="黑体" w:hAnsi="黑体" w:eastAsia="黑体"/>
        </w:rPr>
        <w:t>四、绩效评价指标分析</w:t>
      </w:r>
    </w:p>
    <w:p>
      <w:pPr>
        <w:spacing w:line="600" w:lineRule="exact"/>
        <w:ind w:firstLine="600" w:firstLineChars="200"/>
        <w:rPr>
          <w:rFonts w:hint="default" w:cs="Times New Roman"/>
          <w:b w:val="0"/>
          <w:bCs w:val="0"/>
          <w:sz w:val="30"/>
          <w:szCs w:val="30"/>
          <w:u w:val="none"/>
        </w:rPr>
      </w:pPr>
      <w:r>
        <w:rPr>
          <w:rFonts w:hint="eastAsia" w:cs="Times New Roman"/>
          <w:b w:val="0"/>
          <w:bCs w:val="0"/>
          <w:sz w:val="30"/>
          <w:szCs w:val="30"/>
          <w:u w:val="none"/>
        </w:rPr>
        <w:t>（一）项目决策情况。</w:t>
      </w:r>
    </w:p>
    <w:p>
      <w:pPr>
        <w:spacing w:line="600" w:lineRule="exact"/>
        <w:ind w:firstLine="600" w:firstLineChars="200"/>
        <w:rPr>
          <w:rFonts w:hint="default" w:ascii="Times New Roman" w:hAnsi="Times New Roman" w:cs="Times New Roman"/>
          <w:sz w:val="32"/>
          <w:szCs w:val="32"/>
        </w:rPr>
      </w:pPr>
      <w:r>
        <w:rPr>
          <w:rFonts w:hint="default" w:cs="Times New Roman"/>
          <w:b w:val="0"/>
          <w:bCs w:val="0"/>
          <w:sz w:val="30"/>
          <w:szCs w:val="30"/>
          <w:u w:val="none"/>
        </w:rPr>
        <w:t>项目决策过程主要从项目立项、绩效目标、资金投入三个方面进行评价。主要考察项目立项是否符合法律法规、相关政策、发展规划以及部门职责；项目申请、设立过程是否符合相关要求；项目所设定的绩效目标是否依据充分，是否符合客观实际；绩效</w:t>
      </w:r>
      <w:r>
        <w:rPr>
          <w:rFonts w:hint="default" w:ascii="Times New Roman" w:hAnsi="Times New Roman" w:cs="Times New Roman"/>
          <w:sz w:val="32"/>
          <w:szCs w:val="32"/>
        </w:rPr>
        <w:t>指标是</w:t>
      </w:r>
      <w:r>
        <w:rPr>
          <w:rFonts w:hint="default" w:cs="Times New Roman"/>
          <w:b w:val="0"/>
          <w:bCs w:val="0"/>
          <w:sz w:val="30"/>
          <w:szCs w:val="30"/>
          <w:u w:val="none"/>
        </w:rPr>
        <w:t>否清晰、细化、可衡量等；项目预算编制是否经过科学论证、有明确标准，资金额度与年度目标是否相适应；资金分配是否有测算依据。</w:t>
      </w:r>
    </w:p>
    <w:p>
      <w:pPr>
        <w:snapToGrid w:val="0"/>
        <w:spacing w:line="560" w:lineRule="exact"/>
        <w:ind w:firstLine="641" w:firstLineChars="200"/>
        <w:outlineLvl w:val="2"/>
        <w:rPr>
          <w:rFonts w:hint="default" w:ascii="Times New Roman" w:hAnsi="Times New Roman" w:cs="Times New Roman"/>
          <w:sz w:val="32"/>
          <w:szCs w:val="32"/>
        </w:rPr>
      </w:pPr>
      <w:r>
        <w:rPr>
          <w:rFonts w:hint="default" w:ascii="Times New Roman" w:hAnsi="Times New Roman" w:cs="Times New Roman"/>
          <w:b/>
          <w:bCs/>
          <w:sz w:val="32"/>
          <w:szCs w:val="32"/>
        </w:rPr>
        <w:t>1.项目立项</w:t>
      </w:r>
      <w:bookmarkStart w:id="1" w:name="_Hlk99467607"/>
      <w:r>
        <w:rPr>
          <w:rFonts w:hint="default" w:ascii="Times New Roman" w:hAnsi="Times New Roman" w:cs="Times New Roman"/>
          <w:b/>
          <w:bCs/>
          <w:sz w:val="32"/>
          <w:szCs w:val="32"/>
        </w:rPr>
        <w:t>（满分7分，得分7分）</w:t>
      </w:r>
      <w:bookmarkEnd w:id="1"/>
    </w:p>
    <w:p>
      <w:pPr>
        <w:spacing w:line="560" w:lineRule="exact"/>
        <w:ind w:firstLine="600" w:firstLineChars="200"/>
        <w:rPr>
          <w:rFonts w:hint="default" w:ascii="Times New Roman" w:hAnsi="Times New Roman" w:eastAsia="仿宋_GB2312" w:cs="Times New Roman"/>
          <w:sz w:val="32"/>
          <w:szCs w:val="32"/>
          <w:lang w:val="en-US" w:eastAsia="zh-CN"/>
        </w:rPr>
      </w:pPr>
      <w:r>
        <w:rPr>
          <w:rFonts w:hint="eastAsia" w:cs="Times New Roman"/>
          <w:b w:val="0"/>
          <w:bCs w:val="0"/>
          <w:sz w:val="30"/>
          <w:szCs w:val="30"/>
          <w:u w:val="none"/>
          <w:lang w:val="en-US" w:eastAsia="zh-CN"/>
        </w:rPr>
        <w:t>本项目由深圳市深汕特别合作区住房建设和水务局立项，后移交至区建筑工务署。</w:t>
      </w:r>
      <w:r>
        <w:rPr>
          <w:rFonts w:hint="default" w:cs="Times New Roman"/>
          <w:b w:val="0"/>
          <w:bCs w:val="0"/>
          <w:sz w:val="30"/>
          <w:szCs w:val="30"/>
          <w:u w:val="none"/>
        </w:rPr>
        <w:t>项目立项符合国家法律法规、国民经济发展规划和政策，符合行业发展且符合单位职责范围，属于部门履职所需；项目按照规定的程序申请设立，审批文件记相关材料手续完整，资料齐全，立项前已经可行性研究并报党组会议讨论决定。</w:t>
      </w:r>
      <w:r>
        <w:rPr>
          <w:rFonts w:hint="eastAsia" w:cs="Times New Roman"/>
          <w:b w:val="0"/>
          <w:bCs w:val="0"/>
          <w:sz w:val="30"/>
          <w:szCs w:val="30"/>
          <w:u w:val="none"/>
          <w:lang w:val="en-US" w:eastAsia="zh-CN"/>
        </w:rPr>
        <w:t>项目在移交时相关资料手续完整，资料齐全，故该项得满分。</w:t>
      </w:r>
    </w:p>
    <w:p>
      <w:pPr>
        <w:snapToGrid w:val="0"/>
        <w:spacing w:line="560" w:lineRule="exact"/>
        <w:ind w:firstLine="641" w:firstLineChars="200"/>
        <w:outlineLvl w:val="2"/>
        <w:rPr>
          <w:rFonts w:hint="default" w:ascii="Times New Roman" w:hAnsi="Times New Roman" w:cs="Times New Roman"/>
          <w:b/>
          <w:bCs/>
          <w:sz w:val="32"/>
          <w:szCs w:val="32"/>
        </w:rPr>
      </w:pPr>
      <w:r>
        <w:rPr>
          <w:rFonts w:hint="default" w:ascii="Times New Roman" w:hAnsi="Times New Roman" w:cs="Times New Roman"/>
          <w:b/>
          <w:bCs/>
          <w:sz w:val="32"/>
          <w:szCs w:val="32"/>
        </w:rPr>
        <w:t>2.绩效目标</w:t>
      </w:r>
      <w:bookmarkStart w:id="2" w:name="_Hlk99467623"/>
      <w:r>
        <w:rPr>
          <w:rFonts w:hint="default" w:ascii="Times New Roman" w:hAnsi="Times New Roman" w:cs="Times New Roman"/>
          <w:b/>
          <w:bCs/>
          <w:sz w:val="32"/>
          <w:szCs w:val="32"/>
        </w:rPr>
        <w:t>（满分7分，得分</w:t>
      </w:r>
      <w:r>
        <w:rPr>
          <w:rFonts w:hint="eastAsia" w:cs="Times New Roman"/>
          <w:b/>
          <w:bCs/>
          <w:sz w:val="32"/>
          <w:szCs w:val="32"/>
          <w:lang w:val="en-US" w:eastAsia="zh-CN"/>
        </w:rPr>
        <w:t>3</w:t>
      </w:r>
      <w:r>
        <w:rPr>
          <w:rFonts w:hint="default" w:ascii="Times New Roman" w:hAnsi="Times New Roman" w:cs="Times New Roman"/>
          <w:b/>
          <w:bCs/>
          <w:sz w:val="32"/>
          <w:szCs w:val="32"/>
        </w:rPr>
        <w:t>分）</w:t>
      </w:r>
      <w:bookmarkEnd w:id="2"/>
    </w:p>
    <w:p>
      <w:pPr>
        <w:spacing w:line="560" w:lineRule="exact"/>
        <w:ind w:firstLine="600" w:firstLineChars="200"/>
        <w:rPr>
          <w:rFonts w:hint="default" w:ascii="Times New Roman" w:hAnsi="Times New Roman" w:cs="Times New Roman"/>
          <w:sz w:val="32"/>
          <w:szCs w:val="32"/>
          <w:shd w:val="clear" w:color="auto" w:fill="FFFFFF"/>
          <w:lang w:val="en-US"/>
        </w:rPr>
      </w:pPr>
      <w:r>
        <w:rPr>
          <w:rFonts w:hint="default" w:cs="Times New Roman"/>
          <w:b w:val="0"/>
          <w:bCs w:val="0"/>
          <w:sz w:val="30"/>
          <w:szCs w:val="30"/>
          <w:u w:val="none"/>
        </w:rPr>
        <w:t>本项目</w:t>
      </w:r>
      <w:r>
        <w:rPr>
          <w:rFonts w:hint="eastAsia" w:cs="Times New Roman"/>
          <w:b w:val="0"/>
          <w:bCs w:val="0"/>
          <w:sz w:val="30"/>
          <w:szCs w:val="30"/>
          <w:u w:val="none"/>
          <w:lang w:val="en-US" w:eastAsia="zh-CN"/>
        </w:rPr>
        <w:t>设有绩效目标，项目绩效目标与实际工作内容具有相关性，但项目绩效目标未体现项目预期要达到的效益效果，目标中涉及的金额与该项目2021年度预算确定的项目投资额或资金量不匹配。本项目将绩效目标细化分解为具体的绩效指标，绩效指标包括数量、质量、时效、成本、生态效益、社会效益、经济效益及满意度，但指标中部分指标值与实际内容有差异，个别指标设置有误，如在生态效益指标中设置了满意度指标等，故该项得3分。</w:t>
      </w:r>
    </w:p>
    <w:p>
      <w:pPr>
        <w:snapToGrid w:val="0"/>
        <w:spacing w:line="560" w:lineRule="exact"/>
        <w:ind w:firstLine="641" w:firstLineChars="200"/>
        <w:outlineLvl w:val="2"/>
        <w:rPr>
          <w:rFonts w:hint="default" w:ascii="Times New Roman" w:hAnsi="Times New Roman" w:cs="Times New Roman"/>
          <w:b/>
          <w:bCs/>
          <w:sz w:val="32"/>
          <w:szCs w:val="32"/>
        </w:rPr>
      </w:pPr>
      <w:r>
        <w:rPr>
          <w:rFonts w:hint="default" w:ascii="Times New Roman" w:hAnsi="Times New Roman" w:cs="Times New Roman"/>
          <w:b/>
          <w:bCs/>
          <w:sz w:val="32"/>
          <w:szCs w:val="32"/>
        </w:rPr>
        <w:t>3.资金投入</w:t>
      </w:r>
      <w:bookmarkStart w:id="3" w:name="_Hlk99467649"/>
      <w:r>
        <w:rPr>
          <w:rFonts w:hint="default" w:ascii="Times New Roman" w:hAnsi="Times New Roman" w:cs="Times New Roman"/>
          <w:b/>
          <w:bCs/>
          <w:sz w:val="32"/>
          <w:szCs w:val="32"/>
        </w:rPr>
        <w:t>（满分6分，得分</w:t>
      </w:r>
      <w:r>
        <w:rPr>
          <w:rFonts w:hint="eastAsia" w:cs="Times New Roman"/>
          <w:b/>
          <w:bCs/>
          <w:sz w:val="32"/>
          <w:szCs w:val="32"/>
          <w:lang w:val="en-US" w:eastAsia="zh-CN"/>
        </w:rPr>
        <w:t>5</w:t>
      </w:r>
      <w:r>
        <w:rPr>
          <w:rFonts w:hint="default" w:ascii="Times New Roman" w:hAnsi="Times New Roman" w:cs="Times New Roman"/>
          <w:b/>
          <w:bCs/>
          <w:sz w:val="32"/>
          <w:szCs w:val="32"/>
        </w:rPr>
        <w:t>分）</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lang w:eastAsia="zh-CN"/>
        </w:rPr>
      </w:pPr>
      <w:r>
        <w:rPr>
          <w:rFonts w:hint="default" w:cs="Times New Roman"/>
          <w:b w:val="0"/>
          <w:bCs w:val="0"/>
          <w:sz w:val="30"/>
          <w:szCs w:val="30"/>
          <w:u w:val="none"/>
        </w:rPr>
        <w:t>项目总预算为</w:t>
      </w:r>
      <w:r>
        <w:rPr>
          <w:rFonts w:hint="default" w:cs="Times New Roman"/>
          <w:b w:val="0"/>
          <w:bCs w:val="0"/>
          <w:sz w:val="30"/>
          <w:szCs w:val="30"/>
          <w:u w:val="none"/>
          <w:lang w:val="en-US" w:eastAsia="zh-CN"/>
        </w:rPr>
        <w:t>17,385.26万元</w:t>
      </w:r>
      <w:r>
        <w:rPr>
          <w:rFonts w:hint="default" w:cs="Times New Roman"/>
          <w:b w:val="0"/>
          <w:bCs w:val="0"/>
          <w:sz w:val="30"/>
          <w:szCs w:val="30"/>
          <w:u w:val="none"/>
        </w:rPr>
        <w:t>，资金纳入部门年度预算管理。预算内容与项目内容相符，项目资金分配根据实际工作内容进行划分，预算编制过程中严格执行相关规定，但预算测算依据不够清晰，测算内容未细化，故预算编制科学性扣1分</w:t>
      </w:r>
      <w:r>
        <w:rPr>
          <w:rFonts w:hint="eastAsia" w:cs="Times New Roman"/>
          <w:b w:val="0"/>
          <w:bCs w:val="0"/>
          <w:sz w:val="30"/>
          <w:szCs w:val="30"/>
          <w:u w:val="none"/>
          <w:lang w:eastAsia="zh-CN"/>
        </w:rPr>
        <w:t>。</w:t>
      </w:r>
    </w:p>
    <w:p>
      <w:pPr>
        <w:spacing w:line="600" w:lineRule="exact"/>
        <w:ind w:firstLine="601" w:firstLineChars="200"/>
        <w:outlineLvl w:val="0"/>
        <w:rPr>
          <w:rFonts w:ascii="仿宋_GB2312"/>
          <w:b/>
          <w:bCs/>
        </w:rPr>
      </w:pPr>
      <w:r>
        <w:rPr>
          <w:rFonts w:hint="eastAsia" w:ascii="仿宋_GB2312"/>
          <w:b/>
          <w:bCs/>
        </w:rPr>
        <w:t>（二）项目过程情况</w:t>
      </w:r>
    </w:p>
    <w:p>
      <w:pPr>
        <w:spacing w:line="600" w:lineRule="exact"/>
        <w:ind w:firstLine="600" w:firstLineChars="200"/>
        <w:rPr>
          <w:rFonts w:hint="default" w:cs="Times New Roman"/>
          <w:b w:val="0"/>
          <w:bCs w:val="0"/>
          <w:sz w:val="30"/>
          <w:szCs w:val="30"/>
          <w:u w:val="none"/>
        </w:rPr>
      </w:pPr>
      <w:bookmarkStart w:id="4" w:name="_Hlk44863406"/>
      <w:r>
        <w:rPr>
          <w:rFonts w:hint="default" w:cs="Times New Roman"/>
          <w:b w:val="0"/>
          <w:bCs w:val="0"/>
          <w:sz w:val="30"/>
          <w:szCs w:val="30"/>
          <w:u w:val="none"/>
        </w:rPr>
        <w:t>项目过程情况主要从资金管理和组织实施两个方面进行评价。主要考察项目资金到位率情况；项目预算资金是否按照计划执行；项目资金使用是否符合相关的财务管理制度规定；项目实施单位的财务和业务管理制度是否健全；项目实施是否符合相关管理规定。</w:t>
      </w:r>
      <w:bookmarkEnd w:id="4"/>
    </w:p>
    <w:p>
      <w:pPr>
        <w:spacing w:line="600" w:lineRule="exact"/>
        <w:ind w:firstLine="600" w:firstLineChars="200"/>
        <w:rPr>
          <w:rFonts w:hint="default" w:ascii="Times New Roman" w:hAnsi="Times New Roman" w:cs="Times New Roman"/>
        </w:rPr>
      </w:pPr>
      <w:bookmarkStart w:id="5" w:name="_Hlk99467665"/>
      <w:r>
        <w:rPr>
          <w:rFonts w:hint="default" w:cs="Times New Roman"/>
          <w:b w:val="0"/>
          <w:bCs w:val="0"/>
          <w:sz w:val="30"/>
          <w:szCs w:val="30"/>
          <w:u w:val="none"/>
        </w:rPr>
        <w:t>“项目过程”指标的一级指标满分为20分，该项指标得分20分。具体分析如下：</w:t>
      </w:r>
    </w:p>
    <w:bookmarkEnd w:id="5"/>
    <w:p>
      <w:pPr>
        <w:snapToGrid w:val="0"/>
        <w:spacing w:line="560" w:lineRule="exact"/>
        <w:ind w:firstLine="641" w:firstLineChars="200"/>
        <w:outlineLvl w:val="2"/>
        <w:rPr>
          <w:rFonts w:hint="default" w:ascii="Times New Roman" w:hAnsi="Times New Roman" w:cs="Times New Roman"/>
          <w:b/>
          <w:bCs/>
          <w:sz w:val="32"/>
          <w:szCs w:val="32"/>
        </w:rPr>
      </w:pPr>
      <w:r>
        <w:rPr>
          <w:rFonts w:hint="default" w:ascii="Times New Roman" w:hAnsi="Times New Roman" w:cs="Times New Roman"/>
          <w:b/>
          <w:bCs/>
          <w:sz w:val="32"/>
          <w:szCs w:val="32"/>
        </w:rPr>
        <w:t>1.资金管理</w:t>
      </w:r>
      <w:bookmarkStart w:id="6" w:name="_Hlk99467674"/>
      <w:r>
        <w:rPr>
          <w:rFonts w:hint="default" w:ascii="Times New Roman" w:hAnsi="Times New Roman" w:cs="Times New Roman"/>
          <w:b/>
          <w:bCs/>
          <w:sz w:val="32"/>
          <w:szCs w:val="32"/>
        </w:rPr>
        <w:t>（满分12分，得分12分）</w:t>
      </w:r>
    </w:p>
    <w:bookmarkEnd w:id="6"/>
    <w:p>
      <w:pPr>
        <w:spacing w:line="560" w:lineRule="exact"/>
        <w:ind w:firstLine="600" w:firstLineChars="200"/>
        <w:rPr>
          <w:rFonts w:hint="default" w:ascii="Times New Roman" w:hAnsi="Times New Roman" w:cs="Times New Roman"/>
          <w:sz w:val="32"/>
          <w:szCs w:val="32"/>
        </w:rPr>
      </w:pPr>
      <w:r>
        <w:rPr>
          <w:rFonts w:hint="default" w:cs="Times New Roman"/>
          <w:b w:val="0"/>
          <w:bCs w:val="0"/>
          <w:sz w:val="30"/>
          <w:szCs w:val="30"/>
          <w:u w:val="none"/>
        </w:rPr>
        <w:t>本务项目总预算为</w:t>
      </w:r>
      <w:r>
        <w:rPr>
          <w:rFonts w:hint="eastAsia" w:ascii="仿宋_GB2312"/>
          <w:highlight w:val="none"/>
          <w:lang w:val="en-US" w:eastAsia="zh-CN"/>
        </w:rPr>
        <w:t>17,385.26</w:t>
      </w:r>
      <w:r>
        <w:rPr>
          <w:rFonts w:hint="default" w:cs="Times New Roman"/>
          <w:b w:val="0"/>
          <w:bCs w:val="0"/>
          <w:sz w:val="30"/>
          <w:szCs w:val="30"/>
          <w:u w:val="none"/>
          <w:lang w:val="en-US" w:eastAsia="zh-CN"/>
        </w:rPr>
        <w:t>万元</w:t>
      </w:r>
      <w:r>
        <w:rPr>
          <w:rFonts w:hint="default" w:cs="Times New Roman"/>
          <w:b w:val="0"/>
          <w:bCs w:val="0"/>
          <w:sz w:val="30"/>
          <w:szCs w:val="30"/>
          <w:u w:val="none"/>
        </w:rPr>
        <w:t>，资金到位率100%，资金批复到位，资金到位率指标得4分；本项目2021年实际支出</w:t>
      </w:r>
      <w:r>
        <w:rPr>
          <w:rFonts w:hint="eastAsia" w:ascii="仿宋_GB2312"/>
          <w:highlight w:val="none"/>
          <w:lang w:val="en-US" w:eastAsia="zh-CN"/>
        </w:rPr>
        <w:t>17,385.26</w:t>
      </w:r>
      <w:r>
        <w:rPr>
          <w:rFonts w:hint="default" w:cs="Times New Roman"/>
          <w:b w:val="0"/>
          <w:bCs w:val="0"/>
          <w:sz w:val="30"/>
          <w:szCs w:val="30"/>
          <w:u w:val="none"/>
          <w:lang w:val="en-US" w:eastAsia="zh-CN"/>
        </w:rPr>
        <w:t>万元</w:t>
      </w:r>
      <w:r>
        <w:rPr>
          <w:rFonts w:hint="default" w:cs="Times New Roman"/>
          <w:b w:val="0"/>
          <w:bCs w:val="0"/>
          <w:sz w:val="30"/>
          <w:szCs w:val="30"/>
          <w:u w:val="none"/>
        </w:rPr>
        <w:t>，预算执行率</w:t>
      </w:r>
      <w:r>
        <w:rPr>
          <w:rFonts w:hint="eastAsia" w:cs="Times New Roman"/>
          <w:b w:val="0"/>
          <w:bCs w:val="0"/>
          <w:sz w:val="30"/>
          <w:szCs w:val="30"/>
          <w:u w:val="none"/>
          <w:lang w:val="en-US" w:eastAsia="zh-CN"/>
        </w:rPr>
        <w:t>为</w:t>
      </w:r>
      <w:r>
        <w:rPr>
          <w:rFonts w:hint="default" w:cs="Times New Roman"/>
          <w:b w:val="0"/>
          <w:bCs w:val="0"/>
          <w:sz w:val="30"/>
          <w:szCs w:val="30"/>
          <w:u w:val="none"/>
        </w:rPr>
        <w:t>100%，故预算执行率指标得4分；预算资金得使用符合国家财经法规和财务管理制度以及有关专项资金管理办法得规定，资金拨付有完整的审批程序，符合项目预算批复规定得用途，不存在截留、挤占、挪用、虚列支出的情况，故资金使用合规性指标得4分。</w:t>
      </w:r>
    </w:p>
    <w:p>
      <w:pPr>
        <w:spacing w:line="560" w:lineRule="exact"/>
        <w:ind w:firstLine="641" w:firstLineChars="200"/>
        <w:outlineLvl w:val="2"/>
        <w:rPr>
          <w:rFonts w:hint="default" w:ascii="Times New Roman" w:hAnsi="Times New Roman" w:cs="Times New Roman"/>
          <w:b/>
          <w:bCs/>
          <w:sz w:val="32"/>
          <w:szCs w:val="32"/>
        </w:rPr>
      </w:pPr>
      <w:r>
        <w:rPr>
          <w:rFonts w:hint="default" w:ascii="Times New Roman" w:hAnsi="Times New Roman" w:cs="Times New Roman"/>
          <w:b/>
          <w:bCs/>
          <w:sz w:val="32"/>
          <w:szCs w:val="32"/>
        </w:rPr>
        <w:t>2.组织实施</w:t>
      </w:r>
      <w:bookmarkStart w:id="7" w:name="_Hlk99467683"/>
      <w:r>
        <w:rPr>
          <w:rFonts w:hint="default" w:ascii="Times New Roman" w:hAnsi="Times New Roman" w:cs="Times New Roman"/>
          <w:b/>
          <w:bCs/>
          <w:sz w:val="32"/>
          <w:szCs w:val="32"/>
        </w:rPr>
        <w:t>（满分8分，得分8分）</w:t>
      </w:r>
    </w:p>
    <w:bookmarkEnd w:id="7"/>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default" w:ascii="仿宋_GB2312" w:eastAsia="仿宋_GB2312"/>
          <w:lang w:val="en-US" w:eastAsia="zh-CN"/>
        </w:rPr>
      </w:pPr>
      <w:r>
        <w:rPr>
          <w:rFonts w:hint="default" w:cs="Times New Roman"/>
          <w:b w:val="0"/>
          <w:bCs w:val="0"/>
          <w:sz w:val="30"/>
          <w:szCs w:val="30"/>
          <w:u w:val="none"/>
        </w:rPr>
        <w:t>在业务管理方面，管理制度健全。</w:t>
      </w:r>
      <w:r>
        <w:rPr>
          <w:rFonts w:hint="eastAsia" w:cs="Times New Roman"/>
          <w:b w:val="0"/>
          <w:bCs w:val="0"/>
          <w:sz w:val="30"/>
          <w:szCs w:val="30"/>
          <w:u w:val="none"/>
          <w:lang w:eastAsia="zh-CN"/>
        </w:rPr>
        <w:t>区建筑工务署</w:t>
      </w:r>
      <w:r>
        <w:rPr>
          <w:rFonts w:hint="default" w:cs="Times New Roman"/>
          <w:b w:val="0"/>
          <w:bCs w:val="0"/>
          <w:sz w:val="30"/>
          <w:szCs w:val="30"/>
          <w:u w:val="none"/>
        </w:rPr>
        <w:t>为了顺利开展项目工作，由</w:t>
      </w:r>
      <w:r>
        <w:rPr>
          <w:rFonts w:hint="eastAsia" w:cs="Times New Roman"/>
          <w:b w:val="0"/>
          <w:bCs w:val="0"/>
          <w:sz w:val="30"/>
          <w:szCs w:val="30"/>
          <w:u w:val="none"/>
          <w:lang w:val="en-US" w:eastAsia="zh-CN"/>
        </w:rPr>
        <w:t>工程</w:t>
      </w:r>
      <w:r>
        <w:rPr>
          <w:rFonts w:hint="default" w:cs="Times New Roman"/>
          <w:b w:val="0"/>
          <w:bCs w:val="0"/>
          <w:sz w:val="30"/>
          <w:szCs w:val="30"/>
          <w:u w:val="none"/>
        </w:rPr>
        <w:t>部主导，</w:t>
      </w:r>
      <w:r>
        <w:rPr>
          <w:rFonts w:hint="eastAsia" w:cs="Times New Roman"/>
          <w:b w:val="0"/>
          <w:bCs w:val="0"/>
          <w:sz w:val="30"/>
          <w:szCs w:val="30"/>
          <w:u w:val="none"/>
          <w:lang w:val="en-US" w:eastAsia="zh-CN"/>
        </w:rPr>
        <w:t>通过招投标的方式选取了代建单位、设计单位、施工单位、监理单位及监测单位。同时区建筑工务署制定了财务管理制度、采购管理制度、工程管理等制度，保障了项目的顺利实施，项目相关资料齐全并及时归档，故该项得满分。</w:t>
      </w:r>
    </w:p>
    <w:p>
      <w:pPr>
        <w:spacing w:line="600" w:lineRule="exact"/>
        <w:ind w:firstLine="601" w:firstLineChars="200"/>
        <w:outlineLvl w:val="0"/>
        <w:rPr>
          <w:rFonts w:ascii="仿宋_GB2312"/>
          <w:b/>
          <w:bCs/>
        </w:rPr>
      </w:pPr>
      <w:r>
        <w:rPr>
          <w:rFonts w:hint="eastAsia" w:ascii="仿宋_GB2312"/>
          <w:b/>
          <w:bCs/>
        </w:rPr>
        <w:t>（三）项目产出情况</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2"/>
        <w:rPr>
          <w:rFonts w:hint="eastAsia" w:ascii="仿宋_GB2312"/>
        </w:rPr>
      </w:pPr>
      <w:r>
        <w:rPr>
          <w:rFonts w:hint="default" w:ascii="Times New Roman" w:hAnsi="Times New Roman" w:cs="Times New Roman"/>
          <w:b/>
          <w:bCs/>
          <w:sz w:val="32"/>
          <w:szCs w:val="32"/>
        </w:rPr>
        <w:t>1.产出数量（满分15分，得分15分）</w:t>
      </w:r>
    </w:p>
    <w:p>
      <w:pPr>
        <w:spacing w:line="600" w:lineRule="exact"/>
        <w:ind w:firstLine="600" w:firstLineChars="200"/>
        <w:rPr>
          <w:rFonts w:hint="eastAsia" w:cs="Times New Roman"/>
          <w:b w:val="0"/>
          <w:bCs w:val="0"/>
          <w:sz w:val="30"/>
          <w:szCs w:val="30"/>
          <w:u w:val="none"/>
          <w:lang w:val="en-US" w:eastAsia="zh-CN"/>
        </w:rPr>
      </w:pPr>
      <w:r>
        <w:rPr>
          <w:rFonts w:hint="eastAsia" w:cs="Times New Roman"/>
          <w:b w:val="0"/>
          <w:bCs w:val="0"/>
          <w:sz w:val="30"/>
          <w:szCs w:val="30"/>
          <w:u w:val="none"/>
          <w:lang w:val="en-US" w:eastAsia="zh-CN"/>
        </w:rPr>
        <w:t>本项目2021年已完成竣工验收，项目完成建设里程数6.885KM，共建设桥梁5座，其中新建大桥一座，中桥4座，建设隧道一座，项目较好的完成了预期目标，故该项得满分。</w:t>
      </w:r>
    </w:p>
    <w:p>
      <w:pPr>
        <w:spacing w:line="560" w:lineRule="exact"/>
        <w:ind w:firstLine="641" w:firstLineChars="200"/>
        <w:outlineLvl w:val="2"/>
        <w:rPr>
          <w:rFonts w:hint="default" w:ascii="Times New Roman" w:hAnsi="Times New Roman" w:cs="Times New Roman"/>
          <w:b/>
          <w:bCs/>
          <w:sz w:val="32"/>
          <w:szCs w:val="32"/>
        </w:rPr>
      </w:pPr>
      <w:r>
        <w:rPr>
          <w:rFonts w:hint="default" w:ascii="Times New Roman" w:hAnsi="Times New Roman" w:cs="Times New Roman"/>
          <w:b/>
          <w:bCs/>
          <w:sz w:val="32"/>
          <w:szCs w:val="32"/>
        </w:rPr>
        <w:t>2.产出质量</w:t>
      </w:r>
      <w:bookmarkStart w:id="8" w:name="_Hlk99467754"/>
      <w:r>
        <w:rPr>
          <w:rFonts w:hint="default" w:ascii="Times New Roman" w:hAnsi="Times New Roman" w:cs="Times New Roman"/>
          <w:b/>
          <w:bCs/>
          <w:sz w:val="32"/>
          <w:szCs w:val="32"/>
        </w:rPr>
        <w:t>（满分1</w:t>
      </w:r>
      <w:r>
        <w:rPr>
          <w:rFonts w:hint="eastAsia" w:cs="Times New Roman"/>
          <w:b/>
          <w:bCs/>
          <w:sz w:val="32"/>
          <w:szCs w:val="32"/>
          <w:lang w:val="en-US" w:eastAsia="zh-CN"/>
        </w:rPr>
        <w:t>0</w:t>
      </w:r>
      <w:r>
        <w:rPr>
          <w:rFonts w:hint="default" w:ascii="Times New Roman" w:hAnsi="Times New Roman" w:cs="Times New Roman"/>
          <w:b/>
          <w:bCs/>
          <w:sz w:val="32"/>
          <w:szCs w:val="32"/>
        </w:rPr>
        <w:t>分，得分1</w:t>
      </w:r>
      <w:r>
        <w:rPr>
          <w:rFonts w:hint="eastAsia" w:cs="Times New Roman"/>
          <w:b/>
          <w:bCs/>
          <w:sz w:val="32"/>
          <w:szCs w:val="32"/>
          <w:lang w:val="en-US" w:eastAsia="zh-CN"/>
        </w:rPr>
        <w:t>0</w:t>
      </w:r>
      <w:r>
        <w:rPr>
          <w:rFonts w:hint="default" w:ascii="Times New Roman" w:hAnsi="Times New Roman" w:cs="Times New Roman"/>
          <w:b/>
          <w:bCs/>
          <w:sz w:val="32"/>
          <w:szCs w:val="32"/>
        </w:rPr>
        <w:t>分）</w:t>
      </w:r>
    </w:p>
    <w:bookmarkEnd w:id="8"/>
    <w:p>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b w:val="0"/>
          <w:bCs w:val="0"/>
          <w:kern w:val="2"/>
          <w:sz w:val="30"/>
          <w:szCs w:val="30"/>
          <w:u w:val="none"/>
          <w:lang w:val="en-US" w:eastAsia="zh-CN" w:bidi="ar-SA"/>
        </w:rPr>
      </w:pPr>
      <w:r>
        <w:rPr>
          <w:rFonts w:hint="eastAsia" w:ascii="Times New Roman" w:hAnsi="Times New Roman" w:eastAsia="仿宋_GB2312" w:cs="Times New Roman"/>
          <w:b w:val="0"/>
          <w:bCs w:val="0"/>
          <w:kern w:val="2"/>
          <w:sz w:val="30"/>
          <w:szCs w:val="30"/>
          <w:u w:val="none"/>
          <w:lang w:val="en-US" w:eastAsia="zh-CN" w:bidi="ar-SA"/>
        </w:rPr>
        <w:t>本项目符合《公路工程质量检验评定标准》，设计图纸审查通过率为100%，项目在施工过程中，未发生过安全事故，安全事故发生率为0，故该项得满分。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textAlignment w:val="auto"/>
        <w:outlineLvl w:val="2"/>
        <w:rPr>
          <w:rFonts w:hint="default" w:ascii="Times New Roman" w:hAnsi="Times New Roman" w:cs="Times New Roman"/>
          <w:b/>
          <w:bCs/>
          <w:sz w:val="32"/>
          <w:szCs w:val="32"/>
        </w:rPr>
      </w:pPr>
      <w:r>
        <w:rPr>
          <w:rFonts w:hint="eastAsia" w:cs="Times New Roman"/>
          <w:b/>
          <w:bCs/>
          <w:sz w:val="32"/>
          <w:szCs w:val="32"/>
          <w:lang w:val="en-US" w:eastAsia="zh-CN"/>
        </w:rPr>
        <w:t>3.</w:t>
      </w:r>
      <w:r>
        <w:rPr>
          <w:rFonts w:hint="default" w:ascii="Times New Roman" w:hAnsi="Times New Roman" w:cs="Times New Roman"/>
          <w:b/>
          <w:bCs/>
          <w:sz w:val="32"/>
          <w:szCs w:val="32"/>
        </w:rPr>
        <w:t>产出时效（满分5分，得分5分）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bCs/>
          <w:kern w:val="2"/>
          <w:sz w:val="30"/>
          <w:szCs w:val="24"/>
          <w:lang w:val="en-US" w:eastAsia="zh-CN" w:bidi="ar-SA"/>
        </w:rPr>
      </w:pPr>
      <w:r>
        <w:rPr>
          <w:rFonts w:hint="eastAsia" w:cs="Times New Roman"/>
          <w:b w:val="0"/>
          <w:bCs w:val="0"/>
          <w:sz w:val="30"/>
          <w:szCs w:val="30"/>
          <w:u w:val="none"/>
          <w:lang w:val="en-US" w:eastAsia="zh-CN"/>
        </w:rPr>
        <w:t>本项目设计图纸应于2021年8月完成，根据施工图设计文件审查合格书显示，图纸设计单位于2021年7月提交了设计图纸，图纸提交及时。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textAlignment w:val="auto"/>
        <w:outlineLvl w:val="2"/>
        <w:rPr>
          <w:rFonts w:hint="eastAsia" w:cs="Times New Roman"/>
          <w:b/>
          <w:bCs/>
          <w:sz w:val="32"/>
          <w:szCs w:val="32"/>
          <w:lang w:val="en-US" w:eastAsia="zh-CN"/>
        </w:rPr>
      </w:pPr>
      <w:r>
        <w:rPr>
          <w:rFonts w:hint="eastAsia" w:cs="Times New Roman"/>
          <w:b/>
          <w:bCs/>
          <w:sz w:val="32"/>
          <w:szCs w:val="32"/>
          <w:lang w:val="en-US" w:eastAsia="zh-CN"/>
        </w:rPr>
        <w:t>4.产出成本（满分4分，得4分）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default" w:cs="Times New Roman"/>
          <w:sz w:val="32"/>
          <w:szCs w:val="32"/>
          <w:lang w:val="en-US" w:eastAsia="zh-CN"/>
        </w:rPr>
      </w:pPr>
      <w:r>
        <w:rPr>
          <w:rFonts w:hint="eastAsia" w:cs="Times New Roman"/>
          <w:b w:val="0"/>
          <w:bCs w:val="0"/>
          <w:sz w:val="30"/>
          <w:szCs w:val="30"/>
          <w:u w:val="none"/>
          <w:lang w:val="en-US" w:eastAsia="zh-CN"/>
        </w:rPr>
        <w:t>本项目预算金额为</w:t>
      </w:r>
      <w:r>
        <w:rPr>
          <w:rFonts w:hint="eastAsia" w:ascii="仿宋_GB2312"/>
          <w:highlight w:val="none"/>
          <w:lang w:val="en-US" w:eastAsia="zh-CN"/>
        </w:rPr>
        <w:t>17,385.26</w:t>
      </w:r>
      <w:r>
        <w:rPr>
          <w:rFonts w:hint="eastAsia" w:cs="Times New Roman"/>
          <w:b w:val="0"/>
          <w:bCs w:val="0"/>
          <w:sz w:val="30"/>
          <w:szCs w:val="30"/>
          <w:u w:val="none"/>
          <w:lang w:val="en-US" w:eastAsia="zh-CN"/>
        </w:rPr>
        <w:t>万元，2021年实际支出</w:t>
      </w:r>
      <w:bookmarkStart w:id="12" w:name="_GoBack"/>
      <w:r>
        <w:rPr>
          <w:rFonts w:hint="eastAsia" w:ascii="仿宋_GB2312"/>
          <w:highlight w:val="none"/>
          <w:lang w:val="en-US" w:eastAsia="zh-CN"/>
        </w:rPr>
        <w:t>17,385.26</w:t>
      </w:r>
      <w:bookmarkEnd w:id="12"/>
      <w:r>
        <w:rPr>
          <w:rFonts w:hint="eastAsia" w:cs="Times New Roman"/>
          <w:b w:val="0"/>
          <w:bCs w:val="0"/>
          <w:sz w:val="30"/>
          <w:szCs w:val="30"/>
          <w:u w:val="none"/>
          <w:lang w:val="en-US" w:eastAsia="zh-CN"/>
        </w:rPr>
        <w:t>万元，支出未超过项目预算，故本项得满分。</w:t>
      </w:r>
    </w:p>
    <w:p>
      <w:pPr>
        <w:spacing w:line="600" w:lineRule="exact"/>
        <w:ind w:firstLine="601" w:firstLineChars="200"/>
        <w:outlineLvl w:val="0"/>
        <w:rPr>
          <w:rFonts w:ascii="仿宋_GB2312"/>
          <w:b/>
          <w:bCs/>
        </w:rPr>
      </w:pPr>
      <w:r>
        <w:rPr>
          <w:rFonts w:hint="eastAsia" w:ascii="仿宋_GB2312"/>
          <w:b/>
          <w:bCs/>
        </w:rPr>
        <w:t>（四）项目效益情况</w:t>
      </w:r>
    </w:p>
    <w:p>
      <w:pPr>
        <w:spacing w:line="600" w:lineRule="exact"/>
        <w:ind w:firstLine="600" w:firstLineChars="200"/>
        <w:rPr>
          <w:rFonts w:hint="default" w:cs="Times New Roman"/>
          <w:b w:val="0"/>
          <w:bCs w:val="0"/>
          <w:sz w:val="30"/>
          <w:szCs w:val="30"/>
          <w:u w:val="none"/>
        </w:rPr>
      </w:pPr>
      <w:bookmarkStart w:id="9" w:name="_Hlk44864900"/>
      <w:bookmarkStart w:id="10" w:name="_Hlk99467797"/>
      <w:r>
        <w:rPr>
          <w:rFonts w:hint="default" w:cs="Times New Roman"/>
          <w:b w:val="0"/>
          <w:bCs w:val="0"/>
          <w:sz w:val="30"/>
          <w:szCs w:val="30"/>
          <w:u w:val="none"/>
        </w:rPr>
        <w:t>项目效益主要从实施效益、满意度两个方面进行评价。主要考察项目实施所产生的效益以及社会公众或服务对象对项目实施效果的满意程度。</w:t>
      </w:r>
      <w:bookmarkEnd w:id="9"/>
    </w:p>
    <w:p>
      <w:pPr>
        <w:spacing w:line="600" w:lineRule="exact"/>
        <w:ind w:firstLine="600" w:firstLineChars="200"/>
        <w:rPr>
          <w:rFonts w:hint="default" w:cs="Times New Roman"/>
          <w:b w:val="0"/>
          <w:bCs w:val="0"/>
          <w:sz w:val="30"/>
          <w:szCs w:val="30"/>
          <w:u w:val="none"/>
        </w:rPr>
      </w:pPr>
      <w:r>
        <w:rPr>
          <w:rFonts w:hint="default" w:cs="Times New Roman"/>
          <w:b w:val="0"/>
          <w:bCs w:val="0"/>
          <w:sz w:val="30"/>
          <w:szCs w:val="30"/>
          <w:u w:val="none"/>
        </w:rPr>
        <w:t>“项目效益”指标的一级指标满分为26分，该项指标得分26分。具体分析如下：</w:t>
      </w:r>
    </w:p>
    <w:bookmarkEnd w:id="10"/>
    <w:p>
      <w:pPr>
        <w:snapToGrid w:val="0"/>
        <w:spacing w:line="560" w:lineRule="exact"/>
        <w:ind w:firstLine="641" w:firstLineChars="200"/>
        <w:outlineLvl w:val="2"/>
        <w:rPr>
          <w:rFonts w:hint="default" w:ascii="Times New Roman" w:hAnsi="Times New Roman" w:cs="Times New Roman"/>
          <w:b/>
          <w:bCs/>
          <w:sz w:val="32"/>
          <w:szCs w:val="32"/>
        </w:rPr>
      </w:pPr>
      <w:r>
        <w:rPr>
          <w:rFonts w:hint="default" w:ascii="Times New Roman" w:hAnsi="Times New Roman" w:cs="Times New Roman"/>
          <w:b/>
          <w:bCs/>
          <w:sz w:val="32"/>
          <w:szCs w:val="32"/>
        </w:rPr>
        <w:t>1.经济效益（满分</w:t>
      </w:r>
      <w:r>
        <w:rPr>
          <w:rFonts w:hint="eastAsia" w:cs="Times New Roman"/>
          <w:b/>
          <w:bCs/>
          <w:sz w:val="32"/>
          <w:szCs w:val="32"/>
          <w:lang w:val="en-US" w:eastAsia="zh-CN"/>
        </w:rPr>
        <w:t>5</w:t>
      </w:r>
      <w:r>
        <w:rPr>
          <w:rFonts w:hint="default" w:ascii="Times New Roman" w:hAnsi="Times New Roman" w:cs="Times New Roman"/>
          <w:b/>
          <w:bCs/>
          <w:sz w:val="32"/>
          <w:szCs w:val="32"/>
        </w:rPr>
        <w:t>分，得分</w:t>
      </w:r>
      <w:r>
        <w:rPr>
          <w:rFonts w:hint="eastAsia" w:cs="Times New Roman"/>
          <w:b/>
          <w:bCs/>
          <w:sz w:val="32"/>
          <w:szCs w:val="32"/>
          <w:lang w:val="en-US" w:eastAsia="zh-CN"/>
        </w:rPr>
        <w:t>5</w:t>
      </w:r>
      <w:r>
        <w:rPr>
          <w:rFonts w:hint="default" w:ascii="Times New Roman" w:hAnsi="Times New Roman" w:cs="Times New Roman"/>
          <w:b/>
          <w:bCs/>
          <w:sz w:val="32"/>
          <w:szCs w:val="32"/>
        </w:rPr>
        <w:t>分）</w:t>
      </w:r>
    </w:p>
    <w:p>
      <w:pPr>
        <w:spacing w:line="560" w:lineRule="exact"/>
        <w:ind w:firstLine="640"/>
        <w:rPr>
          <w:rFonts w:hint="default" w:ascii="Times New Roman" w:hAnsi="Times New Roman" w:eastAsia="仿宋_GB2312" w:cs="Times New Roman"/>
          <w:sz w:val="32"/>
          <w:szCs w:val="32"/>
          <w:lang w:val="en-US" w:eastAsia="zh-CN"/>
        </w:rPr>
      </w:pPr>
      <w:r>
        <w:rPr>
          <w:rFonts w:hint="default" w:cs="Times New Roman"/>
          <w:b w:val="0"/>
          <w:bCs w:val="0"/>
          <w:sz w:val="30"/>
          <w:szCs w:val="30"/>
          <w:u w:val="none"/>
          <w:lang w:val="en-US" w:eastAsia="zh-CN"/>
        </w:rPr>
        <w:t>宜城大道是深汕合作区中心组团和北部组团间交通联系的重要主干道、深汕高铁站客流集散通道、南北向公交主通道和沿河慢行休闲系统的依托通道</w:t>
      </w:r>
      <w:r>
        <w:rPr>
          <w:rFonts w:hint="eastAsia" w:cs="Times New Roman"/>
          <w:b w:val="0"/>
          <w:bCs w:val="0"/>
          <w:sz w:val="30"/>
          <w:szCs w:val="30"/>
          <w:u w:val="none"/>
          <w:lang w:val="en-US" w:eastAsia="zh-CN"/>
        </w:rPr>
        <w:t>，本项目的开展有利于区域城市化建设，进一步提升了投资环境、强化了产业空间布局，从而带动片区经济发展，故该项得满分。</w:t>
      </w:r>
    </w:p>
    <w:p>
      <w:pPr>
        <w:spacing w:line="560" w:lineRule="exact"/>
        <w:ind w:firstLine="640"/>
        <w:outlineLvl w:val="2"/>
        <w:rPr>
          <w:rFonts w:hint="default" w:ascii="Times New Roman" w:hAnsi="Times New Roman" w:cs="Times New Roman"/>
          <w:b/>
          <w:bCs/>
          <w:sz w:val="32"/>
          <w:szCs w:val="32"/>
        </w:rPr>
      </w:pPr>
      <w:r>
        <w:rPr>
          <w:rFonts w:hint="default" w:ascii="Times New Roman" w:hAnsi="Times New Roman" w:cs="Times New Roman"/>
          <w:sz w:val="32"/>
          <w:szCs w:val="32"/>
        </w:rPr>
        <w:t>2.</w:t>
      </w:r>
      <w:r>
        <w:rPr>
          <w:rFonts w:hint="default" w:ascii="Times New Roman" w:hAnsi="Times New Roman" w:cs="Times New Roman"/>
          <w:b/>
          <w:bCs/>
          <w:sz w:val="32"/>
          <w:szCs w:val="32"/>
        </w:rPr>
        <w:t>社会效益（满分</w:t>
      </w:r>
      <w:r>
        <w:rPr>
          <w:rFonts w:hint="eastAsia" w:cs="Times New Roman"/>
          <w:b/>
          <w:bCs/>
          <w:sz w:val="32"/>
          <w:szCs w:val="32"/>
          <w:lang w:val="en-US" w:eastAsia="zh-CN"/>
        </w:rPr>
        <w:t>6</w:t>
      </w:r>
      <w:r>
        <w:rPr>
          <w:rFonts w:hint="default" w:ascii="Times New Roman" w:hAnsi="Times New Roman" w:cs="Times New Roman"/>
          <w:b/>
          <w:bCs/>
          <w:sz w:val="32"/>
          <w:szCs w:val="32"/>
        </w:rPr>
        <w:t>分，得分</w:t>
      </w:r>
      <w:r>
        <w:rPr>
          <w:rFonts w:hint="eastAsia" w:cs="Times New Roman"/>
          <w:b/>
          <w:bCs/>
          <w:sz w:val="32"/>
          <w:szCs w:val="32"/>
          <w:lang w:val="en-US" w:eastAsia="zh-CN"/>
        </w:rPr>
        <w:t>6</w:t>
      </w:r>
      <w:r>
        <w:rPr>
          <w:rFonts w:hint="default" w:ascii="Times New Roman" w:hAnsi="Times New Roman" w:cs="Times New Roman"/>
          <w:b/>
          <w:bCs/>
          <w:sz w:val="32"/>
          <w:szCs w:val="32"/>
        </w:rPr>
        <w:t>分）</w:t>
      </w:r>
    </w:p>
    <w:p>
      <w:pPr>
        <w:spacing w:line="560" w:lineRule="exact"/>
        <w:ind w:firstLine="600" w:firstLineChars="200"/>
        <w:rPr>
          <w:rFonts w:hint="default" w:ascii="Times New Roman" w:hAnsi="Times New Roman" w:eastAsia="仿宋_GB2312" w:cs="Times New Roman"/>
          <w:sz w:val="32"/>
          <w:szCs w:val="32"/>
          <w:lang w:val="en-US" w:eastAsia="zh-CN"/>
        </w:rPr>
      </w:pPr>
      <w:r>
        <w:rPr>
          <w:rFonts w:hint="default" w:cs="Times New Roman"/>
          <w:b w:val="0"/>
          <w:bCs w:val="0"/>
          <w:sz w:val="30"/>
          <w:szCs w:val="30"/>
          <w:u w:val="none"/>
        </w:rPr>
        <w:t>宜城大道作为贯穿南北的交通要道</w:t>
      </w:r>
      <w:r>
        <w:rPr>
          <w:rFonts w:hint="eastAsia" w:cs="Times New Roman"/>
          <w:b w:val="0"/>
          <w:bCs w:val="0"/>
          <w:sz w:val="30"/>
          <w:szCs w:val="30"/>
          <w:u w:val="none"/>
          <w:lang w:eastAsia="zh-CN"/>
        </w:rPr>
        <w:t>，</w:t>
      </w:r>
      <w:r>
        <w:rPr>
          <w:rFonts w:hint="eastAsia" w:cs="Times New Roman"/>
          <w:b w:val="0"/>
          <w:bCs w:val="0"/>
          <w:sz w:val="30"/>
          <w:szCs w:val="30"/>
          <w:u w:val="none"/>
          <w:lang w:val="en-US" w:eastAsia="zh-CN"/>
        </w:rPr>
        <w:t>项目完工后大大听说过了片区交通便利度，为区域经济可持续发展提供了坚实的交通保障及市政基础设施配套服务。</w:t>
      </w:r>
    </w:p>
    <w:p>
      <w:pPr>
        <w:snapToGrid w:val="0"/>
        <w:spacing w:line="560" w:lineRule="exact"/>
        <w:ind w:firstLine="641" w:firstLineChars="200"/>
        <w:outlineLvl w:val="2"/>
        <w:rPr>
          <w:rFonts w:hint="default" w:ascii="Times New Roman" w:hAnsi="Times New Roman" w:cs="Times New Roman"/>
          <w:b/>
          <w:bCs/>
          <w:sz w:val="32"/>
          <w:szCs w:val="32"/>
        </w:rPr>
      </w:pPr>
      <w:r>
        <w:rPr>
          <w:rFonts w:hint="default" w:ascii="Times New Roman" w:hAnsi="Times New Roman" w:cs="Times New Roman"/>
          <w:b/>
          <w:bCs/>
          <w:sz w:val="32"/>
          <w:szCs w:val="32"/>
        </w:rPr>
        <w:t>3.生态效益（满分</w:t>
      </w:r>
      <w:r>
        <w:rPr>
          <w:rFonts w:hint="eastAsia" w:cs="Times New Roman"/>
          <w:b/>
          <w:bCs/>
          <w:sz w:val="32"/>
          <w:szCs w:val="32"/>
          <w:lang w:val="en-US" w:eastAsia="zh-CN"/>
        </w:rPr>
        <w:t>5</w:t>
      </w:r>
      <w:r>
        <w:rPr>
          <w:rFonts w:hint="default" w:ascii="Times New Roman" w:hAnsi="Times New Roman" w:cs="Times New Roman"/>
          <w:b/>
          <w:bCs/>
          <w:sz w:val="32"/>
          <w:szCs w:val="32"/>
        </w:rPr>
        <w:t>分，得分</w:t>
      </w:r>
      <w:r>
        <w:rPr>
          <w:rFonts w:hint="eastAsia" w:cs="Times New Roman"/>
          <w:b/>
          <w:bCs/>
          <w:sz w:val="32"/>
          <w:szCs w:val="32"/>
          <w:lang w:val="en-US" w:eastAsia="zh-CN"/>
        </w:rPr>
        <w:t>5</w:t>
      </w:r>
      <w:r>
        <w:rPr>
          <w:rFonts w:hint="default" w:ascii="Times New Roman" w:hAnsi="Times New Roman" w:cs="Times New Roman"/>
          <w:b/>
          <w:bCs/>
          <w:sz w:val="32"/>
          <w:szCs w:val="32"/>
        </w:rPr>
        <w:t>分）</w:t>
      </w:r>
    </w:p>
    <w:p>
      <w:pPr>
        <w:spacing w:line="560" w:lineRule="exact"/>
        <w:ind w:firstLine="640"/>
        <w:rPr>
          <w:rFonts w:hint="default" w:ascii="Times New Roman" w:hAnsi="Times New Roman" w:eastAsia="仿宋_GB2312" w:cs="Times New Roman"/>
          <w:sz w:val="32"/>
          <w:szCs w:val="32"/>
          <w:lang w:val="en-US" w:eastAsia="zh-CN"/>
        </w:rPr>
      </w:pPr>
      <w:r>
        <w:rPr>
          <w:rFonts w:hint="eastAsia" w:cs="Times New Roman"/>
          <w:b w:val="0"/>
          <w:bCs w:val="0"/>
          <w:sz w:val="30"/>
          <w:szCs w:val="30"/>
          <w:u w:val="none"/>
          <w:lang w:val="en-US" w:eastAsia="zh-CN"/>
        </w:rPr>
        <w:t>本项目铺种草坪44478平方米，种植土回填24530平方米，种植乔木共计2942株，森林植被恢复率较高，故本项得满分。</w:t>
      </w:r>
    </w:p>
    <w:p>
      <w:pPr>
        <w:snapToGrid w:val="0"/>
        <w:spacing w:line="560" w:lineRule="exact"/>
        <w:ind w:firstLine="641" w:firstLineChars="200"/>
        <w:outlineLvl w:val="2"/>
        <w:rPr>
          <w:rFonts w:hint="default" w:ascii="Times New Roman" w:hAnsi="Times New Roman" w:cs="Times New Roman"/>
          <w:b/>
          <w:bCs/>
          <w:sz w:val="32"/>
          <w:szCs w:val="32"/>
        </w:rPr>
      </w:pPr>
      <w:r>
        <w:rPr>
          <w:rFonts w:hint="default" w:ascii="Times New Roman" w:hAnsi="Times New Roman" w:cs="Times New Roman"/>
          <w:b/>
          <w:bCs/>
          <w:sz w:val="32"/>
          <w:szCs w:val="32"/>
        </w:rPr>
        <w:t>4.满意度（满分10分，得分10分）</w:t>
      </w:r>
    </w:p>
    <w:p>
      <w:pPr>
        <w:spacing w:line="600" w:lineRule="exact"/>
        <w:ind w:firstLine="600" w:firstLineChars="200"/>
        <w:rPr>
          <w:rFonts w:hint="eastAsia" w:ascii="黑体" w:hAnsi="黑体" w:eastAsia="黑体"/>
        </w:rPr>
      </w:pPr>
      <w:r>
        <w:rPr>
          <w:rFonts w:hint="default" w:cs="Times New Roman"/>
          <w:b w:val="0"/>
          <w:bCs w:val="0"/>
          <w:sz w:val="30"/>
          <w:szCs w:val="30"/>
          <w:u w:val="none"/>
        </w:rPr>
        <w:t>满意度指标</w:t>
      </w:r>
      <w:r>
        <w:rPr>
          <w:rFonts w:hint="eastAsia" w:cs="Times New Roman"/>
          <w:b w:val="0"/>
          <w:bCs w:val="0"/>
          <w:sz w:val="30"/>
          <w:szCs w:val="30"/>
          <w:u w:val="none"/>
          <w:lang w:val="en-US" w:eastAsia="zh-CN"/>
        </w:rPr>
        <w:t>考察的是道路沿线居民群众</w:t>
      </w:r>
      <w:r>
        <w:rPr>
          <w:rFonts w:hint="default" w:cs="Times New Roman"/>
          <w:b w:val="0"/>
          <w:bCs w:val="0"/>
          <w:sz w:val="30"/>
          <w:szCs w:val="30"/>
          <w:u w:val="none"/>
        </w:rPr>
        <w:t>的满意程度。项目开始后</w:t>
      </w:r>
      <w:r>
        <w:rPr>
          <w:rFonts w:hint="eastAsia" w:cs="Times New Roman"/>
          <w:b w:val="0"/>
          <w:bCs w:val="0"/>
          <w:sz w:val="30"/>
          <w:szCs w:val="30"/>
          <w:u w:val="none"/>
          <w:lang w:val="en-US" w:eastAsia="zh-CN"/>
        </w:rPr>
        <w:t>区建筑工务署</w:t>
      </w:r>
      <w:r>
        <w:rPr>
          <w:rFonts w:hint="default" w:cs="Times New Roman"/>
          <w:b w:val="0"/>
          <w:bCs w:val="0"/>
          <w:sz w:val="30"/>
          <w:szCs w:val="30"/>
          <w:u w:val="none"/>
        </w:rPr>
        <w:t>对</w:t>
      </w:r>
      <w:r>
        <w:rPr>
          <w:rFonts w:hint="eastAsia" w:cs="Times New Roman"/>
          <w:b w:val="0"/>
          <w:bCs w:val="0"/>
          <w:sz w:val="30"/>
          <w:szCs w:val="30"/>
          <w:u w:val="none"/>
          <w:lang w:val="en-US" w:eastAsia="zh-CN"/>
        </w:rPr>
        <w:t>居民群众</w:t>
      </w:r>
      <w:r>
        <w:rPr>
          <w:rFonts w:hint="default" w:cs="Times New Roman"/>
          <w:b w:val="0"/>
          <w:bCs w:val="0"/>
          <w:sz w:val="30"/>
          <w:szCs w:val="30"/>
          <w:u w:val="none"/>
        </w:rPr>
        <w:t>的满意情况进行</w:t>
      </w:r>
      <w:r>
        <w:rPr>
          <w:rFonts w:hint="eastAsia" w:cs="Times New Roman"/>
          <w:b w:val="0"/>
          <w:bCs w:val="0"/>
          <w:sz w:val="30"/>
          <w:szCs w:val="30"/>
          <w:u w:val="none"/>
          <w:lang w:val="en-US" w:eastAsia="zh-CN"/>
        </w:rPr>
        <w:t>回访调查</w:t>
      </w:r>
      <w:r>
        <w:rPr>
          <w:rFonts w:hint="default" w:cs="Times New Roman"/>
          <w:b w:val="0"/>
          <w:bCs w:val="0"/>
          <w:sz w:val="30"/>
          <w:szCs w:val="30"/>
          <w:u w:val="none"/>
        </w:rPr>
        <w:t>，评价结果均为满意，故本项得满分10分。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ascii="黑体" w:hAnsi="黑体" w:eastAsia="黑体"/>
        </w:rPr>
      </w:pPr>
      <w:r>
        <w:rPr>
          <w:rFonts w:hint="eastAsia" w:ascii="黑体" w:hAnsi="黑体" w:eastAsia="黑体"/>
        </w:rPr>
        <w:t>五、主要成效</w:t>
      </w:r>
    </w:p>
    <w:p>
      <w:pPr>
        <w:spacing w:line="600" w:lineRule="exact"/>
        <w:ind w:firstLine="600" w:firstLineChars="200"/>
        <w:rPr>
          <w:rFonts w:hint="eastAsia" w:cs="Times New Roman"/>
          <w:sz w:val="32"/>
          <w:szCs w:val="32"/>
          <w:lang w:val="en-US" w:eastAsia="zh-CN"/>
        </w:rPr>
      </w:pPr>
      <w:r>
        <w:rPr>
          <w:rFonts w:hint="eastAsia" w:cs="Times New Roman"/>
          <w:b w:val="0"/>
          <w:bCs w:val="0"/>
          <w:sz w:val="30"/>
          <w:szCs w:val="30"/>
          <w:u w:val="none"/>
          <w:lang w:val="en-US" w:eastAsia="zh-CN"/>
        </w:rPr>
        <w:t>基础设施是民生命脉，也是发展动脉。目前，深汕特别合作区正以“规划引领、基础先行、平台带动、产城融合”为发展思路，向美丽宜居的现代化国际性滨海智慧新城蜕变，而内畅外联的道路网正是其中关键一环。宜城大道建设工程作为深汕合作区“五横六纵”交通体系中的重要一“纵”，串联起了深东大道、福田路、南山路以及深汕高铁站，建成后，将是连接中心组团和北部组团的重要通道，以及深汕高铁站物流、客流集散的重要廊道。而本项目的开展是宜城大道建成通车的重要一环，将进一步畅通区内交通网络，引导产业集聚，加快深汕合作区经济社会发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ascii="黑体" w:hAnsi="黑体" w:eastAsia="黑体"/>
        </w:rPr>
      </w:pPr>
      <w:r>
        <w:rPr>
          <w:rFonts w:hint="eastAsia" w:ascii="黑体" w:hAnsi="黑体" w:eastAsia="黑体"/>
        </w:rPr>
        <w:t>六、存在的问题及原因分析</w:t>
      </w:r>
    </w:p>
    <w:p>
      <w:pPr>
        <w:spacing w:line="600" w:lineRule="exact"/>
        <w:ind w:firstLine="600" w:firstLineChars="200"/>
        <w:rPr>
          <w:rFonts w:hint="eastAsia" w:cs="Times New Roman"/>
          <w:b w:val="0"/>
          <w:bCs w:val="0"/>
          <w:sz w:val="30"/>
          <w:szCs w:val="30"/>
          <w:u w:val="none"/>
          <w:lang w:val="en-US" w:eastAsia="zh-CN"/>
        </w:rPr>
      </w:pPr>
      <w:r>
        <w:rPr>
          <w:rFonts w:hint="eastAsia" w:cs="Times New Roman"/>
          <w:b w:val="0"/>
          <w:bCs w:val="0"/>
          <w:sz w:val="30"/>
          <w:szCs w:val="30"/>
          <w:u w:val="none"/>
          <w:lang w:val="en-US" w:eastAsia="zh-CN"/>
        </w:rPr>
        <w:t>1.绩效指标的指标值与项目年度任务数不一致，项目生态指标的设定不准确，不利于后期对项目进行考核。</w:t>
      </w:r>
    </w:p>
    <w:p>
      <w:pPr>
        <w:spacing w:line="600" w:lineRule="exact"/>
        <w:ind w:firstLine="600" w:firstLineChars="200"/>
        <w:rPr>
          <w:rFonts w:hint="default"/>
          <w:lang w:val="en-US" w:eastAsia="zh-CN"/>
        </w:rPr>
      </w:pPr>
      <w:r>
        <w:rPr>
          <w:rFonts w:hint="eastAsia" w:cs="Times New Roman"/>
          <w:b w:val="0"/>
          <w:bCs w:val="0"/>
          <w:sz w:val="30"/>
          <w:szCs w:val="30"/>
          <w:u w:val="none"/>
          <w:lang w:val="en-US" w:eastAsia="zh-CN"/>
        </w:rPr>
        <w:t>2.预算编制未细化至具体数量单价，测算依据不明。如项目中的森林植被恢复费未对植被恢复面积、林木种植数量等进行说明，资金测算不够清晰。</w:t>
      </w:r>
    </w:p>
    <w:p>
      <w:pPr>
        <w:spacing w:line="600" w:lineRule="exact"/>
        <w:ind w:firstLine="600" w:firstLineChars="200"/>
        <w:rPr>
          <w:rFonts w:ascii="黑体" w:hAnsi="黑体" w:eastAsia="黑体"/>
        </w:rPr>
      </w:pPr>
      <w:r>
        <w:rPr>
          <w:rFonts w:hint="eastAsia" w:ascii="黑体" w:hAnsi="黑体" w:eastAsia="黑体"/>
        </w:rPr>
        <w:t>七、有关建议</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1"/>
        <w:rPr>
          <w:rFonts w:hint="default" w:ascii="Times New Roman" w:hAnsi="Times New Roman" w:eastAsia="楷体" w:cs="Times New Roman"/>
          <w:b/>
          <w:bCs/>
          <w:sz w:val="32"/>
          <w:szCs w:val="28"/>
        </w:rPr>
      </w:pPr>
      <w:r>
        <w:rPr>
          <w:rFonts w:hint="default" w:ascii="Times New Roman" w:hAnsi="Times New Roman" w:eastAsia="楷体" w:cs="Times New Roman"/>
          <w:b/>
          <w:bCs/>
          <w:sz w:val="32"/>
          <w:szCs w:val="28"/>
        </w:rPr>
        <w:t>（一）细化绩效目标设置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楷体" w:cs="Times New Roman"/>
          <w:b/>
          <w:bCs/>
          <w:sz w:val="32"/>
          <w:szCs w:val="28"/>
        </w:rPr>
      </w:pPr>
      <w:r>
        <w:rPr>
          <w:rFonts w:hint="default" w:cs="Times New Roman"/>
          <w:b w:val="0"/>
          <w:bCs w:val="0"/>
          <w:sz w:val="30"/>
          <w:szCs w:val="30"/>
          <w:u w:val="none"/>
        </w:rPr>
        <w:t>绩效目标及指标作为项目评价的重要依据，应该充分反映项目的核心工作和主要产出，建议后续应该单独编制重点项目绩效目标表，细化绩效指标设置，全面合理地设置能够反映项目核心工作的可量化指标。</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1"/>
        <w:rPr>
          <w:rFonts w:hint="default" w:ascii="Times New Roman" w:hAnsi="Times New Roman" w:eastAsia="楷体" w:cs="Times New Roman"/>
          <w:b/>
          <w:bCs/>
          <w:sz w:val="32"/>
          <w:szCs w:val="28"/>
        </w:rPr>
      </w:pPr>
      <w:r>
        <w:rPr>
          <w:rFonts w:hint="default" w:ascii="Times New Roman" w:hAnsi="Times New Roman" w:eastAsia="楷体" w:cs="Times New Roman"/>
          <w:b/>
          <w:bCs/>
          <w:sz w:val="32"/>
          <w:szCs w:val="28"/>
        </w:rPr>
        <w:t>（二）提高经费测算准确性</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cs="Times New Roman"/>
          <w:sz w:val="32"/>
          <w:szCs w:val="32"/>
        </w:rPr>
        <w:sectPr>
          <w:pgSz w:w="11906" w:h="16838"/>
          <w:pgMar w:top="1928" w:right="1531" w:bottom="1701" w:left="1531" w:header="737" w:footer="851" w:gutter="0"/>
          <w:cols w:space="720" w:num="1"/>
          <w:docGrid w:type="lines" w:linePitch="408" w:charSpace="0"/>
        </w:sectPr>
      </w:pPr>
      <w:r>
        <w:rPr>
          <w:rFonts w:hint="default" w:cs="Times New Roman"/>
          <w:b w:val="0"/>
          <w:bCs w:val="0"/>
          <w:sz w:val="30"/>
          <w:szCs w:val="30"/>
          <w:u w:val="none"/>
        </w:rPr>
        <w:t>建议单位在进行预算编制时根据本项目实际支出情况，将预算细化至三级明细，并且严格按照数量单价的形式呈现，方便对资金使用情况进行考核及监督管理。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rPr>
      </w:pPr>
      <w:r>
        <w:rPr>
          <w:rFonts w:hint="eastAsia"/>
        </w:rPr>
        <w:t>附件：绩效评价指标评分表</w:t>
      </w:r>
    </w:p>
    <w:tbl>
      <w:tblPr>
        <w:tblStyle w:val="11"/>
        <w:tblW w:w="12926" w:type="dxa"/>
        <w:jc w:val="center"/>
        <w:tblInd w:w="0" w:type="dxa"/>
        <w:tblLayout w:type="fixed"/>
        <w:tblCellMar>
          <w:top w:w="0" w:type="dxa"/>
          <w:left w:w="108" w:type="dxa"/>
          <w:bottom w:w="0" w:type="dxa"/>
          <w:right w:w="108" w:type="dxa"/>
        </w:tblCellMar>
      </w:tblPr>
      <w:tblGrid>
        <w:gridCol w:w="699"/>
        <w:gridCol w:w="709"/>
        <w:gridCol w:w="1197"/>
        <w:gridCol w:w="765"/>
        <w:gridCol w:w="1290"/>
        <w:gridCol w:w="825"/>
        <w:gridCol w:w="2430"/>
        <w:gridCol w:w="4260"/>
        <w:gridCol w:w="751"/>
      </w:tblGrid>
      <w:tr>
        <w:tblPrEx>
          <w:tblLayout w:type="fixed"/>
        </w:tblPrEx>
        <w:trPr>
          <w:trHeight w:val="300" w:hRule="atLeast"/>
          <w:tblHeader/>
          <w:jc w:val="center"/>
        </w:trPr>
        <w:tc>
          <w:tcPr>
            <w:tcW w:w="1408"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bookmarkStart w:id="11" w:name="_Hlk98508475"/>
            <w:r>
              <w:rPr>
                <w:rFonts w:hint="default" w:ascii="Times New Roman" w:hAnsi="Times New Roman" w:eastAsia="宋体" w:cs="Times New Roman"/>
                <w:b/>
                <w:bCs/>
                <w:color w:val="000000"/>
                <w:kern w:val="0"/>
                <w:sz w:val="21"/>
                <w:szCs w:val="21"/>
              </w:rPr>
              <w:t>一级指标</w:t>
            </w:r>
          </w:p>
        </w:tc>
        <w:tc>
          <w:tcPr>
            <w:tcW w:w="1962" w:type="dxa"/>
            <w:gridSpan w:val="2"/>
            <w:tcBorders>
              <w:top w:val="single" w:color="000000" w:sz="8" w:space="0"/>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二级指标</w:t>
            </w:r>
          </w:p>
        </w:tc>
        <w:tc>
          <w:tcPr>
            <w:tcW w:w="2115" w:type="dxa"/>
            <w:gridSpan w:val="2"/>
            <w:tcBorders>
              <w:top w:val="single" w:color="000000" w:sz="8" w:space="0"/>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三级指标</w:t>
            </w:r>
          </w:p>
        </w:tc>
        <w:tc>
          <w:tcPr>
            <w:tcW w:w="2430"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指标解释</w:t>
            </w:r>
          </w:p>
        </w:tc>
        <w:tc>
          <w:tcPr>
            <w:tcW w:w="4260"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指标说明</w:t>
            </w:r>
          </w:p>
        </w:tc>
        <w:tc>
          <w:tcPr>
            <w:tcW w:w="751"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得分</w:t>
            </w:r>
          </w:p>
        </w:tc>
      </w:tr>
      <w:tr>
        <w:tblPrEx>
          <w:tblLayout w:type="fixed"/>
        </w:tblPrEx>
        <w:trPr>
          <w:trHeight w:val="300" w:hRule="atLeast"/>
          <w:tblHeader/>
          <w:jc w:val="center"/>
        </w:trPr>
        <w:tc>
          <w:tcPr>
            <w:tcW w:w="699" w:type="dxa"/>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名称</w:t>
            </w:r>
          </w:p>
        </w:tc>
        <w:tc>
          <w:tcPr>
            <w:tcW w:w="709"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权重</w:t>
            </w:r>
          </w:p>
        </w:tc>
        <w:tc>
          <w:tcPr>
            <w:tcW w:w="1197"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名称</w:t>
            </w:r>
          </w:p>
        </w:tc>
        <w:tc>
          <w:tcPr>
            <w:tcW w:w="76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权重</w:t>
            </w:r>
          </w:p>
        </w:tc>
        <w:tc>
          <w:tcPr>
            <w:tcW w:w="129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名称</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权重</w:t>
            </w:r>
          </w:p>
        </w:tc>
        <w:tc>
          <w:tcPr>
            <w:tcW w:w="243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b/>
                <w:bCs/>
                <w:color w:val="000000"/>
                <w:kern w:val="0"/>
                <w:sz w:val="21"/>
                <w:szCs w:val="21"/>
              </w:rPr>
            </w:pPr>
          </w:p>
        </w:tc>
        <w:tc>
          <w:tcPr>
            <w:tcW w:w="426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b/>
                <w:bCs/>
                <w:color w:val="000000"/>
                <w:kern w:val="0"/>
                <w:sz w:val="21"/>
                <w:szCs w:val="21"/>
              </w:rPr>
            </w:pPr>
          </w:p>
        </w:tc>
        <w:tc>
          <w:tcPr>
            <w:tcW w:w="75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b/>
                <w:bCs/>
                <w:color w:val="000000"/>
                <w:kern w:val="0"/>
                <w:sz w:val="21"/>
                <w:szCs w:val="21"/>
              </w:rPr>
            </w:pPr>
          </w:p>
        </w:tc>
      </w:tr>
      <w:tr>
        <w:tblPrEx>
          <w:tblLayout w:type="fixed"/>
        </w:tblPrEx>
        <w:trPr>
          <w:trHeight w:val="1740" w:hRule="atLeast"/>
          <w:jc w:val="center"/>
        </w:trPr>
        <w:tc>
          <w:tcPr>
            <w:tcW w:w="699"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决策</w:t>
            </w:r>
          </w:p>
        </w:tc>
        <w:tc>
          <w:tcPr>
            <w:tcW w:w="709"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w:t>
            </w:r>
          </w:p>
        </w:tc>
        <w:tc>
          <w:tcPr>
            <w:tcW w:w="1197"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项目立项　</w:t>
            </w:r>
          </w:p>
        </w:tc>
        <w:tc>
          <w:tcPr>
            <w:tcW w:w="765"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7</w:t>
            </w:r>
          </w:p>
        </w:tc>
        <w:tc>
          <w:tcPr>
            <w:tcW w:w="129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立项依据充分性</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项目立项是否符合法律法规、相关政策、发展规划以及部门职责，用以反映和考核项目立项依据情况。</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①项目立项符合国家法律法规、国民经济发展规划和相关政策，得1分；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②项目立项符合行业发展规划和政策要求，得1分；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③项目立项与部门职责范围相符，属于部门履职所需，得1分；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④项目属于公共财政支持范围，符合中央、地方事权支出责任划分原则，得1分；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r>
      <w:tr>
        <w:tblPrEx>
          <w:tblLayout w:type="fixed"/>
        </w:tblPrEx>
        <w:trPr>
          <w:trHeight w:val="1164" w:hRule="atLeast"/>
          <w:jc w:val="center"/>
        </w:trPr>
        <w:tc>
          <w:tcPr>
            <w:tcW w:w="69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65"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29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立项程序规范性</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项目申请、设立过程是否符合相关要求，用以反映和考核项目立项的规范情况。</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①项目按照规定的程序申请设立，得1分；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②审批文件、材料符合相关要求，得1分；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③事前已经过必要的</w:t>
            </w:r>
            <w:r>
              <w:rPr>
                <w:rFonts w:hint="default" w:ascii="Times New Roman" w:hAnsi="Times New Roman" w:eastAsia="宋体" w:cs="Times New Roman"/>
                <w:kern w:val="0"/>
                <w:sz w:val="21"/>
                <w:szCs w:val="21"/>
              </w:rPr>
              <w:t>可行性研究、专家论证、风险评估、绩效评估、集体决策，得1分。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r>
      <w:tr>
        <w:tblPrEx>
          <w:tblLayout w:type="fixed"/>
        </w:tblPrEx>
        <w:trPr>
          <w:trHeight w:val="1740" w:hRule="atLeast"/>
          <w:jc w:val="center"/>
        </w:trPr>
        <w:tc>
          <w:tcPr>
            <w:tcW w:w="69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绩效目标　</w:t>
            </w:r>
          </w:p>
        </w:tc>
        <w:tc>
          <w:tcPr>
            <w:tcW w:w="765"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7</w:t>
            </w:r>
          </w:p>
        </w:tc>
        <w:tc>
          <w:tcPr>
            <w:tcW w:w="129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绩效目标合理性</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项目所设定的绩效目标是否依据充分，是否符合客观实际，用以反映和考核项目绩效目标与项目实施的相符情况。</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①项目有绩效目标，得1分；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②项目绩效目标与实际工作内容具有相关性，得1分；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③项目预期产出效益和效果符合正常的业绩水平，得1分；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④与预算确定的项目投资额或资金量相匹配，得1分。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2</w:t>
            </w:r>
          </w:p>
        </w:tc>
      </w:tr>
      <w:tr>
        <w:tblPrEx>
          <w:tblLayout w:type="fixed"/>
        </w:tblPrEx>
        <w:trPr>
          <w:trHeight w:val="1164" w:hRule="atLeast"/>
          <w:jc w:val="center"/>
        </w:trPr>
        <w:tc>
          <w:tcPr>
            <w:tcW w:w="69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65"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29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绩效指标明确性</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依据绩效目标设定的绩效指标是否清晰、细化、可衡量等，用以反映和考核项目绩效目标的明细化情况。</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①将项目绩效目标细化分解为具体的绩效指标，得1分；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②通过清晰、可衡量的指标值予以体现，得1分；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③与项目目标任务数或计划数相对应，得1分。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1</w:t>
            </w:r>
          </w:p>
        </w:tc>
      </w:tr>
      <w:tr>
        <w:tblPrEx>
          <w:tblLayout w:type="fixed"/>
        </w:tblPrEx>
        <w:trPr>
          <w:trHeight w:val="1452" w:hRule="atLeast"/>
          <w:jc w:val="center"/>
        </w:trPr>
        <w:tc>
          <w:tcPr>
            <w:tcW w:w="69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资金投入</w:t>
            </w:r>
          </w:p>
        </w:tc>
        <w:tc>
          <w:tcPr>
            <w:tcW w:w="765"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w:t>
            </w:r>
          </w:p>
        </w:tc>
        <w:tc>
          <w:tcPr>
            <w:tcW w:w="129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预算编制科学性</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项目预算编制是否经过科学论证、有明确标准，资金额度与年度目标是否相适应，用以反映和考核项目预算编制的科学性、合理性情况。</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①预算编制经过科学论证，得1分；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②预算内容与项目内容匹配，得1分；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③预算额度测算依据充分，按照标准编制，得1分；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④预算确定的项目投资额或资金量与工作任务相匹配，得1分。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r>
      <w:tr>
        <w:tblPrEx>
          <w:tblLayout w:type="fixed"/>
        </w:tblPrEx>
        <w:trPr>
          <w:trHeight w:val="822" w:hRule="atLeast"/>
          <w:jc w:val="center"/>
        </w:trPr>
        <w:tc>
          <w:tcPr>
            <w:tcW w:w="69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65"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29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资金分配合理性</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项目预算资金分配是否有测算依据，与补助单位或地方实际是否相适应，用以反映和考核项目预算资金分配的科学性、合理性情况。</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①预算资金分配依据充分，得1分；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②资金分配额度合理，与项目单位或地方实际相适应，得1分。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r>
      <w:tr>
        <w:tblPrEx>
          <w:tblLayout w:type="fixed"/>
        </w:tblPrEx>
        <w:trPr>
          <w:trHeight w:val="876" w:hRule="atLeast"/>
          <w:jc w:val="center"/>
        </w:trPr>
        <w:tc>
          <w:tcPr>
            <w:tcW w:w="699"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过程</w:t>
            </w:r>
          </w:p>
        </w:tc>
        <w:tc>
          <w:tcPr>
            <w:tcW w:w="709"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w:t>
            </w:r>
          </w:p>
        </w:tc>
        <w:tc>
          <w:tcPr>
            <w:tcW w:w="1197" w:type="dxa"/>
            <w:vMerge w:val="restart"/>
            <w:tcBorders>
              <w:top w:val="nil"/>
              <w:left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资金管理</w:t>
            </w:r>
          </w:p>
        </w:tc>
        <w:tc>
          <w:tcPr>
            <w:tcW w:w="765" w:type="dxa"/>
            <w:vMerge w:val="restart"/>
            <w:tcBorders>
              <w:top w:val="nil"/>
              <w:left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12</w:t>
            </w:r>
          </w:p>
        </w:tc>
        <w:tc>
          <w:tcPr>
            <w:tcW w:w="129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资金到位率</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实际到位资金与预算资金的比率，用以反映和考核资金落实情况对项目实施的总体保障程度。</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本指标得分=本指标满分值×资金到位率</w:t>
            </w:r>
          </w:p>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资金到位</w:t>
            </w:r>
            <w:r>
              <w:rPr>
                <w:rFonts w:hint="default" w:ascii="Times New Roman" w:hAnsi="Times New Roman" w:eastAsia="宋体" w:cs="Times New Roman"/>
                <w:kern w:val="0"/>
                <w:sz w:val="21"/>
                <w:szCs w:val="21"/>
              </w:rPr>
              <w:t>率=（实际到位资金/预算资金）×100%。</w:t>
            </w:r>
            <w:r>
              <w:rPr>
                <w:rFonts w:hint="default" w:ascii="Times New Roman" w:hAnsi="Times New Roman" w:eastAsia="宋体" w:cs="Times New Roman"/>
                <w:kern w:val="0"/>
                <w:sz w:val="21"/>
                <w:szCs w:val="21"/>
              </w:rPr>
              <w:br w:type="textWrapping"/>
            </w:r>
            <w:r>
              <w:rPr>
                <w:rFonts w:hint="default" w:ascii="Times New Roman" w:hAnsi="Times New Roman" w:eastAsia="宋体" w:cs="Times New Roman"/>
                <w:kern w:val="0"/>
                <w:sz w:val="21"/>
                <w:szCs w:val="21"/>
              </w:rPr>
              <w:t>实际到位资金：一定时期（本年度或项目期）内落实到具体项目的资金。</w:t>
            </w:r>
            <w:r>
              <w:rPr>
                <w:rFonts w:hint="default" w:ascii="Times New Roman" w:hAnsi="Times New Roman" w:eastAsia="宋体" w:cs="Times New Roman"/>
                <w:kern w:val="0"/>
                <w:sz w:val="21"/>
                <w:szCs w:val="21"/>
              </w:rPr>
              <w:br w:type="textWrapping"/>
            </w:r>
            <w:r>
              <w:rPr>
                <w:rFonts w:hint="default" w:ascii="Times New Roman" w:hAnsi="Times New Roman" w:eastAsia="宋体" w:cs="Times New Roman"/>
                <w:kern w:val="0"/>
                <w:sz w:val="21"/>
                <w:szCs w:val="21"/>
              </w:rPr>
              <w:t>预算资金：一定时期（本年度或项目期）内预算安排到具体项目的资金。</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r>
      <w:tr>
        <w:tblPrEx>
          <w:tblLayout w:type="fixed"/>
        </w:tblPrEx>
        <w:trPr>
          <w:trHeight w:val="876" w:hRule="atLeast"/>
          <w:jc w:val="center"/>
        </w:trPr>
        <w:tc>
          <w:tcPr>
            <w:tcW w:w="69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vMerge w:val="continue"/>
            <w:tcBorders>
              <w:left w:val="single" w:color="000000" w:sz="8" w:space="0"/>
              <w:right w:val="single" w:color="000000" w:sz="8" w:space="0"/>
            </w:tcBorders>
            <w:vAlign w:val="center"/>
          </w:tcPr>
          <w:p>
            <w:pPr>
              <w:spacing w:line="560" w:lineRule="exact"/>
              <w:jc w:val="center"/>
              <w:rPr>
                <w:rFonts w:hint="default" w:ascii="Times New Roman" w:hAnsi="Times New Roman" w:eastAsia="宋体" w:cs="Times New Roman"/>
                <w:color w:val="000000"/>
                <w:kern w:val="0"/>
                <w:sz w:val="21"/>
                <w:szCs w:val="21"/>
              </w:rPr>
            </w:pPr>
          </w:p>
        </w:tc>
        <w:tc>
          <w:tcPr>
            <w:tcW w:w="765" w:type="dxa"/>
            <w:vMerge w:val="continue"/>
            <w:tcBorders>
              <w:left w:val="single" w:color="000000" w:sz="8" w:space="0"/>
              <w:right w:val="single" w:color="000000" w:sz="8" w:space="0"/>
            </w:tcBorders>
            <w:vAlign w:val="center"/>
          </w:tcPr>
          <w:p>
            <w:pPr>
              <w:spacing w:line="560" w:lineRule="exact"/>
              <w:jc w:val="center"/>
              <w:rPr>
                <w:rFonts w:hint="default" w:ascii="Times New Roman" w:hAnsi="Times New Roman" w:eastAsia="宋体" w:cs="Times New Roman"/>
                <w:color w:val="000000"/>
                <w:kern w:val="0"/>
                <w:sz w:val="21"/>
                <w:szCs w:val="21"/>
              </w:rPr>
            </w:pPr>
          </w:p>
        </w:tc>
        <w:tc>
          <w:tcPr>
            <w:tcW w:w="129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预算执行率</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项目预算资金是否按照计划执行，用以反映或考核项目预算执行情况。</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本指标得分=本指标满分值×预算执行率</w:t>
            </w:r>
          </w:p>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预算执行率=（实际支出资金/实际到位资金）×100%。</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实际支出资</w:t>
            </w:r>
            <w:r>
              <w:rPr>
                <w:rFonts w:hint="default" w:ascii="Times New Roman" w:hAnsi="Times New Roman" w:eastAsia="宋体" w:cs="Times New Roman"/>
                <w:kern w:val="0"/>
                <w:sz w:val="21"/>
                <w:szCs w:val="21"/>
              </w:rPr>
              <w:t>金：一定时期（本年度或项目期）内项目实际拨付的资金。</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r>
      <w:tr>
        <w:tblPrEx>
          <w:tblLayout w:type="fixed"/>
        </w:tblPrEx>
        <w:trPr>
          <w:trHeight w:val="1452" w:hRule="atLeast"/>
          <w:jc w:val="center"/>
        </w:trPr>
        <w:tc>
          <w:tcPr>
            <w:tcW w:w="69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vMerge w:val="continue"/>
            <w:tcBorders>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765" w:type="dxa"/>
            <w:vMerge w:val="continue"/>
            <w:tcBorders>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129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资金使用合规性</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项目资金使用是否符合相关的财务管理制度规定，用以反映和考核项目资金的规范运行情况。</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①符合国家财经法规和财务管理制度以及有关专项资金管理办法的规定，得1分；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②资金的拨付有完整的审批程序和手续，得1分；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③符合项目预算批复或合同规定的用途，得1分；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④不存在截留、挤占、挪用、虚列支出等情况，得1分。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r>
      <w:tr>
        <w:tblPrEx>
          <w:tblLayout w:type="fixed"/>
        </w:tblPrEx>
        <w:trPr>
          <w:trHeight w:val="1164" w:hRule="atLeast"/>
          <w:jc w:val="center"/>
        </w:trPr>
        <w:tc>
          <w:tcPr>
            <w:tcW w:w="69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组织实施</w:t>
            </w:r>
          </w:p>
        </w:tc>
        <w:tc>
          <w:tcPr>
            <w:tcW w:w="765"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129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管理制度健全性</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项目实施单位的财务和业务管理制度是否健全，用以反映和考核财务和业务管理制度对项目顺利实施的保障情况。</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①已制定或具有相应的财务和业务管理制度，得2分；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②财务和业务管理制度合法、合规、完整，得2分。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r>
      <w:tr>
        <w:tblPrEx>
          <w:tblLayout w:type="fixed"/>
        </w:tblPrEx>
        <w:trPr>
          <w:trHeight w:val="1187" w:hRule="atLeast"/>
          <w:jc w:val="center"/>
        </w:trPr>
        <w:tc>
          <w:tcPr>
            <w:tcW w:w="69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vMerge w:val="continue"/>
            <w:tcBorders>
              <w:top w:val="nil"/>
              <w:left w:val="single" w:color="000000" w:sz="8" w:space="0"/>
              <w:bottom w:val="single" w:color="auto" w:sz="4"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65" w:type="dxa"/>
            <w:vMerge w:val="continue"/>
            <w:tcBorders>
              <w:top w:val="nil"/>
              <w:left w:val="single" w:color="000000" w:sz="8" w:space="0"/>
              <w:bottom w:val="single" w:color="auto" w:sz="4"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290" w:type="dxa"/>
            <w:tcBorders>
              <w:top w:val="nil"/>
              <w:left w:val="nil"/>
              <w:bottom w:val="single" w:color="auto"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制度执行有效性</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项目实施是否符合相关管理规定，用以反映和考核相关管理制度的有效执行情况。</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①遵守相关法律法规和相关管理规定，得1分；</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②项目调整及支出调整</w:t>
            </w:r>
            <w:r>
              <w:rPr>
                <w:rFonts w:hint="default" w:ascii="Times New Roman" w:hAnsi="Times New Roman" w:eastAsia="宋体" w:cs="Times New Roman"/>
                <w:kern w:val="0"/>
                <w:sz w:val="21"/>
                <w:szCs w:val="21"/>
              </w:rPr>
              <w:t>手续完备</w:t>
            </w:r>
            <w:r>
              <w:rPr>
                <w:rFonts w:hint="default" w:ascii="Times New Roman" w:hAnsi="Times New Roman" w:eastAsia="宋体" w:cs="Times New Roman"/>
                <w:color w:val="000000"/>
                <w:kern w:val="0"/>
                <w:sz w:val="21"/>
                <w:szCs w:val="21"/>
              </w:rPr>
              <w:t>，得1分</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rPr>
              <w:br w:type="textWrapping"/>
            </w:r>
            <w:r>
              <w:rPr>
                <w:rFonts w:hint="default" w:ascii="Times New Roman" w:hAnsi="Times New Roman" w:eastAsia="宋体" w:cs="Times New Roman"/>
                <w:kern w:val="0"/>
                <w:sz w:val="21"/>
                <w:szCs w:val="21"/>
              </w:rPr>
              <w:t>③项目合同书、验收报告、技术鉴定等资料齐全并及时归档</w:t>
            </w:r>
            <w:r>
              <w:rPr>
                <w:rFonts w:hint="default" w:ascii="Times New Roman" w:hAnsi="Times New Roman" w:eastAsia="宋体" w:cs="Times New Roman"/>
                <w:color w:val="000000"/>
                <w:kern w:val="0"/>
                <w:sz w:val="21"/>
                <w:szCs w:val="21"/>
              </w:rPr>
              <w:t>，得1分</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rPr>
              <w:br w:type="textWrapping"/>
            </w:r>
            <w:r>
              <w:rPr>
                <w:rFonts w:hint="default" w:ascii="Times New Roman" w:hAnsi="Times New Roman" w:eastAsia="宋体" w:cs="Times New Roman"/>
                <w:kern w:val="0"/>
                <w:sz w:val="21"/>
                <w:szCs w:val="21"/>
              </w:rPr>
              <w:t>④项目实施的人员条件、场地</w:t>
            </w:r>
            <w:r>
              <w:rPr>
                <w:rFonts w:hint="default" w:ascii="Times New Roman" w:hAnsi="Times New Roman" w:eastAsia="宋体" w:cs="Times New Roman"/>
                <w:color w:val="000000"/>
                <w:kern w:val="0"/>
                <w:sz w:val="21"/>
                <w:szCs w:val="21"/>
              </w:rPr>
              <w:t>设备、信息支撑等落实到位，得1分。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r>
      <w:tr>
        <w:tblPrEx>
          <w:tblLayout w:type="fixed"/>
        </w:tblPrEx>
        <w:trPr>
          <w:trHeight w:val="1265" w:hRule="atLeast"/>
          <w:jc w:val="center"/>
        </w:trPr>
        <w:tc>
          <w:tcPr>
            <w:tcW w:w="699" w:type="dxa"/>
            <w:vMerge w:val="restart"/>
            <w:tcBorders>
              <w:top w:val="nil"/>
              <w:left w:val="single" w:color="000000" w:sz="8" w:space="0"/>
              <w:right w:val="single" w:color="000000" w:sz="8" w:space="0"/>
            </w:tcBorders>
            <w:shd w:val="clear" w:color="000000" w:fill="FFFFFF"/>
            <w:vAlign w:val="center"/>
          </w:tcPr>
          <w:p>
            <w:pPr>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产出</w:t>
            </w:r>
          </w:p>
        </w:tc>
        <w:tc>
          <w:tcPr>
            <w:tcW w:w="709" w:type="dxa"/>
            <w:vMerge w:val="restart"/>
            <w:tcBorders>
              <w:top w:val="nil"/>
              <w:left w:val="single" w:color="000000" w:sz="8" w:space="0"/>
              <w:right w:val="single" w:color="auto" w:sz="4" w:space="0"/>
            </w:tcBorders>
            <w:shd w:val="clear" w:color="000000" w:fill="FFFFFF"/>
            <w:vAlign w:val="center"/>
          </w:tcPr>
          <w:p>
            <w:pPr>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34</w:t>
            </w:r>
          </w:p>
        </w:tc>
        <w:tc>
          <w:tcPr>
            <w:tcW w:w="1197" w:type="dxa"/>
            <w:vMerge w:val="restart"/>
            <w:tcBorders>
              <w:top w:val="single" w:color="auto" w:sz="4" w:space="0"/>
              <w:left w:val="single" w:color="auto" w:sz="4" w:space="0"/>
              <w:bottom w:val="single" w:color="auto" w:sz="4"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产出数量</w:t>
            </w:r>
          </w:p>
        </w:tc>
        <w:tc>
          <w:tcPr>
            <w:tcW w:w="765" w:type="dxa"/>
            <w:vMerge w:val="restart"/>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1</w:t>
            </w:r>
            <w:r>
              <w:rPr>
                <w:rFonts w:hint="default" w:ascii="Times New Roman" w:hAnsi="Times New Roman" w:eastAsia="宋体" w:cs="Times New Roman"/>
                <w:color w:val="000000"/>
                <w:kern w:val="0"/>
                <w:sz w:val="21"/>
                <w:szCs w:val="21"/>
                <w:lang w:val="en-US" w:eastAsia="zh-CN"/>
              </w:rPr>
              <w:t>5</w:t>
            </w:r>
          </w:p>
        </w:tc>
        <w:tc>
          <w:tcPr>
            <w:tcW w:w="129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560" w:lineRule="exact"/>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完成建设里程数</w:t>
            </w:r>
          </w:p>
        </w:tc>
        <w:tc>
          <w:tcPr>
            <w:tcW w:w="825" w:type="dxa"/>
            <w:tcBorders>
              <w:top w:val="nil"/>
              <w:left w:val="single" w:color="auto"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考察</w:t>
            </w:r>
            <w:r>
              <w:rPr>
                <w:rFonts w:hint="default" w:ascii="Times New Roman" w:hAnsi="Times New Roman" w:eastAsia="宋体" w:cs="Times New Roman"/>
                <w:color w:val="000000"/>
                <w:kern w:val="0"/>
                <w:sz w:val="21"/>
                <w:szCs w:val="21"/>
                <w:lang w:val="en-US" w:eastAsia="zh-CN"/>
              </w:rPr>
              <w:t>项目实际完成建设里程数</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p>
          <w:p>
            <w:pPr>
              <w:widowControl w:val="0"/>
              <w:spacing w:line="560" w:lineRule="exact"/>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val="0"/>
                <w:color w:val="000000"/>
                <w:kern w:val="0"/>
                <w:sz w:val="21"/>
                <w:szCs w:val="21"/>
                <w:lang w:val="en-US" w:eastAsia="zh-CN" w:bidi="ar-SA"/>
              </w:rPr>
              <w:t>建设里程数≥6.885km，得5分,否则不得分。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r>
      <w:tr>
        <w:tblPrEx>
          <w:tblLayout w:type="fixed"/>
        </w:tblPrEx>
        <w:trPr>
          <w:trHeight w:val="1312" w:hRule="atLeast"/>
          <w:jc w:val="center"/>
        </w:trPr>
        <w:tc>
          <w:tcPr>
            <w:tcW w:w="699" w:type="dxa"/>
            <w:vMerge w:val="continue"/>
            <w:tcBorders>
              <w:left w:val="single" w:color="000000" w:sz="8" w:space="0"/>
              <w:right w:val="single" w:color="000000" w:sz="8" w:space="0"/>
            </w:tcBorders>
            <w:shd w:val="clear" w:color="000000" w:fill="FFFFFF"/>
            <w:vAlign w:val="center"/>
          </w:tcPr>
          <w:p>
            <w:pPr>
              <w:spacing w:line="560" w:lineRule="exact"/>
              <w:jc w:val="center"/>
              <w:rPr>
                <w:rFonts w:hint="default" w:ascii="Times New Roman" w:hAnsi="Times New Roman" w:eastAsia="宋体" w:cs="Times New Roman"/>
                <w:color w:val="000000"/>
                <w:kern w:val="0"/>
                <w:sz w:val="21"/>
                <w:szCs w:val="21"/>
              </w:rPr>
            </w:pPr>
          </w:p>
        </w:tc>
        <w:tc>
          <w:tcPr>
            <w:tcW w:w="709" w:type="dxa"/>
            <w:vMerge w:val="continue"/>
            <w:tcBorders>
              <w:left w:val="single" w:color="000000" w:sz="8" w:space="0"/>
              <w:right w:val="single" w:color="auto" w:sz="4" w:space="0"/>
            </w:tcBorders>
            <w:shd w:val="clear" w:color="000000" w:fill="FFFFFF"/>
            <w:vAlign w:val="center"/>
          </w:tcPr>
          <w:p>
            <w:pPr>
              <w:spacing w:line="560" w:lineRule="exact"/>
              <w:jc w:val="center"/>
              <w:rPr>
                <w:rFonts w:hint="default" w:ascii="Times New Roman" w:hAnsi="Times New Roman" w:eastAsia="宋体" w:cs="Times New Roman"/>
                <w:color w:val="000000"/>
                <w:kern w:val="0"/>
                <w:sz w:val="21"/>
                <w:szCs w:val="21"/>
              </w:rPr>
            </w:pPr>
          </w:p>
        </w:tc>
        <w:tc>
          <w:tcPr>
            <w:tcW w:w="1197" w:type="dxa"/>
            <w:vMerge w:val="continue"/>
            <w:tcBorders>
              <w:top w:val="single" w:color="auto" w:sz="4" w:space="0"/>
              <w:left w:val="single" w:color="auto" w:sz="4" w:space="0"/>
              <w:bottom w:val="single" w:color="auto" w:sz="4"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765"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1290"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560" w:lineRule="exact"/>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完成桥梁建设数</w:t>
            </w:r>
          </w:p>
        </w:tc>
        <w:tc>
          <w:tcPr>
            <w:tcW w:w="825" w:type="dxa"/>
            <w:tcBorders>
              <w:top w:val="nil"/>
              <w:left w:val="single" w:color="auto" w:sz="8" w:space="0"/>
              <w:bottom w:val="single" w:color="auto" w:sz="4"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2430" w:type="dxa"/>
            <w:tcBorders>
              <w:top w:val="nil"/>
              <w:left w:val="nil"/>
              <w:bottom w:val="single" w:color="auto" w:sz="4"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考察项目桥梁建设数</w:t>
            </w:r>
          </w:p>
        </w:tc>
        <w:tc>
          <w:tcPr>
            <w:tcW w:w="4260" w:type="dxa"/>
            <w:tcBorders>
              <w:top w:val="nil"/>
              <w:left w:val="nil"/>
              <w:bottom w:val="single" w:color="auto" w:sz="4"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桥梁建设数≥5个，得5分，否则不得分。</w:t>
            </w:r>
          </w:p>
        </w:tc>
        <w:tc>
          <w:tcPr>
            <w:tcW w:w="751" w:type="dxa"/>
            <w:tcBorders>
              <w:top w:val="nil"/>
              <w:left w:val="nil"/>
              <w:bottom w:val="single" w:color="auto" w:sz="4"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r>
      <w:tr>
        <w:tblPrEx>
          <w:tblLayout w:type="fixed"/>
        </w:tblPrEx>
        <w:trPr>
          <w:trHeight w:val="1312" w:hRule="atLeast"/>
          <w:jc w:val="center"/>
        </w:trPr>
        <w:tc>
          <w:tcPr>
            <w:tcW w:w="699" w:type="dxa"/>
            <w:vMerge w:val="continue"/>
            <w:tcBorders>
              <w:left w:val="single" w:color="000000" w:sz="8" w:space="0"/>
              <w:right w:val="single" w:color="000000" w:sz="8" w:space="0"/>
            </w:tcBorders>
            <w:shd w:val="clear" w:color="000000" w:fill="FFFFFF"/>
            <w:vAlign w:val="center"/>
          </w:tcPr>
          <w:p>
            <w:pPr>
              <w:spacing w:line="560" w:lineRule="exact"/>
              <w:jc w:val="center"/>
              <w:rPr>
                <w:rFonts w:hint="default" w:ascii="Times New Roman" w:hAnsi="Times New Roman" w:eastAsia="宋体" w:cs="Times New Roman"/>
                <w:color w:val="000000"/>
                <w:kern w:val="0"/>
                <w:sz w:val="21"/>
                <w:szCs w:val="21"/>
              </w:rPr>
            </w:pPr>
          </w:p>
        </w:tc>
        <w:tc>
          <w:tcPr>
            <w:tcW w:w="709" w:type="dxa"/>
            <w:vMerge w:val="continue"/>
            <w:tcBorders>
              <w:left w:val="single" w:color="000000" w:sz="8" w:space="0"/>
              <w:right w:val="single" w:color="auto" w:sz="4" w:space="0"/>
            </w:tcBorders>
            <w:shd w:val="clear" w:color="000000" w:fill="FFFFFF"/>
            <w:vAlign w:val="center"/>
          </w:tcPr>
          <w:p>
            <w:pPr>
              <w:spacing w:line="560" w:lineRule="exact"/>
              <w:jc w:val="center"/>
              <w:rPr>
                <w:rFonts w:hint="default" w:ascii="Times New Roman" w:hAnsi="Times New Roman" w:eastAsia="宋体" w:cs="Times New Roman"/>
                <w:color w:val="000000"/>
                <w:kern w:val="0"/>
                <w:sz w:val="21"/>
                <w:szCs w:val="21"/>
              </w:rPr>
            </w:pPr>
          </w:p>
        </w:tc>
        <w:tc>
          <w:tcPr>
            <w:tcW w:w="1197" w:type="dxa"/>
            <w:vMerge w:val="continue"/>
            <w:tcBorders>
              <w:top w:val="single" w:color="auto" w:sz="4" w:space="0"/>
              <w:left w:val="single" w:color="auto" w:sz="4" w:space="0"/>
              <w:bottom w:val="single" w:color="auto" w:sz="4"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765"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1290"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560" w:lineRule="exact"/>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完成隧道建设数</w:t>
            </w:r>
          </w:p>
        </w:tc>
        <w:tc>
          <w:tcPr>
            <w:tcW w:w="825" w:type="dxa"/>
            <w:tcBorders>
              <w:top w:val="nil"/>
              <w:left w:val="single" w:color="auto" w:sz="8" w:space="0"/>
              <w:bottom w:val="single" w:color="auto" w:sz="4"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2430" w:type="dxa"/>
            <w:tcBorders>
              <w:top w:val="nil"/>
              <w:left w:val="nil"/>
              <w:bottom w:val="single" w:color="auto" w:sz="4"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考察</w:t>
            </w:r>
            <w:r>
              <w:rPr>
                <w:rFonts w:hint="default" w:ascii="Times New Roman" w:hAnsi="Times New Roman" w:eastAsia="宋体" w:cs="Times New Roman"/>
                <w:color w:val="000000"/>
                <w:kern w:val="0"/>
                <w:sz w:val="21"/>
                <w:szCs w:val="21"/>
                <w:lang w:val="en-US" w:eastAsia="zh-CN"/>
              </w:rPr>
              <w:t>隧道建设</w:t>
            </w:r>
            <w:r>
              <w:rPr>
                <w:rFonts w:hint="default" w:ascii="Times New Roman" w:hAnsi="Times New Roman" w:eastAsia="宋体" w:cs="Times New Roman"/>
                <w:color w:val="000000"/>
                <w:kern w:val="0"/>
                <w:sz w:val="21"/>
                <w:szCs w:val="21"/>
              </w:rPr>
              <w:t>是</w:t>
            </w:r>
            <w:r>
              <w:rPr>
                <w:rFonts w:hint="default" w:ascii="Times New Roman" w:hAnsi="Times New Roman" w:eastAsia="宋体" w:cs="Times New Roman"/>
                <w:color w:val="000000"/>
                <w:kern w:val="0"/>
                <w:sz w:val="21"/>
                <w:szCs w:val="21"/>
                <w:lang w:val="en-US" w:eastAsia="zh-CN"/>
              </w:rPr>
              <w:t>否完成</w:t>
            </w:r>
          </w:p>
        </w:tc>
        <w:tc>
          <w:tcPr>
            <w:tcW w:w="4260" w:type="dxa"/>
            <w:tcBorders>
              <w:top w:val="nil"/>
              <w:left w:val="nil"/>
              <w:bottom w:val="single" w:color="auto" w:sz="4"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p>
          <w:p>
            <w:pPr>
              <w:widowControl w:val="0"/>
              <w:spacing w:line="560" w:lineRule="exact"/>
              <w:jc w:val="both"/>
              <w:rPr>
                <w:rFonts w:hint="default" w:ascii="Times New Roman" w:hAnsi="Times New Roman" w:eastAsia="宋体" w:cs="Times New Roman"/>
                <w:kern w:val="0"/>
                <w:sz w:val="21"/>
                <w:szCs w:val="21"/>
              </w:rPr>
            </w:pPr>
            <w:r>
              <w:rPr>
                <w:rFonts w:hint="default" w:ascii="Times New Roman" w:hAnsi="Times New Roman" w:eastAsia="宋体" w:cs="Times New Roman"/>
                <w:bCs w:val="0"/>
                <w:color w:val="000000"/>
                <w:kern w:val="0"/>
                <w:sz w:val="21"/>
                <w:szCs w:val="21"/>
                <w:lang w:val="en-US" w:eastAsia="zh-CN" w:bidi="ar-SA"/>
              </w:rPr>
              <w:t>隧道数量≥1个，得5分；</w:t>
            </w:r>
            <w:r>
              <w:rPr>
                <w:rFonts w:hint="default" w:ascii="Times New Roman" w:hAnsi="Times New Roman" w:eastAsia="宋体" w:cs="Times New Roman"/>
                <w:color w:val="000000"/>
                <w:kern w:val="0"/>
                <w:sz w:val="21"/>
                <w:szCs w:val="21"/>
                <w:lang w:val="en-US" w:eastAsia="zh-CN"/>
              </w:rPr>
              <w:t>否则不得分。</w:t>
            </w:r>
          </w:p>
        </w:tc>
        <w:tc>
          <w:tcPr>
            <w:tcW w:w="751" w:type="dxa"/>
            <w:tcBorders>
              <w:top w:val="nil"/>
              <w:left w:val="nil"/>
              <w:bottom w:val="single" w:color="auto" w:sz="4"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r>
      <w:tr>
        <w:tblPrEx>
          <w:tblLayout w:type="fixed"/>
        </w:tblPrEx>
        <w:trPr>
          <w:trHeight w:val="1265" w:hRule="atLeast"/>
          <w:jc w:val="center"/>
        </w:trPr>
        <w:tc>
          <w:tcPr>
            <w:tcW w:w="699" w:type="dxa"/>
            <w:vMerge w:val="continue"/>
            <w:tcBorders>
              <w:left w:val="single" w:color="000000" w:sz="8" w:space="0"/>
              <w:right w:val="single" w:color="000000" w:sz="8" w:space="0"/>
            </w:tcBorders>
            <w:shd w:val="clear" w:color="000000" w:fill="FFFFFF"/>
            <w:vAlign w:val="center"/>
          </w:tcPr>
          <w:p>
            <w:pPr>
              <w:spacing w:line="560" w:lineRule="exact"/>
              <w:jc w:val="center"/>
              <w:rPr>
                <w:rFonts w:hint="default" w:ascii="Times New Roman" w:hAnsi="Times New Roman" w:eastAsia="宋体" w:cs="Times New Roman"/>
                <w:color w:val="000000"/>
                <w:kern w:val="0"/>
                <w:sz w:val="21"/>
                <w:szCs w:val="21"/>
              </w:rPr>
            </w:pPr>
          </w:p>
        </w:tc>
        <w:tc>
          <w:tcPr>
            <w:tcW w:w="709" w:type="dxa"/>
            <w:vMerge w:val="continue"/>
            <w:tcBorders>
              <w:left w:val="single" w:color="000000" w:sz="8" w:space="0"/>
              <w:right w:val="single" w:color="000000" w:sz="8" w:space="0"/>
            </w:tcBorders>
            <w:shd w:val="clear" w:color="000000" w:fill="FFFFFF"/>
            <w:vAlign w:val="center"/>
          </w:tcPr>
          <w:p>
            <w:pPr>
              <w:spacing w:line="560" w:lineRule="exact"/>
              <w:jc w:val="center"/>
              <w:rPr>
                <w:rFonts w:hint="default" w:ascii="Times New Roman" w:hAnsi="Times New Roman" w:eastAsia="宋体" w:cs="Times New Roman"/>
                <w:color w:val="000000"/>
                <w:kern w:val="0"/>
                <w:sz w:val="21"/>
                <w:szCs w:val="21"/>
              </w:rPr>
            </w:pPr>
          </w:p>
        </w:tc>
        <w:tc>
          <w:tcPr>
            <w:tcW w:w="1197" w:type="dxa"/>
            <w:vMerge w:val="restart"/>
            <w:tcBorders>
              <w:top w:val="single" w:color="auto" w:sz="4" w:space="0"/>
              <w:left w:val="nil"/>
              <w:bottom w:val="single" w:color="auto" w:sz="4" w:space="0"/>
              <w:right w:val="single" w:color="000000" w:sz="8" w:space="0"/>
            </w:tcBorders>
            <w:shd w:val="clear" w:color="000000" w:fill="FFFFFF"/>
            <w:vAlign w:val="center"/>
          </w:tcPr>
          <w:p>
            <w:pPr>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产出质量</w:t>
            </w:r>
          </w:p>
        </w:tc>
        <w:tc>
          <w:tcPr>
            <w:tcW w:w="765" w:type="dxa"/>
            <w:vMerge w:val="restart"/>
            <w:tcBorders>
              <w:top w:val="single" w:color="auto" w:sz="4" w:space="0"/>
              <w:left w:val="nil"/>
              <w:bottom w:val="single" w:color="auto" w:sz="4" w:space="0"/>
              <w:right w:val="single" w:color="000000" w:sz="8" w:space="0"/>
            </w:tcBorders>
            <w:shd w:val="clear" w:color="000000" w:fill="FFFFFF"/>
            <w:vAlign w:val="center"/>
          </w:tcPr>
          <w:p>
            <w:pPr>
              <w:spacing w:line="560" w:lineRule="exac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1</w:t>
            </w:r>
            <w:r>
              <w:rPr>
                <w:rFonts w:hint="default" w:ascii="Times New Roman" w:hAnsi="Times New Roman" w:eastAsia="宋体" w:cs="Times New Roman"/>
                <w:color w:val="000000"/>
                <w:kern w:val="0"/>
                <w:sz w:val="21"/>
                <w:szCs w:val="21"/>
                <w:lang w:val="en-US" w:eastAsia="zh-CN"/>
              </w:rPr>
              <w:t>0</w:t>
            </w:r>
          </w:p>
        </w:tc>
        <w:tc>
          <w:tcPr>
            <w:tcW w:w="1290" w:type="dxa"/>
            <w:tcBorders>
              <w:top w:val="single" w:color="auto" w:sz="8" w:space="0"/>
              <w:bottom w:val="single" w:color="auto" w:sz="8" w:space="0"/>
              <w:right w:val="single" w:color="auto" w:sz="8" w:space="0"/>
            </w:tcBorders>
            <w:shd w:val="clear" w:color="auto" w:fill="auto"/>
            <w:vAlign w:val="center"/>
          </w:tcPr>
          <w:p>
            <w:pPr>
              <w:widowControl/>
              <w:spacing w:line="560" w:lineRule="exact"/>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图纸审查合格率</w:t>
            </w:r>
          </w:p>
        </w:tc>
        <w:tc>
          <w:tcPr>
            <w:tcW w:w="825" w:type="dxa"/>
            <w:tcBorders>
              <w:top w:val="nil"/>
              <w:left w:val="single" w:color="auto"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考察</w:t>
            </w:r>
            <w:r>
              <w:rPr>
                <w:rFonts w:hint="default" w:ascii="Times New Roman" w:hAnsi="Times New Roman" w:eastAsia="宋体" w:cs="Times New Roman"/>
                <w:color w:val="000000"/>
                <w:kern w:val="0"/>
                <w:sz w:val="21"/>
                <w:szCs w:val="21"/>
                <w:lang w:val="en-US" w:eastAsia="zh-CN"/>
              </w:rPr>
              <w:t>图纸审查合格率</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合格率=100%，</w:t>
            </w:r>
            <w:r>
              <w:rPr>
                <w:rFonts w:hint="default" w:ascii="Times New Roman" w:hAnsi="Times New Roman" w:eastAsia="宋体" w:cs="Times New Roman"/>
                <w:kern w:val="0"/>
                <w:sz w:val="21"/>
                <w:szCs w:val="21"/>
              </w:rPr>
              <w:t>得</w:t>
            </w:r>
            <w:r>
              <w:rPr>
                <w:rFonts w:hint="default" w:ascii="Times New Roman" w:hAnsi="Times New Roman" w:eastAsia="宋体" w:cs="Times New Roman"/>
                <w:color w:val="000000"/>
                <w:kern w:val="0"/>
                <w:sz w:val="21"/>
                <w:szCs w:val="21"/>
              </w:rPr>
              <w:t>5分，否则不得分。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r>
      <w:tr>
        <w:tblPrEx>
          <w:tblLayout w:type="fixed"/>
        </w:tblPrEx>
        <w:trPr>
          <w:trHeight w:val="1265" w:hRule="atLeast"/>
          <w:jc w:val="center"/>
        </w:trPr>
        <w:tc>
          <w:tcPr>
            <w:tcW w:w="699" w:type="dxa"/>
            <w:vMerge w:val="continue"/>
            <w:tcBorders>
              <w:left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709" w:type="dxa"/>
            <w:vMerge w:val="continue"/>
            <w:tcBorders>
              <w:left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1197" w:type="dxa"/>
            <w:vMerge w:val="continue"/>
            <w:tcBorders>
              <w:top w:val="single" w:color="auto" w:sz="4" w:space="0"/>
              <w:left w:val="nil"/>
              <w:bottom w:val="single" w:color="auto" w:sz="4"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765" w:type="dxa"/>
            <w:vMerge w:val="continue"/>
            <w:tcBorders>
              <w:top w:val="single" w:color="auto" w:sz="4" w:space="0"/>
              <w:left w:val="nil"/>
              <w:bottom w:val="single" w:color="auto" w:sz="4"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1290" w:type="dxa"/>
            <w:tcBorders>
              <w:top w:val="single" w:color="auto" w:sz="8" w:space="0"/>
              <w:bottom w:val="single" w:color="auto" w:sz="8" w:space="0"/>
              <w:right w:val="single" w:color="auto" w:sz="8" w:space="0"/>
            </w:tcBorders>
            <w:shd w:val="clear" w:color="auto" w:fill="auto"/>
            <w:vAlign w:val="center"/>
          </w:tcPr>
          <w:p>
            <w:pPr>
              <w:widowControl/>
              <w:spacing w:line="560" w:lineRule="exact"/>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安全事故发生率</w:t>
            </w:r>
          </w:p>
        </w:tc>
        <w:tc>
          <w:tcPr>
            <w:tcW w:w="825" w:type="dxa"/>
            <w:tcBorders>
              <w:top w:val="nil"/>
              <w:left w:val="single" w:color="auto"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考察</w:t>
            </w:r>
            <w:r>
              <w:rPr>
                <w:rFonts w:hint="default" w:ascii="Times New Roman" w:hAnsi="Times New Roman" w:eastAsia="宋体" w:cs="Times New Roman"/>
                <w:color w:val="000000"/>
                <w:kern w:val="0"/>
                <w:sz w:val="21"/>
                <w:szCs w:val="21"/>
                <w:lang w:val="en-US" w:eastAsia="zh-CN"/>
              </w:rPr>
              <w:t>项目开展期间是否有发生重大安全事故</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安全事故发生率</w:t>
            </w:r>
            <w:r>
              <w:rPr>
                <w:rFonts w:hint="default" w:ascii="Times New Roman" w:hAnsi="Times New Roman" w:eastAsia="宋体" w:cs="Times New Roman"/>
                <w:bCs w:val="0"/>
                <w:color w:val="000000"/>
                <w:kern w:val="0"/>
                <w:sz w:val="21"/>
                <w:szCs w:val="21"/>
                <w:lang w:val="en-US" w:eastAsia="zh-CN"/>
              </w:rPr>
              <w:t>≤5%</w:t>
            </w:r>
            <w:r>
              <w:rPr>
                <w:rFonts w:hint="default" w:ascii="Times New Roman" w:hAnsi="Times New Roman" w:eastAsia="宋体" w:cs="Times New Roman"/>
                <w:bCs w:val="0"/>
                <w:color w:val="000000"/>
                <w:kern w:val="0"/>
                <w:sz w:val="21"/>
                <w:szCs w:val="21"/>
              </w:rPr>
              <w:t>，得5分，否则不得分。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r>
      <w:tr>
        <w:tblPrEx>
          <w:tblLayout w:type="fixed"/>
        </w:tblPrEx>
        <w:trPr>
          <w:trHeight w:val="1164" w:hRule="atLeast"/>
          <w:jc w:val="center"/>
        </w:trPr>
        <w:tc>
          <w:tcPr>
            <w:tcW w:w="699" w:type="dxa"/>
            <w:vMerge w:val="continue"/>
            <w:tcBorders>
              <w:left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left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tcBorders>
              <w:top w:val="single" w:color="auto" w:sz="4" w:space="0"/>
              <w:left w:val="nil"/>
              <w:bottom w:val="single" w:color="auto"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产出时效</w:t>
            </w:r>
          </w:p>
        </w:tc>
        <w:tc>
          <w:tcPr>
            <w:tcW w:w="765" w:type="dxa"/>
            <w:tcBorders>
              <w:top w:val="single" w:color="auto" w:sz="4" w:space="0"/>
              <w:left w:val="nil"/>
              <w:bottom w:val="single" w:color="auto"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1290" w:type="dxa"/>
            <w:tcBorders>
              <w:top w:val="single" w:color="auto" w:sz="8" w:space="0"/>
              <w:bottom w:val="single" w:color="auto" w:sz="8" w:space="0"/>
              <w:right w:val="single" w:color="auto" w:sz="8" w:space="0"/>
            </w:tcBorders>
            <w:shd w:val="clear" w:color="auto" w:fill="auto"/>
            <w:vAlign w:val="center"/>
          </w:tcPr>
          <w:p>
            <w:pPr>
              <w:widowControl/>
              <w:spacing w:line="560" w:lineRule="exact"/>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设计完成及时性</w:t>
            </w:r>
          </w:p>
        </w:tc>
        <w:tc>
          <w:tcPr>
            <w:tcW w:w="825" w:type="dxa"/>
            <w:tcBorders>
              <w:top w:val="nil"/>
              <w:left w:val="single" w:color="auto"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考察</w:t>
            </w:r>
            <w:r>
              <w:rPr>
                <w:rFonts w:hint="default" w:ascii="Times New Roman" w:hAnsi="Times New Roman" w:eastAsia="宋体" w:cs="Times New Roman"/>
                <w:color w:val="000000"/>
                <w:kern w:val="0"/>
                <w:sz w:val="21"/>
                <w:szCs w:val="21"/>
                <w:lang w:val="en-US" w:eastAsia="zh-CN"/>
              </w:rPr>
              <w:t>施工图纸是否如期完成</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评价要点：</w:t>
            </w:r>
          </w:p>
          <w:p>
            <w:pPr>
              <w:widowControl/>
              <w:spacing w:line="560" w:lineRule="exact"/>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在合同约定时间前交付设计图纸得满分，否则不得分。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r>
      <w:tr>
        <w:tblPrEx>
          <w:tblLayout w:type="fixed"/>
        </w:tblPrEx>
        <w:trPr>
          <w:trHeight w:val="1164" w:hRule="atLeast"/>
          <w:jc w:val="center"/>
        </w:trPr>
        <w:tc>
          <w:tcPr>
            <w:tcW w:w="699" w:type="dxa"/>
            <w:vMerge w:val="continue"/>
            <w:tcBorders>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tcBorders>
              <w:top w:val="single" w:color="auto" w:sz="8" w:space="0"/>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产出成本</w:t>
            </w:r>
          </w:p>
        </w:tc>
        <w:tc>
          <w:tcPr>
            <w:tcW w:w="765" w:type="dxa"/>
            <w:tcBorders>
              <w:top w:val="single" w:color="auto" w:sz="8" w:space="0"/>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1290" w:type="dxa"/>
            <w:tcBorders>
              <w:top w:val="single" w:color="auto" w:sz="8" w:space="0"/>
              <w:left w:val="nil"/>
              <w:bottom w:val="single" w:color="000000" w:sz="8" w:space="0"/>
              <w:right w:val="single" w:color="000000" w:sz="8" w:space="0"/>
            </w:tcBorders>
            <w:shd w:val="clear" w:color="000000" w:fill="FFFFFF"/>
            <w:vAlign w:val="center"/>
          </w:tcPr>
          <w:p>
            <w:pPr>
              <w:widowControl/>
              <w:spacing w:line="560" w:lineRule="exact"/>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项目预算控制数</w:t>
            </w:r>
          </w:p>
        </w:tc>
        <w:tc>
          <w:tcPr>
            <w:tcW w:w="825"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考察项目支出金额是否超过项目预算金额</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超过预算不得分，未超过项目预算得满分。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r>
      <w:tr>
        <w:tblPrEx>
          <w:tblLayout w:type="fixed"/>
        </w:tblPrEx>
        <w:trPr>
          <w:trHeight w:val="588" w:hRule="atLeast"/>
          <w:jc w:val="center"/>
        </w:trPr>
        <w:tc>
          <w:tcPr>
            <w:tcW w:w="699"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效益　</w:t>
            </w:r>
          </w:p>
        </w:tc>
        <w:tc>
          <w:tcPr>
            <w:tcW w:w="709"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26</w:t>
            </w:r>
          </w:p>
        </w:tc>
        <w:tc>
          <w:tcPr>
            <w:tcW w:w="1197" w:type="dxa"/>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经济效益指标　</w:t>
            </w:r>
          </w:p>
        </w:tc>
        <w:tc>
          <w:tcPr>
            <w:tcW w:w="765"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26</w:t>
            </w:r>
          </w:p>
        </w:tc>
        <w:tc>
          <w:tcPr>
            <w:tcW w:w="1290" w:type="dxa"/>
            <w:tcBorders>
              <w:top w:val="single" w:color="000000" w:sz="4" w:space="0"/>
              <w:left w:val="single" w:color="000000" w:sz="4" w:space="0"/>
              <w:bottom w:val="single" w:color="auto" w:sz="8" w:space="0"/>
              <w:right w:val="single" w:color="auto" w:sz="8" w:space="0"/>
            </w:tcBorders>
            <w:shd w:val="clear" w:color="auto" w:fill="auto"/>
            <w:vAlign w:val="center"/>
          </w:tcPr>
          <w:p>
            <w:pPr>
              <w:widowControl/>
              <w:spacing w:line="560" w:lineRule="exact"/>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公路沿线经济增长性</w:t>
            </w:r>
          </w:p>
        </w:tc>
        <w:tc>
          <w:tcPr>
            <w:tcW w:w="825" w:type="dxa"/>
            <w:tcBorders>
              <w:top w:val="nil"/>
              <w:left w:val="single" w:color="auto"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5</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考察通过本项目实施，是否带动道路沿线的经济发展</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FF0000"/>
                <w:kern w:val="0"/>
                <w:sz w:val="21"/>
                <w:szCs w:val="21"/>
                <w:lang w:val="en-US" w:eastAsia="zh-CN"/>
              </w:rPr>
            </w:pPr>
            <w:r>
              <w:rPr>
                <w:rFonts w:hint="default" w:ascii="Times New Roman" w:hAnsi="Times New Roman" w:eastAsia="宋体" w:cs="Times New Roman"/>
                <w:color w:val="000000"/>
                <w:kern w:val="0"/>
                <w:sz w:val="21"/>
                <w:szCs w:val="21"/>
                <w:lang w:val="en-US" w:eastAsia="zh-CN"/>
              </w:rPr>
              <w:t>促进沿线经济发展的得满分，否则不得分。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5</w:t>
            </w:r>
          </w:p>
        </w:tc>
      </w:tr>
      <w:tr>
        <w:tblPrEx>
          <w:tblLayout w:type="fixed"/>
        </w:tblPrEx>
        <w:trPr>
          <w:trHeight w:val="588" w:hRule="atLeast"/>
          <w:jc w:val="center"/>
        </w:trPr>
        <w:tc>
          <w:tcPr>
            <w:tcW w:w="699" w:type="dxa"/>
            <w:vMerge w:val="continue"/>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1197" w:type="dxa"/>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社会效益指标</w:t>
            </w:r>
          </w:p>
        </w:tc>
        <w:tc>
          <w:tcPr>
            <w:tcW w:w="765" w:type="dxa"/>
            <w:vMerge w:val="continue"/>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1290" w:type="dxa"/>
            <w:tcBorders>
              <w:top w:val="single" w:color="auto" w:sz="8" w:space="0"/>
              <w:left w:val="single" w:color="000000" w:sz="4" w:space="0"/>
              <w:bottom w:val="single" w:color="auto" w:sz="8" w:space="0"/>
              <w:right w:val="single" w:color="auto" w:sz="8" w:space="0"/>
            </w:tcBorders>
            <w:shd w:val="clear" w:color="auto" w:fill="auto"/>
            <w:vAlign w:val="center"/>
          </w:tcPr>
          <w:p>
            <w:pPr>
              <w:widowControl/>
              <w:spacing w:line="560" w:lineRule="exact"/>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公共交通出行便利度</w:t>
            </w:r>
          </w:p>
        </w:tc>
        <w:tc>
          <w:tcPr>
            <w:tcW w:w="825" w:type="dxa"/>
            <w:tcBorders>
              <w:top w:val="nil"/>
              <w:left w:val="single" w:color="auto"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6</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考察本项目是否提升片区交通便利度</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有显著提升的得满分，否则不得分。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6</w:t>
            </w:r>
          </w:p>
        </w:tc>
      </w:tr>
      <w:tr>
        <w:tblPrEx>
          <w:tblLayout w:type="fixed"/>
        </w:tblPrEx>
        <w:trPr>
          <w:trHeight w:val="588" w:hRule="atLeast"/>
          <w:jc w:val="center"/>
        </w:trPr>
        <w:tc>
          <w:tcPr>
            <w:tcW w:w="699" w:type="dxa"/>
            <w:vMerge w:val="continue"/>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1197" w:type="dxa"/>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生态效益指标</w:t>
            </w:r>
          </w:p>
        </w:tc>
        <w:tc>
          <w:tcPr>
            <w:tcW w:w="765" w:type="dxa"/>
            <w:vMerge w:val="continue"/>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p>
        </w:tc>
        <w:tc>
          <w:tcPr>
            <w:tcW w:w="1290" w:type="dxa"/>
            <w:tcBorders>
              <w:top w:val="single" w:color="auto" w:sz="8" w:space="0"/>
              <w:left w:val="single" w:color="000000" w:sz="4" w:space="0"/>
              <w:bottom w:val="single" w:color="auto" w:sz="8" w:space="0"/>
              <w:right w:val="single" w:color="auto" w:sz="8" w:space="0"/>
            </w:tcBorders>
            <w:shd w:val="clear" w:color="auto" w:fill="auto"/>
            <w:vAlign w:val="center"/>
          </w:tcPr>
          <w:p>
            <w:pPr>
              <w:widowControl/>
              <w:spacing w:line="560" w:lineRule="exact"/>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森林植被恢复率</w:t>
            </w:r>
          </w:p>
        </w:tc>
        <w:tc>
          <w:tcPr>
            <w:tcW w:w="825" w:type="dxa"/>
            <w:tcBorders>
              <w:top w:val="nil"/>
              <w:left w:val="single" w:color="auto"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5</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考察项目建设过程中对植被的恢复情况</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基本完成植被恢复工作的得满分，否则不得分。</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5</w:t>
            </w:r>
          </w:p>
        </w:tc>
      </w:tr>
      <w:tr>
        <w:tblPrEx>
          <w:tblLayout w:type="fixed"/>
        </w:tblPrEx>
        <w:trPr>
          <w:trHeight w:val="588" w:hRule="atLeast"/>
          <w:jc w:val="center"/>
        </w:trPr>
        <w:tc>
          <w:tcPr>
            <w:tcW w:w="69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197" w:type="dxa"/>
            <w:tcBorders>
              <w:top w:val="nil"/>
              <w:left w:val="single" w:color="000000" w:sz="8" w:space="0"/>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满意度指标</w:t>
            </w:r>
          </w:p>
        </w:tc>
        <w:tc>
          <w:tcPr>
            <w:tcW w:w="765"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hint="default" w:ascii="Times New Roman" w:hAnsi="Times New Roman" w:eastAsia="宋体" w:cs="Times New Roman"/>
                <w:color w:val="000000"/>
                <w:kern w:val="0"/>
                <w:sz w:val="21"/>
                <w:szCs w:val="21"/>
              </w:rPr>
            </w:pPr>
          </w:p>
        </w:tc>
        <w:tc>
          <w:tcPr>
            <w:tcW w:w="1290" w:type="dxa"/>
            <w:tcBorders>
              <w:top w:val="single" w:color="auto" w:sz="8" w:space="0"/>
              <w:left w:val="single" w:color="000000" w:sz="4" w:space="0"/>
              <w:bottom w:val="single" w:color="auto" w:sz="4" w:space="0"/>
              <w:right w:val="single" w:color="auto" w:sz="8" w:space="0"/>
            </w:tcBorders>
            <w:shd w:val="clear" w:color="auto" w:fill="auto"/>
            <w:vAlign w:val="center"/>
          </w:tcPr>
          <w:p>
            <w:pPr>
              <w:widowControl/>
              <w:spacing w:line="560" w:lineRule="exact"/>
              <w:ind w:left="0" w:leftChars="0" w:right="0" w:rightChars="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项目沿线群众</w:t>
            </w:r>
            <w:r>
              <w:rPr>
                <w:rFonts w:hint="default" w:ascii="Times New Roman" w:hAnsi="Times New Roman" w:eastAsia="宋体" w:cs="Times New Roman"/>
                <w:color w:val="000000"/>
                <w:kern w:val="0"/>
                <w:sz w:val="21"/>
                <w:szCs w:val="21"/>
                <w:lang w:val="en-US" w:eastAsia="zh-CN"/>
              </w:rPr>
              <w:t>满意度</w:t>
            </w:r>
          </w:p>
        </w:tc>
        <w:tc>
          <w:tcPr>
            <w:tcW w:w="825" w:type="dxa"/>
            <w:tcBorders>
              <w:top w:val="nil"/>
              <w:left w:val="single" w:color="auto" w:sz="8" w:space="0"/>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考察道路沿线居民群众的满意度</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本指标得分=本指标满分值×</w:t>
            </w:r>
            <w:r>
              <w:rPr>
                <w:rFonts w:hint="default" w:ascii="Times New Roman" w:hAnsi="Times New Roman" w:eastAsia="宋体" w:cs="Times New Roman"/>
                <w:color w:val="000000"/>
                <w:kern w:val="0"/>
                <w:sz w:val="21"/>
                <w:szCs w:val="21"/>
                <w:lang w:val="en-US" w:eastAsia="zh-CN"/>
              </w:rPr>
              <w:t>居民群众</w:t>
            </w:r>
            <w:r>
              <w:rPr>
                <w:rFonts w:hint="default" w:ascii="Times New Roman" w:hAnsi="Times New Roman" w:eastAsia="宋体" w:cs="Times New Roman"/>
                <w:color w:val="000000"/>
                <w:kern w:val="0"/>
                <w:sz w:val="21"/>
                <w:szCs w:val="21"/>
              </w:rPr>
              <w:t>满意度</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r>
      <w:tr>
        <w:tblPrEx>
          <w:tblLayout w:type="fixed"/>
        </w:tblPrEx>
        <w:trPr>
          <w:trHeight w:val="300" w:hRule="atLeast"/>
          <w:jc w:val="center"/>
        </w:trPr>
        <w:tc>
          <w:tcPr>
            <w:tcW w:w="699"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总分</w:t>
            </w:r>
          </w:p>
        </w:tc>
        <w:tc>
          <w:tcPr>
            <w:tcW w:w="709"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100</w:t>
            </w:r>
          </w:p>
        </w:tc>
        <w:tc>
          <w:tcPr>
            <w:tcW w:w="1197"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w:t>
            </w:r>
          </w:p>
        </w:tc>
        <w:tc>
          <w:tcPr>
            <w:tcW w:w="765"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100</w:t>
            </w:r>
          </w:p>
        </w:tc>
        <w:tc>
          <w:tcPr>
            <w:tcW w:w="1290" w:type="dxa"/>
            <w:tcBorders>
              <w:top w:val="single" w:color="auto" w:sz="4" w:space="0"/>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w:t>
            </w:r>
          </w:p>
        </w:tc>
        <w:tc>
          <w:tcPr>
            <w:tcW w:w="825"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100</w:t>
            </w:r>
          </w:p>
        </w:tc>
        <w:tc>
          <w:tcPr>
            <w:tcW w:w="243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w:t>
            </w:r>
          </w:p>
        </w:tc>
        <w:tc>
          <w:tcPr>
            <w:tcW w:w="4260" w:type="dxa"/>
            <w:tcBorders>
              <w:top w:val="nil"/>
              <w:left w:val="nil"/>
              <w:bottom w:val="single" w:color="000000" w:sz="8" w:space="0"/>
              <w:right w:val="single" w:color="000000" w:sz="8" w:space="0"/>
            </w:tcBorders>
            <w:shd w:val="clear" w:color="000000" w:fill="FFFFFF"/>
            <w:vAlign w:val="center"/>
          </w:tcPr>
          <w:p>
            <w:pPr>
              <w:widowControl/>
              <w:spacing w:line="56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w:t>
            </w:r>
          </w:p>
        </w:tc>
        <w:tc>
          <w:tcPr>
            <w:tcW w:w="751"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rPr>
                <w:rFonts w:hint="default" w:ascii="Times New Roman" w:hAnsi="Times New Roman" w:eastAsia="宋体" w:cs="Times New Roman"/>
                <w:b/>
                <w:bCs/>
                <w:color w:val="000000"/>
                <w:kern w:val="0"/>
                <w:sz w:val="21"/>
                <w:szCs w:val="21"/>
                <w:lang w:eastAsia="zh-CN"/>
              </w:rPr>
            </w:pPr>
            <w:r>
              <w:rPr>
                <w:rFonts w:hint="default" w:ascii="Times New Roman" w:hAnsi="Times New Roman" w:eastAsia="宋体" w:cs="Times New Roman"/>
                <w:b/>
                <w:bCs/>
                <w:color w:val="000000"/>
                <w:kern w:val="0"/>
                <w:sz w:val="21"/>
                <w:szCs w:val="21"/>
              </w:rPr>
              <w:t>9</w:t>
            </w:r>
            <w:r>
              <w:rPr>
                <w:rFonts w:hint="default" w:ascii="Times New Roman" w:hAnsi="Times New Roman" w:eastAsia="宋体" w:cs="Times New Roman"/>
                <w:b/>
                <w:bCs/>
                <w:color w:val="000000"/>
                <w:kern w:val="0"/>
                <w:sz w:val="21"/>
                <w:szCs w:val="21"/>
                <w:lang w:val="en-US" w:eastAsia="zh-CN"/>
              </w:rPr>
              <w:t>5</w:t>
            </w:r>
          </w:p>
        </w:tc>
      </w:tr>
      <w:bookmarkEnd w:id="11"/>
    </w:tbl>
    <w:p>
      <w:pPr>
        <w:pStyle w:val="2"/>
        <w:rPr>
          <w:rFonts w:hint="eastAsia"/>
        </w:rPr>
      </w:pPr>
    </w:p>
    <w:p>
      <w:pPr>
        <w:pStyle w:val="2"/>
      </w:pPr>
    </w:p>
    <w:sectPr>
      <w:pgSz w:w="16838" w:h="11906" w:orient="landscape"/>
      <w:pgMar w:top="1531" w:right="1928" w:bottom="1531" w:left="170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200001FF" w:csb1="00000000"/>
  </w:font>
  <w:font w:name="楷体_GB2312">
    <w:altName w:val="汉仪楷体KW"/>
    <w:panose1 w:val="00000000000000000000"/>
    <w:charset w:val="86"/>
    <w:family w:val="auto"/>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书宋二KW">
    <w:panose1 w:val="00020600040101010101"/>
    <w:charset w:val="50"/>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BF07C"/>
    <w:multiLevelType w:val="multilevel"/>
    <w:tmpl w:val="857BF07C"/>
    <w:lvl w:ilvl="0" w:tentative="0">
      <w:start w:val="1"/>
      <w:numFmt w:val="chineseCountingThousand"/>
      <w:suff w:val="nothing"/>
      <w:lvlText w:val="%1、"/>
      <w:lvlJc w:val="left"/>
      <w:pPr>
        <w:ind w:left="425" w:hanging="425"/>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chineseCountingThousand"/>
      <w:suff w:val="nothing"/>
      <w:lvlText w:val="（%2）"/>
      <w:lvlJc w:val="left"/>
      <w:pPr>
        <w:ind w:left="1391" w:hanging="567"/>
      </w:pPr>
      <w:rPr>
        <w:rFonts w:hint="eastAsia"/>
      </w:rPr>
    </w:lvl>
    <w:lvl w:ilvl="2" w:tentative="0">
      <w:start w:val="1"/>
      <w:numFmt w:val="decimal"/>
      <w:suff w:val="nothing"/>
      <w:lvlText w:val="%3. "/>
      <w:lvlJc w:val="left"/>
      <w:pPr>
        <w:ind w:left="992" w:hanging="567"/>
      </w:pPr>
      <w:rPr>
        <w:rFonts w:hint="eastAsia"/>
      </w:rPr>
    </w:lvl>
    <w:lvl w:ilvl="3" w:tentative="0">
      <w:start w:val="1"/>
      <w:numFmt w:val="decimal"/>
      <w:pStyle w:val="6"/>
      <w:suff w:val="nothing"/>
      <w:lvlText w:val="（%4）"/>
      <w:lvlJc w:val="left"/>
      <w:pPr>
        <w:ind w:left="992" w:hanging="425"/>
      </w:pPr>
      <w:rPr>
        <w:rFonts w:hint="eastAsia"/>
      </w:rPr>
    </w:lvl>
    <w:lvl w:ilvl="4" w:tentative="0">
      <w:start w:val="1"/>
      <w:numFmt w:val="decimal"/>
      <w:pStyle w:val="7"/>
      <w:suff w:val="nothing"/>
      <w:lvlText w:val="%5）"/>
      <w:lvlJc w:val="left"/>
      <w:pPr>
        <w:ind w:left="992" w:hanging="113"/>
      </w:pPr>
      <w:rPr>
        <w:rFonts w:hint="eastAsia"/>
      </w:rPr>
    </w:lvl>
    <w:lvl w:ilvl="5" w:tentative="0">
      <w:start w:val="1"/>
      <w:numFmt w:val="decimal"/>
      <w:pStyle w:val="19"/>
      <w:suff w:val="nothing"/>
      <w:lvlText w:val="附件%6 "/>
      <w:lvlJc w:val="left"/>
      <w:pPr>
        <w:ind w:left="0" w:firstLine="0"/>
      </w:pPr>
      <w:rPr>
        <w:rFonts w:hint="eastAsia"/>
      </w:rPr>
    </w:lvl>
    <w:lvl w:ilvl="6" w:tentative="0">
      <w:start w:val="1"/>
      <w:numFmt w:val="chineseCountingThousand"/>
      <w:suff w:val="nothing"/>
      <w:lvlText w:val="%7、"/>
      <w:lvlJc w:val="left"/>
      <w:pPr>
        <w:ind w:left="992" w:hanging="567"/>
      </w:pPr>
      <w:rPr>
        <w:rFonts w:hint="eastAsia"/>
      </w:rPr>
    </w:lvl>
    <w:lvl w:ilvl="7" w:tentative="0">
      <w:start w:val="1"/>
      <w:numFmt w:val="chineseCountingThousand"/>
      <w:suff w:val="nothing"/>
      <w:lvlText w:val="（%8）"/>
      <w:lvlJc w:val="left"/>
      <w:pPr>
        <w:ind w:left="992" w:hanging="567"/>
      </w:pPr>
      <w:rPr>
        <w:rFonts w:hint="eastAsia"/>
      </w:rPr>
    </w:lvl>
    <w:lvl w:ilvl="8" w:tentative="0">
      <w:start w:val="1"/>
      <w:numFmt w:val="decimal"/>
      <w:suff w:val="nothing"/>
      <w:lvlText w:val="%9. "/>
      <w:lvlJc w:val="left"/>
      <w:pPr>
        <w:ind w:left="992" w:hanging="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51684"/>
    <w:rsid w:val="00213366"/>
    <w:rsid w:val="004A16BF"/>
    <w:rsid w:val="005932F2"/>
    <w:rsid w:val="00627336"/>
    <w:rsid w:val="00820D92"/>
    <w:rsid w:val="00A6316D"/>
    <w:rsid w:val="015B4372"/>
    <w:rsid w:val="043E35CC"/>
    <w:rsid w:val="049D7F27"/>
    <w:rsid w:val="05C53B4F"/>
    <w:rsid w:val="05EE11C0"/>
    <w:rsid w:val="06CC5C85"/>
    <w:rsid w:val="06EC2309"/>
    <w:rsid w:val="076C2F67"/>
    <w:rsid w:val="095F36F3"/>
    <w:rsid w:val="0A9844E6"/>
    <w:rsid w:val="0B106AE4"/>
    <w:rsid w:val="0B5228B6"/>
    <w:rsid w:val="0C4B0C3B"/>
    <w:rsid w:val="0D321C1B"/>
    <w:rsid w:val="0D8138C4"/>
    <w:rsid w:val="0ED84AEF"/>
    <w:rsid w:val="0F252F1B"/>
    <w:rsid w:val="0FC51902"/>
    <w:rsid w:val="113978E4"/>
    <w:rsid w:val="1301401E"/>
    <w:rsid w:val="13A70315"/>
    <w:rsid w:val="13B603E9"/>
    <w:rsid w:val="14770FFA"/>
    <w:rsid w:val="15ED5505"/>
    <w:rsid w:val="164B35AB"/>
    <w:rsid w:val="16833B6C"/>
    <w:rsid w:val="173F5ED7"/>
    <w:rsid w:val="18117A1D"/>
    <w:rsid w:val="19BA2CB3"/>
    <w:rsid w:val="19FF67EE"/>
    <w:rsid w:val="1A3C324D"/>
    <w:rsid w:val="1BA512D8"/>
    <w:rsid w:val="1C261D5D"/>
    <w:rsid w:val="1CF66D07"/>
    <w:rsid w:val="1D163B55"/>
    <w:rsid w:val="1D567BC9"/>
    <w:rsid w:val="1E425CC9"/>
    <w:rsid w:val="1E781DBB"/>
    <w:rsid w:val="1EB07CE6"/>
    <w:rsid w:val="209D2AA8"/>
    <w:rsid w:val="22FE07C0"/>
    <w:rsid w:val="24037840"/>
    <w:rsid w:val="24F869B7"/>
    <w:rsid w:val="261C7697"/>
    <w:rsid w:val="267C0FFD"/>
    <w:rsid w:val="269A25B6"/>
    <w:rsid w:val="277160C3"/>
    <w:rsid w:val="28FC77A9"/>
    <w:rsid w:val="2A7568FD"/>
    <w:rsid w:val="2B075CAA"/>
    <w:rsid w:val="2B2E636B"/>
    <w:rsid w:val="2B830AC7"/>
    <w:rsid w:val="2CD05527"/>
    <w:rsid w:val="2EFD753D"/>
    <w:rsid w:val="2F336ECD"/>
    <w:rsid w:val="30C3607A"/>
    <w:rsid w:val="30D53FC6"/>
    <w:rsid w:val="33342716"/>
    <w:rsid w:val="347D4425"/>
    <w:rsid w:val="347F4369"/>
    <w:rsid w:val="34AB1A1D"/>
    <w:rsid w:val="34F97087"/>
    <w:rsid w:val="35AE6835"/>
    <w:rsid w:val="361B0C12"/>
    <w:rsid w:val="3631148F"/>
    <w:rsid w:val="36A666F5"/>
    <w:rsid w:val="36D35B8C"/>
    <w:rsid w:val="372F6BE1"/>
    <w:rsid w:val="3A8012F1"/>
    <w:rsid w:val="3A9F02CE"/>
    <w:rsid w:val="3CD24C10"/>
    <w:rsid w:val="3D345399"/>
    <w:rsid w:val="3D5A4819"/>
    <w:rsid w:val="3E7C2417"/>
    <w:rsid w:val="3F460DDD"/>
    <w:rsid w:val="40416A1A"/>
    <w:rsid w:val="404A5749"/>
    <w:rsid w:val="405F0E6B"/>
    <w:rsid w:val="410F4C53"/>
    <w:rsid w:val="41492950"/>
    <w:rsid w:val="417309CC"/>
    <w:rsid w:val="41FC49DF"/>
    <w:rsid w:val="43F513D8"/>
    <w:rsid w:val="440E7F27"/>
    <w:rsid w:val="453D1BCD"/>
    <w:rsid w:val="45AA6DC9"/>
    <w:rsid w:val="4666403F"/>
    <w:rsid w:val="491E2993"/>
    <w:rsid w:val="49423CCB"/>
    <w:rsid w:val="4A6E2100"/>
    <w:rsid w:val="4E950722"/>
    <w:rsid w:val="53426389"/>
    <w:rsid w:val="53717368"/>
    <w:rsid w:val="54440A0C"/>
    <w:rsid w:val="54BD615E"/>
    <w:rsid w:val="553303F4"/>
    <w:rsid w:val="55C42A2A"/>
    <w:rsid w:val="56356829"/>
    <w:rsid w:val="563745EF"/>
    <w:rsid w:val="594B4C16"/>
    <w:rsid w:val="59537943"/>
    <w:rsid w:val="5A2D3183"/>
    <w:rsid w:val="5B4E42DB"/>
    <w:rsid w:val="5C550E99"/>
    <w:rsid w:val="5D552E0E"/>
    <w:rsid w:val="5EE57364"/>
    <w:rsid w:val="61662573"/>
    <w:rsid w:val="61A876B0"/>
    <w:rsid w:val="61EF4C29"/>
    <w:rsid w:val="62A85C9E"/>
    <w:rsid w:val="63A83FB6"/>
    <w:rsid w:val="63B51D2B"/>
    <w:rsid w:val="65CA1BE9"/>
    <w:rsid w:val="690B4BE4"/>
    <w:rsid w:val="6913708B"/>
    <w:rsid w:val="69A367C5"/>
    <w:rsid w:val="6A4A3A30"/>
    <w:rsid w:val="6BEE5664"/>
    <w:rsid w:val="6C0E3F60"/>
    <w:rsid w:val="6D0856D8"/>
    <w:rsid w:val="6D165DB9"/>
    <w:rsid w:val="6D9A74ED"/>
    <w:rsid w:val="6E0E0B2C"/>
    <w:rsid w:val="6FD07C78"/>
    <w:rsid w:val="724C1A4D"/>
    <w:rsid w:val="728F4C67"/>
    <w:rsid w:val="73C902A7"/>
    <w:rsid w:val="7597411D"/>
    <w:rsid w:val="76137AFC"/>
    <w:rsid w:val="766B6FFB"/>
    <w:rsid w:val="76B23212"/>
    <w:rsid w:val="77F24212"/>
    <w:rsid w:val="79642F87"/>
    <w:rsid w:val="79C12783"/>
    <w:rsid w:val="79CD4EDA"/>
    <w:rsid w:val="7A7854D8"/>
    <w:rsid w:val="7B294910"/>
    <w:rsid w:val="7B884D8D"/>
    <w:rsid w:val="7C342896"/>
    <w:rsid w:val="7C480B59"/>
    <w:rsid w:val="7CE51684"/>
    <w:rsid w:val="7CE52DDD"/>
    <w:rsid w:val="7D560849"/>
    <w:rsid w:val="7D95146D"/>
    <w:rsid w:val="7E144BEA"/>
    <w:rsid w:val="7E7E11B5"/>
    <w:rsid w:val="7EF82896"/>
    <w:rsid w:val="7F600B80"/>
    <w:rsid w:val="BBCF49BB"/>
    <w:rsid w:val="FF7DD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8"/>
    <w:qFormat/>
    <w:uiPriority w:val="99"/>
    <w:pPr>
      <w:keepNext/>
      <w:keepLines/>
      <w:spacing w:line="560" w:lineRule="exact"/>
      <w:ind w:left="300" w:leftChars="300"/>
      <w:jc w:val="left"/>
      <w:outlineLvl w:val="0"/>
    </w:pPr>
    <w:rPr>
      <w:rFonts w:ascii="宋体" w:hAnsi="宋体" w:eastAsia="黑体"/>
      <w:bCs/>
      <w:kern w:val="44"/>
      <w:sz w:val="32"/>
      <w:szCs w:val="44"/>
    </w:rPr>
  </w:style>
  <w:style w:type="paragraph" w:styleId="4">
    <w:name w:val="heading 2"/>
    <w:basedOn w:val="1"/>
    <w:next w:val="1"/>
    <w:link w:val="13"/>
    <w:unhideWhenUsed/>
    <w:qFormat/>
    <w:uiPriority w:val="0"/>
    <w:pPr>
      <w:keepNext/>
      <w:keepLines/>
      <w:spacing w:line="560" w:lineRule="exact"/>
      <w:ind w:left="300" w:leftChars="300"/>
      <w:outlineLvl w:val="1"/>
    </w:pPr>
    <w:rPr>
      <w:rFonts w:eastAsia="楷体_GB2312" w:asciiTheme="majorHAnsi" w:hAnsiTheme="majorHAnsi" w:cstheme="majorBidi"/>
      <w:b/>
      <w:bCs/>
      <w:sz w:val="32"/>
      <w:szCs w:val="32"/>
    </w:rPr>
  </w:style>
  <w:style w:type="paragraph" w:styleId="5">
    <w:name w:val="heading 3"/>
    <w:basedOn w:val="1"/>
    <w:next w:val="1"/>
    <w:link w:val="14"/>
    <w:unhideWhenUsed/>
    <w:qFormat/>
    <w:uiPriority w:val="0"/>
    <w:pPr>
      <w:keepNext/>
      <w:keepLines/>
      <w:spacing w:line="560" w:lineRule="exact"/>
      <w:ind w:left="300" w:leftChars="300"/>
      <w:outlineLvl w:val="2"/>
    </w:pPr>
    <w:rPr>
      <w:rFonts w:ascii="Calibri" w:hAnsi="Calibri"/>
      <w:b/>
      <w:bCs/>
      <w:sz w:val="32"/>
      <w:szCs w:val="32"/>
    </w:rPr>
  </w:style>
  <w:style w:type="paragraph" w:styleId="6">
    <w:name w:val="heading 4"/>
    <w:basedOn w:val="1"/>
    <w:next w:val="1"/>
    <w:link w:val="15"/>
    <w:unhideWhenUsed/>
    <w:qFormat/>
    <w:uiPriority w:val="0"/>
    <w:pPr>
      <w:numPr>
        <w:ilvl w:val="3"/>
        <w:numId w:val="1"/>
      </w:numPr>
      <w:spacing w:line="560" w:lineRule="exact"/>
      <w:ind w:left="845" w:leftChars="200" w:firstLine="0"/>
      <w:outlineLvl w:val="3"/>
    </w:pPr>
    <w:rPr>
      <w:rFonts w:ascii="仿宋_GB2312" w:hAnsi="仿宋_GB2312" w:cs="宋体"/>
      <w:b/>
      <w:sz w:val="32"/>
      <w:szCs w:val="32"/>
    </w:rPr>
  </w:style>
  <w:style w:type="paragraph" w:styleId="7">
    <w:name w:val="heading 5"/>
    <w:basedOn w:val="1"/>
    <w:next w:val="1"/>
    <w:unhideWhenUsed/>
    <w:qFormat/>
    <w:uiPriority w:val="0"/>
    <w:pPr>
      <w:keepNext/>
      <w:keepLines/>
      <w:numPr>
        <w:ilvl w:val="4"/>
        <w:numId w:val="1"/>
      </w:numPr>
      <w:spacing w:before="280" w:after="290" w:line="372" w:lineRule="auto"/>
      <w:outlineLvl w:val="4"/>
    </w:pPr>
    <w:rPr>
      <w:b/>
      <w:sz w:val="28"/>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line="360" w:lineRule="auto"/>
    </w:pPr>
    <w:rPr>
      <w:bCs/>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2">
    <w:name w:val="标题 1 Char"/>
    <w:basedOn w:val="10"/>
    <w:qFormat/>
    <w:uiPriority w:val="9"/>
    <w:rPr>
      <w:rFonts w:ascii="宋体" w:hAnsi="宋体" w:eastAsia="黑体" w:cs="宋体"/>
      <w:bCs/>
      <w:kern w:val="44"/>
      <w:sz w:val="32"/>
      <w:szCs w:val="32"/>
    </w:rPr>
  </w:style>
  <w:style w:type="character" w:customStyle="1" w:styleId="13">
    <w:name w:val="标题 2 字符"/>
    <w:basedOn w:val="10"/>
    <w:link w:val="4"/>
    <w:qFormat/>
    <w:uiPriority w:val="0"/>
    <w:rPr>
      <w:rFonts w:eastAsia="楷体_GB2312" w:asciiTheme="majorHAnsi" w:hAnsiTheme="majorHAnsi" w:cstheme="majorBidi"/>
      <w:b/>
      <w:bCs/>
      <w:kern w:val="2"/>
      <w:sz w:val="32"/>
      <w:szCs w:val="32"/>
    </w:rPr>
  </w:style>
  <w:style w:type="character" w:customStyle="1" w:styleId="14">
    <w:name w:val="标题 3 字符"/>
    <w:basedOn w:val="10"/>
    <w:link w:val="5"/>
    <w:qFormat/>
    <w:uiPriority w:val="0"/>
    <w:rPr>
      <w:rFonts w:ascii="Calibri" w:hAnsi="Calibri" w:eastAsia="仿宋_GB2312" w:cs="Times New Roman"/>
      <w:b/>
      <w:bCs/>
      <w:sz w:val="32"/>
      <w:szCs w:val="32"/>
    </w:rPr>
  </w:style>
  <w:style w:type="character" w:customStyle="1" w:styleId="15">
    <w:name w:val="标题 4 字符"/>
    <w:basedOn w:val="10"/>
    <w:link w:val="6"/>
    <w:qFormat/>
    <w:uiPriority w:val="9"/>
    <w:rPr>
      <w:rFonts w:ascii="仿宋_GB2312" w:eastAsia="仿宋_GB2312" w:cs="宋体" w:hAnsiTheme="majorHAnsi"/>
      <w:bCs/>
      <w:sz w:val="32"/>
      <w:szCs w:val="32"/>
    </w:rPr>
  </w:style>
  <w:style w:type="paragraph" w:customStyle="1" w:styleId="16">
    <w:name w:val="公文一级标题"/>
    <w:basedOn w:val="3"/>
    <w:link w:val="17"/>
    <w:qFormat/>
    <w:uiPriority w:val="0"/>
    <w:pPr>
      <w:ind w:left="0" w:leftChars="0"/>
    </w:pPr>
    <w:rPr>
      <w:rFonts w:ascii="黑体" w:hAnsi="黑体" w:cs="黑体"/>
      <w:bCs w:val="0"/>
      <w:szCs w:val="32"/>
    </w:rPr>
  </w:style>
  <w:style w:type="character" w:customStyle="1" w:styleId="17">
    <w:name w:val="公文一级标题 字符"/>
    <w:basedOn w:val="18"/>
    <w:link w:val="16"/>
    <w:qFormat/>
    <w:locked/>
    <w:uiPriority w:val="99"/>
    <w:rPr>
      <w:rFonts w:ascii="黑体" w:hAnsi="黑体" w:eastAsia="黑体" w:cs="黑体"/>
      <w:kern w:val="44"/>
      <w:sz w:val="32"/>
      <w:szCs w:val="32"/>
      <w:lang w:val="zh-CN"/>
    </w:rPr>
  </w:style>
  <w:style w:type="character" w:customStyle="1" w:styleId="18">
    <w:name w:val="标题 1 字符"/>
    <w:basedOn w:val="10"/>
    <w:link w:val="3"/>
    <w:qFormat/>
    <w:locked/>
    <w:uiPriority w:val="99"/>
    <w:rPr>
      <w:rFonts w:ascii="宋体" w:hAnsi="宋体" w:eastAsia="黑体" w:cs="Times New Roman"/>
      <w:bCs/>
      <w:kern w:val="44"/>
      <w:sz w:val="32"/>
      <w:szCs w:val="44"/>
      <w:lang w:val="zh-CN"/>
    </w:rPr>
  </w:style>
  <w:style w:type="paragraph" w:customStyle="1" w:styleId="19">
    <w:name w:val="闻政附件标题"/>
    <w:basedOn w:val="1"/>
    <w:qFormat/>
    <w:uiPriority w:val="0"/>
    <w:pPr>
      <w:numPr>
        <w:ilvl w:val="5"/>
        <w:numId w:val="1"/>
      </w:numPr>
    </w:pPr>
  </w:style>
  <w:style w:type="paragraph" w:customStyle="1" w:styleId="20">
    <w:name w:val="Body text (2)"/>
    <w:basedOn w:val="1"/>
    <w:qFormat/>
    <w:uiPriority w:val="0"/>
    <w:pPr>
      <w:shd w:val="clear" w:color="auto" w:fill="FFFFFF"/>
      <w:spacing w:before="840" w:after="240" w:line="0" w:lineRule="atLeast"/>
      <w:jc w:val="left"/>
    </w:pPr>
    <w:rPr>
      <w:rFonts w:ascii="宋体" w:hAnsi="宋体" w:cs="宋体" w:eastAsiaTheme="minorEastAsia"/>
      <w:spacing w:val="20"/>
      <w:szCs w:val="30"/>
    </w:rPr>
  </w:style>
  <w:style w:type="paragraph" w:customStyle="1" w:styleId="21">
    <w:name w:val="Heading #3"/>
    <w:basedOn w:val="1"/>
    <w:qFormat/>
    <w:uiPriority w:val="0"/>
    <w:pPr>
      <w:shd w:val="clear" w:color="auto" w:fill="FFFFFF"/>
      <w:spacing w:before="100" w:beforeAutospacing="1" w:after="3420" w:line="0" w:lineRule="atLeast"/>
      <w:jc w:val="left"/>
      <w:outlineLvl w:val="2"/>
    </w:pPr>
    <w:rPr>
      <w:rFonts w:ascii="宋体" w:hAnsi="宋体" w:cs="宋体"/>
      <w:color w:val="000000"/>
      <w:kern w:val="0"/>
      <w:sz w:val="44"/>
      <w:szCs w:val="44"/>
    </w:rPr>
  </w:style>
  <w:style w:type="paragraph" w:customStyle="1" w:styleId="22">
    <w:name w:val="闻政封面项目信息"/>
    <w:basedOn w:val="1"/>
    <w:next w:val="23"/>
    <w:qFormat/>
    <w:uiPriority w:val="0"/>
    <w:pPr>
      <w:spacing w:before="120"/>
      <w:ind w:left="800" w:leftChars="800"/>
    </w:pPr>
    <w:rPr>
      <w:rFonts w:eastAsia="黑体"/>
      <w:sz w:val="28"/>
      <w:szCs w:val="28"/>
      <w:lang w:val="zh-CN"/>
    </w:rPr>
  </w:style>
  <w:style w:type="paragraph" w:customStyle="1" w:styleId="23">
    <w:name w:val="闻政封面完成时间"/>
    <w:basedOn w:val="22"/>
    <w:qFormat/>
    <w:uiPriority w:val="0"/>
    <w:pPr>
      <w:ind w:left="0" w:leftChars="0"/>
      <w:jc w:val="center"/>
    </w:pPr>
    <w:rPr>
      <w:b/>
    </w:rPr>
  </w:style>
  <w:style w:type="paragraph" w:customStyle="1" w:styleId="24">
    <w:name w:val="云拓正文"/>
    <w:qFormat/>
    <w:uiPriority w:val="0"/>
    <w:pPr>
      <w:widowControl w:val="0"/>
      <w:spacing w:line="500" w:lineRule="exact"/>
      <w:ind w:firstLine="560" w:firstLineChars="200"/>
    </w:pPr>
    <w:rPr>
      <w:rFonts w:ascii="Times New Roman" w:hAnsi="Times New Roman" w:eastAsia="仿宋_GB2312" w:cstheme="minorBidi"/>
      <w:color w:val="000000" w:themeColor="text1"/>
      <w:sz w:val="28"/>
      <w:szCs w:val="28"/>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Words>
  <Characters>295</Characters>
  <Lines>2</Lines>
  <Paragraphs>1</Paragraphs>
  <TotalTime>0</TotalTime>
  <ScaleCrop>false</ScaleCrop>
  <LinksUpToDate>false</LinksUpToDate>
  <CharactersWithSpaces>345</CharactersWithSpaces>
  <Application>WPS Office_1.0.0.1330_F1E327BC-269C-435d-A152-05C5408002CA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2021-03-23T13:34:00Z</dcterms:created>
  <dc:creator>yzq</dc:creator>
  <cp:lastModifiedBy>lala</cp:lastModifiedBy>
  <dcterms:modified xsi:type="dcterms:W3CDTF">2022-06-02T14:19:55Z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2052-1.0.0.1330</vt:lpwstr>
  </property>
  <property fmtid="{D5CDD505-2E9C-101B-9397-08002B2CF9AE}" pid="3" name="ICV">
    <vt:lpwstr>742E828129E549AEA94E93C5D32D14B5</vt:lpwstr>
  </property>
</Properties>
</file>