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rPr>
        <w:t>附件</w:t>
      </w:r>
      <w:r>
        <w:rPr>
          <w:rFonts w:hint="eastAsia" w:ascii="CESI黑体-GB2312" w:hAnsi="CESI黑体-GB2312" w:eastAsia="CESI黑体-GB2312" w:cs="CESI黑体-GB2312"/>
          <w:sz w:val="32"/>
          <w:szCs w:val="32"/>
          <w:lang w:val="en-US" w:eastAsia="zh-CN"/>
        </w:rPr>
        <w:t>1</w:t>
      </w:r>
      <w:bookmarkStart w:id="0" w:name="_GoBack"/>
      <w:bookmarkEnd w:id="0"/>
      <w:r>
        <w:rPr>
          <w:rFonts w:hint="eastAsia" w:ascii="CESI黑体-GB2312" w:hAnsi="CESI黑体-GB2312" w:eastAsia="CESI黑体-GB2312" w:cs="CESI黑体-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700" w:lineRule="exact"/>
        <w:ind w:left="0" w:leftChars="0" w:firstLine="0" w:firstLineChars="0"/>
        <w:jc w:val="center"/>
        <w:textAlignment w:val="auto"/>
        <w:rPr>
          <w:rFonts w:hint="default" w:ascii="方正小标宋简体" w:hAnsi="仿宋_GB2312" w:eastAsia="方正小标宋简体" w:cs="仿宋_GB2312"/>
          <w:b w:val="0"/>
          <w:bCs w:val="0"/>
          <w:color w:val="000000"/>
          <w:kern w:val="0"/>
          <w:sz w:val="44"/>
          <w:szCs w:val="44"/>
          <w:shd w:val="clear" w:color="auto" w:fill="FFFFFF"/>
          <w:lang w:val="en-US" w:eastAsia="zh-CN" w:bidi="ar-SA"/>
        </w:rPr>
      </w:pPr>
      <w:r>
        <w:rPr>
          <w:rFonts w:hint="eastAsia" w:ascii="方正小标宋简体" w:hAnsi="仿宋_GB2312" w:eastAsia="方正小标宋简体" w:cs="仿宋_GB2312"/>
          <w:b w:val="0"/>
          <w:bCs w:val="0"/>
          <w:color w:val="000000"/>
          <w:kern w:val="0"/>
          <w:sz w:val="44"/>
          <w:szCs w:val="44"/>
          <w:shd w:val="clear" w:color="auto" w:fill="FFFFFF"/>
          <w:lang w:val="en-US" w:eastAsia="zh-CN" w:bidi="ar-SA"/>
        </w:rPr>
        <w:t>深圳市</w:t>
      </w:r>
      <w:r>
        <w:rPr>
          <w:rFonts w:hint="default" w:ascii="方正小标宋简体" w:hAnsi="仿宋_GB2312" w:eastAsia="方正小标宋简体" w:cs="仿宋_GB2312"/>
          <w:b w:val="0"/>
          <w:bCs w:val="0"/>
          <w:color w:val="000000"/>
          <w:kern w:val="0"/>
          <w:sz w:val="44"/>
          <w:szCs w:val="44"/>
          <w:shd w:val="clear" w:color="auto" w:fill="FFFFFF"/>
          <w:lang w:val="en-US" w:eastAsia="zh-CN" w:bidi="ar-SA"/>
        </w:rPr>
        <w:t>深汕特别合作区林地林木</w:t>
      </w:r>
    </w:p>
    <w:p>
      <w:pPr>
        <w:keepNext w:val="0"/>
        <w:keepLines w:val="0"/>
        <w:pageBreakBefore w:val="0"/>
        <w:widowControl w:val="0"/>
        <w:kinsoku/>
        <w:wordWrap/>
        <w:overflowPunct w:val="0"/>
        <w:topLinePunct w:val="0"/>
        <w:autoSpaceDE/>
        <w:autoSpaceDN/>
        <w:bidi w:val="0"/>
        <w:adjustRightInd/>
        <w:snapToGrid/>
        <w:spacing w:line="700" w:lineRule="exact"/>
        <w:ind w:left="0" w:leftChars="0" w:firstLine="0" w:firstLineChars="0"/>
        <w:jc w:val="center"/>
        <w:textAlignment w:val="auto"/>
        <w:rPr>
          <w:rFonts w:hint="default"/>
          <w:lang w:val="en-US" w:eastAsia="zh-CN"/>
        </w:rPr>
      </w:pPr>
      <w:r>
        <w:rPr>
          <w:rFonts w:hint="default" w:ascii="方正小标宋简体" w:hAnsi="仿宋_GB2312" w:eastAsia="方正小标宋简体" w:cs="仿宋_GB2312"/>
          <w:b w:val="0"/>
          <w:bCs w:val="0"/>
          <w:color w:val="000000"/>
          <w:kern w:val="0"/>
          <w:sz w:val="44"/>
          <w:szCs w:val="44"/>
          <w:shd w:val="clear" w:color="auto" w:fill="FFFFFF"/>
          <w:lang w:val="en-US" w:eastAsia="zh-CN" w:bidi="ar-SA"/>
        </w:rPr>
        <w:t>流转</w:t>
      </w:r>
      <w:r>
        <w:rPr>
          <w:rFonts w:hint="eastAsia" w:ascii="方正小标宋简体" w:hAnsi="仿宋_GB2312" w:eastAsia="方正小标宋简体" w:cs="仿宋_GB2312"/>
          <w:b w:val="0"/>
          <w:bCs w:val="0"/>
          <w:color w:val="000000"/>
          <w:kern w:val="0"/>
          <w:sz w:val="44"/>
          <w:szCs w:val="44"/>
          <w:shd w:val="clear" w:color="auto" w:fill="FFFFFF"/>
          <w:lang w:val="en-US" w:eastAsia="zh-CN" w:bidi="ar-SA"/>
        </w:rPr>
        <w:t>实施方案（征求意见稿）</w:t>
      </w:r>
    </w:p>
    <w:p>
      <w:pPr>
        <w:snapToGrid w:val="0"/>
        <w:spacing w:line="600" w:lineRule="exact"/>
        <w:ind w:firstLine="600" w:firstLineChars="200"/>
        <w:jc w:val="left"/>
        <w:rPr>
          <w:rFonts w:hint="default" w:ascii="仿宋_GB2312" w:hAnsi="宋体" w:eastAsia="仿宋_GB2312" w:cs="宋体"/>
          <w:sz w:val="30"/>
          <w:szCs w:val="30"/>
        </w:rPr>
      </w:pP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eastAsia"/>
          <w:lang w:val="en-US" w:eastAsia="zh-CN"/>
        </w:rPr>
      </w:pPr>
      <w:r>
        <w:rPr>
          <w:rFonts w:hint="default"/>
        </w:rPr>
        <w:t>为深化集体林权制度改革，进一步规范</w:t>
      </w:r>
      <w:r>
        <w:rPr>
          <w:rFonts w:hint="default"/>
          <w:lang w:eastAsia="zh-CN"/>
        </w:rPr>
        <w:t>我区</w:t>
      </w:r>
      <w:r>
        <w:rPr>
          <w:rFonts w:hint="eastAsia"/>
          <w:lang w:val="en-US" w:eastAsia="zh-CN"/>
        </w:rPr>
        <w:t>集体林权有序流转，</w:t>
      </w:r>
      <w:r>
        <w:rPr>
          <w:rFonts w:hint="default"/>
          <w:lang w:eastAsia="zh-CN"/>
        </w:rPr>
        <w:t>推</w:t>
      </w:r>
      <w:r>
        <w:rPr>
          <w:rFonts w:hint="eastAsia"/>
          <w:lang w:val="en-US" w:eastAsia="zh-CN"/>
        </w:rPr>
        <w:t>进集体林业适度规模</w:t>
      </w:r>
      <w:r>
        <w:rPr>
          <w:rFonts w:hint="default"/>
          <w:lang w:eastAsia="zh-CN"/>
        </w:rPr>
        <w:t>化</w:t>
      </w:r>
      <w:r>
        <w:rPr>
          <w:rFonts w:hint="eastAsia"/>
          <w:lang w:val="en-US" w:eastAsia="zh-CN"/>
        </w:rPr>
        <w:t>经营，保障林地林木流转双方的合法权益</w:t>
      </w:r>
      <w:r>
        <w:rPr>
          <w:rFonts w:hint="default"/>
          <w:lang w:eastAsia="zh-CN"/>
        </w:rPr>
        <w:t>，促进林业改革与发展，</w:t>
      </w:r>
      <w:r>
        <w:rPr>
          <w:rFonts w:hint="default"/>
        </w:rPr>
        <w:t>根据《中华人民共和国森林法》、《中华人民共和国森林法实施条例》、《广东省林地林木流转办法》等法律法规和相关规定，结合我区实际，制定本</w:t>
      </w:r>
      <w:r>
        <w:rPr>
          <w:rFonts w:hint="eastAsia"/>
          <w:lang w:val="en-US" w:eastAsia="zh-CN"/>
        </w:rPr>
        <w:t>方案。</w:t>
      </w:r>
    </w:p>
    <w:p>
      <w:pPr>
        <w:keepNext w:val="0"/>
        <w:keepLines w:val="0"/>
        <w:pageBreakBefore w:val="0"/>
        <w:widowControl w:val="0"/>
        <w:numPr>
          <w:ilvl w:val="0"/>
          <w:numId w:val="1"/>
        </w:numP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（一）指导思想</w:t>
      </w:r>
    </w:p>
    <w:p>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贯彻落实习近平总书记关于集体林权制度改革重要指示精神以及党中央、国务院和省委、省政府关于深化集体林权制度改革及完善“三权分置”的</w:t>
      </w:r>
      <w:r>
        <w:rPr>
          <w:rFonts w:hint="default" w:ascii="仿宋_GB2312" w:hAnsi="宋体" w:eastAsia="仿宋_GB2312" w:cs="宋体"/>
          <w:sz w:val="32"/>
          <w:szCs w:val="32"/>
          <w:lang w:eastAsia="zh-CN"/>
        </w:rPr>
        <w:t>工作部署，</w:t>
      </w:r>
      <w:r>
        <w:rPr>
          <w:rFonts w:hint="eastAsia" w:ascii="仿宋_GB2312" w:hAnsi="宋体" w:eastAsia="仿宋_GB2312" w:cs="宋体"/>
          <w:sz w:val="32"/>
          <w:szCs w:val="32"/>
          <w:lang w:val="en-US" w:eastAsia="zh-CN"/>
        </w:rPr>
        <w:t>为我区林业改革与创新产权制度提供了法制保障，实现我区经济和生态的可持续发展。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（二）流转原则</w:t>
      </w:r>
    </w:p>
    <w:p>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1. </w:t>
      </w:r>
      <w:r>
        <w:rPr>
          <w:rFonts w:hint="default" w:ascii="仿宋_GB2312" w:hAnsi="宋体" w:eastAsia="仿宋_GB2312" w:cs="宋体"/>
          <w:sz w:val="32"/>
          <w:szCs w:val="32"/>
          <w:lang w:val="en-US" w:eastAsia="zh-CN"/>
        </w:rPr>
        <w:t>坚持依法、自愿、有偿原则。</w:t>
      </w:r>
    </w:p>
    <w:p>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2. </w:t>
      </w:r>
      <w:r>
        <w:rPr>
          <w:rFonts w:hint="default" w:ascii="仿宋_GB2312" w:hAnsi="宋体" w:eastAsia="仿宋_GB2312" w:cs="宋体"/>
          <w:sz w:val="32"/>
          <w:szCs w:val="32"/>
          <w:lang w:val="en-US" w:eastAsia="zh-CN"/>
        </w:rPr>
        <w:t>坚持公开、公平、公正原则。</w:t>
      </w:r>
    </w:p>
    <w:p>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3. </w:t>
      </w:r>
      <w:r>
        <w:rPr>
          <w:rFonts w:hint="default" w:ascii="仿宋_GB2312" w:hAnsi="宋体" w:eastAsia="仿宋_GB2312" w:cs="宋体"/>
          <w:sz w:val="32"/>
          <w:szCs w:val="32"/>
          <w:lang w:val="en-US" w:eastAsia="zh-CN"/>
        </w:rPr>
        <w:t>不得改变林地性质和用途。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（三）流转范围</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val="en-US" w:eastAsia="zh-CN"/>
        </w:rPr>
      </w:pPr>
      <w:r>
        <w:rPr>
          <w:rFonts w:hint="default"/>
          <w:lang w:val="en-US" w:eastAsia="zh-CN"/>
        </w:rPr>
        <w:t>本</w:t>
      </w:r>
      <w:r>
        <w:rPr>
          <w:rFonts w:hint="eastAsia"/>
          <w:lang w:val="en-US" w:eastAsia="zh-CN"/>
        </w:rPr>
        <w:t>方案</w:t>
      </w:r>
      <w:r>
        <w:rPr>
          <w:rFonts w:hint="default"/>
          <w:lang w:val="en-US" w:eastAsia="zh-CN"/>
        </w:rPr>
        <w:t>所称林地林木流转，是指</w:t>
      </w:r>
      <w:r>
        <w:rPr>
          <w:rFonts w:hint="eastAsia"/>
          <w:lang w:val="en-US" w:eastAsia="zh-CN"/>
        </w:rPr>
        <w:t>本区行政区域内</w:t>
      </w:r>
      <w:r>
        <w:rPr>
          <w:rFonts w:hint="default"/>
          <w:lang w:val="en-US" w:eastAsia="zh-CN"/>
        </w:rPr>
        <w:t>经营集体林地的权利人将其拥有的集体林地经营权和林木所有权、林木使用权，依法全部或者部分有偿转移给他人的行为。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val="en-US" w:eastAsia="zh-CN"/>
        </w:rPr>
        <w:t>流入方资格</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eastAsia"/>
          <w:lang w:val="en-US" w:eastAsia="zh-CN"/>
        </w:rPr>
      </w:pPr>
      <w:r>
        <w:rPr>
          <w:rFonts w:hint="eastAsia"/>
          <w:lang w:val="en-US" w:eastAsia="zh-CN"/>
        </w:rPr>
        <w:t>流入方应当具有林业经营能力。林地林木不得流转给没有林业经营能力的单位或者个人。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w:t>
      </w:r>
      <w:r>
        <w:rPr>
          <w:rFonts w:hint="default" w:ascii="楷体_GB2312" w:hAnsi="楷体_GB2312" w:eastAsia="楷体_GB2312" w:cs="楷体_GB2312"/>
          <w:sz w:val="32"/>
          <w:szCs w:val="32"/>
          <w:lang w:val="en-US" w:eastAsia="zh-CN"/>
        </w:rPr>
        <w:t>流转期限</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val="en-US" w:eastAsia="zh-CN"/>
        </w:rPr>
      </w:pPr>
      <w:r>
        <w:rPr>
          <w:rFonts w:hint="default"/>
          <w:lang w:val="en-US" w:eastAsia="zh-CN"/>
        </w:rPr>
        <w:t>集体统一经营管理的林地经营权流转期限最长不得超过70年。法律法规另有规定的，从其规定。承包经营林地流转的期限不得超过原承包期的剩余期限。</w:t>
      </w:r>
    </w:p>
    <w:p>
      <w:pPr>
        <w:keepNext w:val="0"/>
        <w:keepLines w:val="0"/>
        <w:pageBreakBefore w:val="0"/>
        <w:widowControl w:val="0"/>
        <w:numPr>
          <w:ilvl w:val="0"/>
          <w:numId w:val="1"/>
        </w:numP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流转方式和程序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w:t>
      </w:r>
      <w:r>
        <w:rPr>
          <w:rFonts w:hint="default" w:ascii="楷体_GB2312" w:hAnsi="楷体_GB2312" w:eastAsia="楷体_GB2312" w:cs="楷体_GB2312"/>
          <w:sz w:val="32"/>
          <w:szCs w:val="32"/>
          <w:lang w:val="en-US" w:eastAsia="zh-CN"/>
        </w:rPr>
        <w:t>集体林地林木流转</w:t>
      </w:r>
    </w:p>
    <w:p>
      <w:pPr>
        <w:pageBreakBefore w:val="0"/>
        <w:widowControl w:val="0"/>
        <w:numPr>
          <w:ilvl w:val="0"/>
          <w:numId w:val="2"/>
        </w:numPr>
        <w:kinsoku/>
        <w:wordWrap/>
        <w:overflowPunct/>
        <w:topLinePunct w:val="0"/>
        <w:autoSpaceDE/>
        <w:autoSpaceDN/>
        <w:bidi w:val="0"/>
        <w:adjustRightInd/>
        <w:spacing w:line="560" w:lineRule="exact"/>
        <w:ind w:firstLine="640" w:firstLineChars="200"/>
        <w:jc w:val="left"/>
        <w:textAlignment w:val="auto"/>
        <w:outlineLvl w:val="9"/>
        <w:rPr>
          <w:rFonts w:hint="eastAsia"/>
          <w:lang w:eastAsia="zh-CN"/>
        </w:rPr>
      </w:pPr>
      <w:r>
        <w:rPr>
          <w:rFonts w:hint="default"/>
        </w:rPr>
        <w:t>集体统一经营管理的林地林木以及通过招标</w:t>
      </w:r>
      <w:r>
        <w:rPr>
          <w:rFonts w:hint="eastAsia"/>
          <w:lang w:eastAsia="zh-CN"/>
        </w:rPr>
        <w:t>、</w:t>
      </w:r>
      <w:r>
        <w:rPr>
          <w:rFonts w:hint="default"/>
        </w:rPr>
        <w:t>拍卖</w:t>
      </w:r>
      <w:r>
        <w:rPr>
          <w:rFonts w:hint="eastAsia"/>
          <w:lang w:eastAsia="zh-CN"/>
        </w:rPr>
        <w:t>、</w:t>
      </w:r>
      <w:r>
        <w:rPr>
          <w:rFonts w:hint="default"/>
        </w:rPr>
        <w:t>公开协商等其他方式取得的集体林地经营权，可以依法采取出租、转让、入股、抵押或者作为出资、合作条件及法律法规允许的其他方式流转</w:t>
      </w:r>
      <w:r>
        <w:rPr>
          <w:rFonts w:hint="eastAsia"/>
          <w:lang w:eastAsia="zh-CN"/>
        </w:rPr>
        <w:t>。</w:t>
      </w:r>
    </w:p>
    <w:p>
      <w:pPr>
        <w:pageBreakBefore w:val="0"/>
        <w:widowControl w:val="0"/>
        <w:numPr>
          <w:ilvl w:val="0"/>
          <w:numId w:val="2"/>
        </w:numPr>
        <w:kinsoku/>
        <w:wordWrap/>
        <w:overflowPunct/>
        <w:topLinePunct w:val="0"/>
        <w:autoSpaceDE/>
        <w:autoSpaceDN/>
        <w:bidi w:val="0"/>
        <w:adjustRightInd/>
        <w:spacing w:line="560" w:lineRule="exact"/>
        <w:ind w:firstLine="640" w:firstLineChars="200"/>
        <w:jc w:val="left"/>
        <w:textAlignment w:val="auto"/>
        <w:outlineLvl w:val="9"/>
        <w:rPr>
          <w:rFonts w:hint="eastAsia"/>
          <w:lang w:val="en-US" w:eastAsia="zh-CN"/>
        </w:rPr>
      </w:pPr>
      <w:r>
        <w:rPr>
          <w:rFonts w:hint="default"/>
          <w:lang w:val="en-US" w:eastAsia="zh-CN"/>
        </w:rPr>
        <w:t>流转方案应当在村务公开栏公告</w:t>
      </w:r>
      <w:r>
        <w:rPr>
          <w:rFonts w:hint="eastAsia"/>
          <w:lang w:val="en-US" w:eastAsia="zh-CN"/>
        </w:rPr>
        <w:t>7个工作日以上</w:t>
      </w:r>
      <w:r>
        <w:rPr>
          <w:rFonts w:hint="default"/>
          <w:lang w:val="en-US" w:eastAsia="zh-CN"/>
        </w:rPr>
        <w:t>；公告</w:t>
      </w:r>
      <w:r>
        <w:rPr>
          <w:rFonts w:hint="eastAsia"/>
          <w:lang w:val="en-US" w:eastAsia="zh-CN"/>
        </w:rPr>
        <w:t>期满无异议的，</w:t>
      </w:r>
      <w:r>
        <w:rPr>
          <w:rFonts w:hint="eastAsia"/>
        </w:rPr>
        <w:t>经本集体经济组织成员的村民会议三分之二以上成员或者三分之二以上村民代表同意，可以通过招标、拍卖、公开协商等方式依法流转林地经营权、林木所有权和使用权。</w:t>
      </w:r>
    </w:p>
    <w:p>
      <w:pPr>
        <w:pageBreakBefore w:val="0"/>
        <w:widowControl w:val="0"/>
        <w:numPr>
          <w:ilvl w:val="0"/>
          <w:numId w:val="2"/>
        </w:numPr>
        <w:kinsoku/>
        <w:wordWrap/>
        <w:overflowPunct/>
        <w:topLinePunct w:val="0"/>
        <w:autoSpaceDE/>
        <w:autoSpaceDN/>
        <w:bidi w:val="0"/>
        <w:adjustRightInd/>
        <w:spacing w:line="560" w:lineRule="exact"/>
        <w:ind w:firstLine="640" w:firstLineChars="200"/>
        <w:jc w:val="left"/>
        <w:textAlignment w:val="auto"/>
        <w:outlineLvl w:val="9"/>
        <w:rPr>
          <w:rFonts w:hint="default"/>
          <w:lang w:val="en-US" w:eastAsia="zh-CN"/>
        </w:rPr>
      </w:pPr>
      <w:r>
        <w:rPr>
          <w:rFonts w:hint="eastAsia"/>
          <w:lang w:val="en-US" w:eastAsia="zh-CN"/>
        </w:rPr>
        <w:t>需要资产评估的，依照《广东省农村集体资产管理条例》执行。评估机构要按照国家和省有关森林资源资产评估的技术规范进行评估并出具评估报告书。</w:t>
      </w:r>
    </w:p>
    <w:p>
      <w:pPr>
        <w:pageBreakBefore w:val="0"/>
        <w:widowControl w:val="0"/>
        <w:numPr>
          <w:ilvl w:val="0"/>
          <w:numId w:val="2"/>
        </w:numPr>
        <w:kinsoku/>
        <w:wordWrap/>
        <w:overflowPunct/>
        <w:topLinePunct w:val="0"/>
        <w:autoSpaceDE/>
        <w:autoSpaceDN/>
        <w:bidi w:val="0"/>
        <w:adjustRightInd/>
        <w:spacing w:line="560" w:lineRule="exact"/>
        <w:ind w:firstLine="640" w:firstLineChars="200"/>
        <w:jc w:val="left"/>
        <w:textAlignment w:val="auto"/>
        <w:outlineLvl w:val="9"/>
        <w:rPr>
          <w:rFonts w:hint="default"/>
          <w:lang w:val="en-US" w:eastAsia="zh-CN"/>
        </w:rPr>
      </w:pPr>
      <w:r>
        <w:rPr>
          <w:rFonts w:hint="eastAsia"/>
          <w:lang w:val="en-US" w:eastAsia="zh-CN"/>
        </w:rPr>
        <w:t>集体统一经营管理的林地林木应当采取招标、拍卖或者公开协商等方式流转。</w:t>
      </w:r>
      <w:r>
        <w:rPr>
          <w:rFonts w:hint="default"/>
          <w:lang w:val="en-US" w:eastAsia="zh-CN"/>
        </w:rPr>
        <w:t>采取招标、拍卖方式的，应当通过相关产权交易平台进行，并提交委托产权交易平台流转的书面文本</w:t>
      </w:r>
      <w:r>
        <w:rPr>
          <w:rFonts w:hint="eastAsia"/>
          <w:lang w:val="en-US" w:eastAsia="zh-CN"/>
        </w:rPr>
        <w:t>、</w:t>
      </w:r>
      <w:r>
        <w:rPr>
          <w:rFonts w:hint="default"/>
          <w:lang w:val="en-US" w:eastAsia="zh-CN"/>
        </w:rPr>
        <w:t>流转方案</w:t>
      </w:r>
      <w:r>
        <w:rPr>
          <w:rFonts w:hint="eastAsia"/>
          <w:lang w:val="en-US" w:eastAsia="zh-CN"/>
        </w:rPr>
        <w:t>、同意流转的会议决议和合法的权属证明，在同等条件下，本集体经济组织成员享有优先权。</w:t>
      </w:r>
    </w:p>
    <w:p>
      <w:pPr>
        <w:pageBreakBefore w:val="0"/>
        <w:widowControl w:val="0"/>
        <w:numPr>
          <w:ilvl w:val="0"/>
          <w:numId w:val="2"/>
        </w:numPr>
        <w:kinsoku/>
        <w:wordWrap/>
        <w:overflowPunct/>
        <w:topLinePunct w:val="0"/>
        <w:autoSpaceDE/>
        <w:autoSpaceDN/>
        <w:bidi w:val="0"/>
        <w:adjustRightInd/>
        <w:spacing w:line="560" w:lineRule="exact"/>
        <w:ind w:firstLine="640" w:firstLineChars="200"/>
        <w:jc w:val="left"/>
        <w:textAlignment w:val="auto"/>
        <w:outlineLvl w:val="9"/>
        <w:rPr>
          <w:rFonts w:hint="default"/>
          <w:lang w:val="en-US" w:eastAsia="zh-CN"/>
        </w:rPr>
      </w:pPr>
      <w:r>
        <w:rPr>
          <w:rFonts w:hint="default"/>
          <w:lang w:val="en-US" w:eastAsia="zh-CN"/>
        </w:rPr>
        <w:t>集体统一经营管理的林地林木流转给本集体经济组织以外的单位或者个人的，须</w:t>
      </w:r>
      <w:r>
        <w:rPr>
          <w:rFonts w:hint="eastAsia"/>
          <w:lang w:val="en-US" w:eastAsia="zh-CN"/>
        </w:rPr>
        <w:t>经所在镇人民政府</w:t>
      </w:r>
      <w:r>
        <w:rPr>
          <w:rFonts w:hint="default"/>
          <w:lang w:val="en-US" w:eastAsia="zh-CN"/>
        </w:rPr>
        <w:t>批准</w:t>
      </w:r>
      <w:r>
        <w:rPr>
          <w:rFonts w:hint="eastAsia"/>
          <w:lang w:val="en-US" w:eastAsia="zh-CN"/>
        </w:rPr>
        <w:t>，签订合同前应当对流入方的经营能力进行审查，主要包括对流入方的资信情况、流转林地的经营项目、林业生产经营管理能力以及承担森林防火能力等。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家庭承包的林地流转</w:t>
      </w:r>
    </w:p>
    <w:p>
      <w:pPr>
        <w:pageBreakBefore w:val="0"/>
        <w:widowControl w:val="0"/>
        <w:numPr>
          <w:ilvl w:val="0"/>
          <w:numId w:val="3"/>
        </w:numPr>
        <w:kinsoku/>
        <w:wordWrap/>
        <w:overflowPunct/>
        <w:topLinePunct w:val="0"/>
        <w:autoSpaceDE/>
        <w:autoSpaceDN/>
        <w:bidi w:val="0"/>
        <w:adjustRightInd/>
        <w:spacing w:line="560" w:lineRule="exact"/>
        <w:ind w:firstLine="640" w:firstLineChars="200"/>
        <w:jc w:val="left"/>
        <w:textAlignment w:val="auto"/>
        <w:outlineLvl w:val="9"/>
        <w:rPr>
          <w:rFonts w:hint="default"/>
        </w:rPr>
      </w:pPr>
      <w:r>
        <w:rPr>
          <w:rFonts w:hint="default"/>
        </w:rPr>
        <w:t>通过家庭承包方式取得的林地经营权可以依法采取出租、转让、转包、入股、互换或者作为出资、合作条件及法律法规允许的其他方式流转</w:t>
      </w:r>
      <w:r>
        <w:rPr>
          <w:rFonts w:hint="eastAsia"/>
          <w:lang w:eastAsia="zh-CN"/>
        </w:rPr>
        <w:t>，</w:t>
      </w:r>
      <w:r>
        <w:rPr>
          <w:rFonts w:hint="eastAsia"/>
          <w:lang w:val="en-US" w:eastAsia="zh-CN"/>
        </w:rPr>
        <w:t>但自留山的流转不得采取转让方式。</w:t>
      </w:r>
    </w:p>
    <w:p>
      <w:pPr>
        <w:pageBreakBefore w:val="0"/>
        <w:widowControl w:val="0"/>
        <w:numPr>
          <w:ilvl w:val="0"/>
          <w:numId w:val="3"/>
        </w:numPr>
        <w:kinsoku/>
        <w:wordWrap/>
        <w:overflowPunct/>
        <w:topLinePunct w:val="0"/>
        <w:autoSpaceDE/>
        <w:autoSpaceDN/>
        <w:bidi w:val="0"/>
        <w:adjustRightInd/>
        <w:spacing w:line="560" w:lineRule="exact"/>
        <w:ind w:firstLine="640" w:firstLineChars="200"/>
        <w:jc w:val="left"/>
        <w:textAlignment w:val="auto"/>
        <w:outlineLvl w:val="9"/>
        <w:rPr>
          <w:rFonts w:hint="default"/>
          <w:u w:val="none"/>
        </w:rPr>
      </w:pPr>
      <w:r>
        <w:rPr>
          <w:rFonts w:hint="eastAsia"/>
          <w:u w:val="none"/>
          <w:lang w:val="en-US" w:eastAsia="zh-CN"/>
        </w:rPr>
        <w:t>采取转让方式进行流转的，流入方应当是从事农业生产经营的农户，流转须经发包方书面同意，并提交双方达成的流转协议、流入方身份证明和具有林业经营能力的情况资料。</w:t>
      </w:r>
    </w:p>
    <w:p>
      <w:pPr>
        <w:pageBreakBefore w:val="0"/>
        <w:widowControl w:val="0"/>
        <w:numPr>
          <w:ilvl w:val="0"/>
          <w:numId w:val="3"/>
        </w:numPr>
        <w:kinsoku/>
        <w:wordWrap/>
        <w:overflowPunct/>
        <w:topLinePunct w:val="0"/>
        <w:autoSpaceDE/>
        <w:autoSpaceDN/>
        <w:bidi w:val="0"/>
        <w:adjustRightInd/>
        <w:spacing w:line="560" w:lineRule="exact"/>
        <w:ind w:firstLine="640" w:firstLineChars="200"/>
        <w:jc w:val="left"/>
        <w:textAlignment w:val="auto"/>
        <w:outlineLvl w:val="9"/>
        <w:rPr>
          <w:rFonts w:hint="default"/>
          <w:lang w:val="en-US" w:eastAsia="zh-CN"/>
        </w:rPr>
      </w:pPr>
      <w:r>
        <w:rPr>
          <w:rFonts w:hint="eastAsia"/>
          <w:lang w:val="en-US" w:eastAsia="zh-CN"/>
        </w:rPr>
        <w:t>采取其他方式进行流转的应当报发包方备案。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（三）特殊情形</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rPr>
      </w:pPr>
      <w:r>
        <w:rPr>
          <w:rFonts w:hint="eastAsia"/>
          <w:lang w:val="en-US" w:eastAsia="zh-CN"/>
        </w:rPr>
        <w:t xml:space="preserve">1. </w:t>
      </w:r>
      <w:r>
        <w:rPr>
          <w:rFonts w:hint="default"/>
        </w:rPr>
        <w:t>再流转</w:t>
      </w:r>
      <w:r>
        <w:rPr>
          <w:rFonts w:hint="eastAsia"/>
          <w:lang w:eastAsia="zh-CN"/>
        </w:rPr>
        <w:t>：</w:t>
      </w:r>
      <w:r>
        <w:rPr>
          <w:rFonts w:hint="default"/>
        </w:rPr>
        <w:t>接受林地林木流转的单位或者个人（流入方）再流转林地林木的，应当向原所属的集体经济组织或者村民委员会、村民小组书面备案。</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eastAsia"/>
          <w:lang w:val="en-US" w:eastAsia="zh-CN"/>
        </w:rPr>
      </w:pPr>
      <w:r>
        <w:rPr>
          <w:rFonts w:hint="eastAsia"/>
          <w:lang w:val="en-US" w:eastAsia="zh-CN"/>
        </w:rPr>
        <w:t>2. 合资、合作、共有的流转：合资经营、合作经营或者共同共有的集体林地林木流转，应当征得合资方、合作方或者共同共有人的同意。</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eastAsia"/>
          <w:lang w:val="en-US" w:eastAsia="zh-CN"/>
        </w:rPr>
      </w:pPr>
      <w:r>
        <w:rPr>
          <w:rFonts w:hint="eastAsia"/>
          <w:lang w:val="en-US" w:eastAsia="zh-CN"/>
        </w:rPr>
        <w:t>3. 公益林流转：</w:t>
      </w:r>
      <w:r>
        <w:rPr>
          <w:rFonts w:hint="default"/>
          <w:lang w:val="en-US" w:eastAsia="zh-CN"/>
        </w:rPr>
        <w:t>生态公益林的林地林木可以采用出租、转包、入股等方式进行流转，不得擅自改变生态公益林性质，不得破坏其生态功能</w:t>
      </w:r>
      <w:r>
        <w:rPr>
          <w:rFonts w:hint="eastAsia"/>
          <w:lang w:val="en-US" w:eastAsia="zh-CN"/>
        </w:rPr>
        <w:t>，同时还应当明确流转后的生态公益林效益补偿对象。</w:t>
      </w:r>
    </w:p>
    <w:p>
      <w:pPr>
        <w:keepNext w:val="0"/>
        <w:keepLines w:val="0"/>
        <w:pageBreakBefore w:val="0"/>
        <w:widowControl w:val="0"/>
        <w:numPr>
          <w:ilvl w:val="0"/>
          <w:numId w:val="1"/>
        </w:numP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流转合同的签订和备案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（一）流转合同内容</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eastAsia="zh-CN"/>
        </w:rPr>
      </w:pPr>
      <w:r>
        <w:rPr>
          <w:rFonts w:hint="eastAsia"/>
          <w:lang w:val="en-US" w:eastAsia="zh-CN"/>
        </w:rPr>
        <w:t xml:space="preserve">1. </w:t>
      </w:r>
      <w:r>
        <w:rPr>
          <w:rFonts w:hint="default"/>
          <w:lang w:eastAsia="zh-CN"/>
        </w:rPr>
        <w:t>流转双方的单位名称、住址、法定代表人、联系方式或者个人姓名、住址、身份证号、联系方式；</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eastAsia="zh-CN"/>
        </w:rPr>
      </w:pPr>
      <w:r>
        <w:rPr>
          <w:rFonts w:hint="eastAsia"/>
          <w:lang w:val="en-US" w:eastAsia="zh-CN"/>
        </w:rPr>
        <w:t xml:space="preserve">2. </w:t>
      </w:r>
      <w:r>
        <w:rPr>
          <w:rFonts w:hint="default"/>
          <w:lang w:eastAsia="zh-CN"/>
        </w:rPr>
        <w:t>流转标的、方式、期限和交付现状；</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eastAsia="zh-CN"/>
        </w:rPr>
      </w:pPr>
      <w:r>
        <w:rPr>
          <w:rFonts w:hint="eastAsia"/>
          <w:lang w:val="en-US" w:eastAsia="zh-CN"/>
        </w:rPr>
        <w:t xml:space="preserve">3. </w:t>
      </w:r>
      <w:r>
        <w:rPr>
          <w:rFonts w:hint="default"/>
          <w:lang w:eastAsia="zh-CN"/>
        </w:rPr>
        <w:t>流转价款及支付方式和时间；</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eastAsia="zh-CN"/>
        </w:rPr>
      </w:pPr>
      <w:r>
        <w:rPr>
          <w:rFonts w:hint="eastAsia"/>
          <w:lang w:val="en-US" w:eastAsia="zh-CN"/>
        </w:rPr>
        <w:t xml:space="preserve">4. </w:t>
      </w:r>
      <w:r>
        <w:rPr>
          <w:rFonts w:hint="default"/>
          <w:lang w:eastAsia="zh-CN"/>
        </w:rPr>
        <w:t>流转双方的权利和义务；</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eastAsia="zh-CN"/>
        </w:rPr>
      </w:pPr>
      <w:r>
        <w:rPr>
          <w:rFonts w:hint="eastAsia"/>
          <w:lang w:val="en-US" w:eastAsia="zh-CN"/>
        </w:rPr>
        <w:t xml:space="preserve">5. </w:t>
      </w:r>
      <w:r>
        <w:rPr>
          <w:rFonts w:hint="default"/>
          <w:lang w:eastAsia="zh-CN"/>
        </w:rPr>
        <w:t>合同的变更、解除、终止及林木存量的处置方式；</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eastAsia="zh-CN"/>
        </w:rPr>
      </w:pPr>
      <w:r>
        <w:rPr>
          <w:rFonts w:hint="eastAsia"/>
          <w:lang w:val="en-US" w:eastAsia="zh-CN"/>
        </w:rPr>
        <w:t xml:space="preserve">6. </w:t>
      </w:r>
      <w:r>
        <w:rPr>
          <w:rFonts w:hint="default"/>
          <w:lang w:eastAsia="zh-CN"/>
        </w:rPr>
        <w:t>再次流转的相关约定；</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eastAsia="zh-CN"/>
        </w:rPr>
      </w:pPr>
      <w:r>
        <w:rPr>
          <w:rFonts w:hint="eastAsia"/>
          <w:lang w:val="en-US" w:eastAsia="zh-CN"/>
        </w:rPr>
        <w:t xml:space="preserve">7. </w:t>
      </w:r>
      <w:r>
        <w:rPr>
          <w:rFonts w:hint="default"/>
          <w:lang w:eastAsia="zh-CN"/>
        </w:rPr>
        <w:t>违约责任；</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eastAsia="zh-CN"/>
        </w:rPr>
      </w:pPr>
      <w:r>
        <w:rPr>
          <w:rFonts w:hint="eastAsia"/>
          <w:lang w:val="en-US" w:eastAsia="zh-CN"/>
        </w:rPr>
        <w:t xml:space="preserve">8. </w:t>
      </w:r>
      <w:r>
        <w:rPr>
          <w:rFonts w:hint="default"/>
          <w:lang w:eastAsia="zh-CN"/>
        </w:rPr>
        <w:t>合同争议的解决方式；</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eastAsia="zh-CN"/>
        </w:rPr>
      </w:pPr>
      <w:r>
        <w:rPr>
          <w:rFonts w:hint="eastAsia"/>
          <w:lang w:val="en-US" w:eastAsia="zh-CN"/>
        </w:rPr>
        <w:t xml:space="preserve">9. </w:t>
      </w:r>
      <w:r>
        <w:rPr>
          <w:rFonts w:hint="default"/>
          <w:lang w:eastAsia="zh-CN"/>
        </w:rPr>
        <w:t>其他约定。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（二）林地流转合同格式</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eastAsia="zh-CN"/>
        </w:rPr>
      </w:pPr>
      <w:r>
        <w:rPr>
          <w:rFonts w:hint="default"/>
          <w:lang w:eastAsia="zh-CN"/>
        </w:rPr>
        <w:t>林地流转合同格式文本由省人民政府林业和市场监督管理部门统一制订。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val="en-US" w:eastAsia="zh-CN"/>
        </w:rPr>
        <w:t>林地流转合同备案制度</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rPr>
      </w:pPr>
      <w:r>
        <w:rPr>
          <w:rFonts w:hint="default"/>
          <w:lang w:val="en-US" w:eastAsia="zh-CN"/>
        </w:rPr>
        <w:t>林地林木流转合同订立后30日内</w:t>
      </w:r>
      <w:r>
        <w:rPr>
          <w:rFonts w:hint="eastAsia"/>
          <w:lang w:val="en-US" w:eastAsia="zh-CN"/>
        </w:rPr>
        <w:t>，</w:t>
      </w:r>
      <w:r>
        <w:rPr>
          <w:rFonts w:hint="default"/>
          <w:lang w:val="en-US" w:eastAsia="zh-CN"/>
        </w:rPr>
        <w:t>流入方应当将流转合同报镇</w:t>
      </w:r>
      <w:r>
        <w:rPr>
          <w:rFonts w:hint="eastAsia"/>
          <w:lang w:val="en-US" w:eastAsia="zh-CN"/>
        </w:rPr>
        <w:t>农业办</w:t>
      </w:r>
      <w:r>
        <w:rPr>
          <w:rFonts w:hint="default"/>
          <w:lang w:val="en-US" w:eastAsia="zh-CN"/>
        </w:rPr>
        <w:t>备案。镇</w:t>
      </w:r>
      <w:r>
        <w:rPr>
          <w:rFonts w:hint="eastAsia"/>
          <w:lang w:val="en-US" w:eastAsia="zh-CN"/>
        </w:rPr>
        <w:t>农业办</w:t>
      </w:r>
      <w:r>
        <w:rPr>
          <w:rFonts w:hint="default"/>
          <w:lang w:val="en-US" w:eastAsia="zh-CN"/>
        </w:rPr>
        <w:t>向流入方出具书面林地流转合同备案证明。流入方需提交以下资料：</w:t>
      </w:r>
      <w:r>
        <w:rPr>
          <w:rFonts w:hint="eastAsia"/>
          <w:lang w:val="en-US" w:eastAsia="zh-CN"/>
        </w:rPr>
        <w:t>（1）</w:t>
      </w:r>
      <w:r>
        <w:rPr>
          <w:rFonts w:hint="default"/>
          <w:lang w:val="en-US" w:eastAsia="zh-CN"/>
        </w:rPr>
        <w:t>林地流转合同；</w:t>
      </w:r>
      <w:r>
        <w:rPr>
          <w:rFonts w:hint="eastAsia"/>
          <w:lang w:val="en-US" w:eastAsia="zh-CN"/>
        </w:rPr>
        <w:t>（2）</w:t>
      </w:r>
      <w:r>
        <w:rPr>
          <w:rFonts w:hint="default"/>
          <w:lang w:val="en-US" w:eastAsia="zh-CN"/>
        </w:rPr>
        <w:t>流转当事人、代理人身份证明、法人或者其他组织的资格证明、授权委托书；</w:t>
      </w:r>
      <w:r>
        <w:rPr>
          <w:rFonts w:hint="eastAsia"/>
          <w:lang w:val="en-US" w:eastAsia="zh-CN"/>
        </w:rPr>
        <w:t>（3）</w:t>
      </w:r>
      <w:r>
        <w:rPr>
          <w:rFonts w:hint="default"/>
          <w:lang w:val="en-US" w:eastAsia="zh-CN"/>
        </w:rPr>
        <w:t>流转林地林木的林权证、不动产权证或者其他合法权属证明；</w:t>
      </w:r>
      <w:r>
        <w:rPr>
          <w:rFonts w:hint="eastAsia"/>
          <w:lang w:val="en-US" w:eastAsia="zh-CN"/>
        </w:rPr>
        <w:t>（4）</w:t>
      </w:r>
      <w:r>
        <w:rPr>
          <w:rFonts w:hint="default"/>
          <w:lang w:val="en-US" w:eastAsia="zh-CN"/>
        </w:rPr>
        <w:t>其他相关资料。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val="en-US" w:eastAsia="zh-CN"/>
        </w:rPr>
        <w:t>流转情况统计制度</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eastAsia"/>
          <w:lang w:val="en-US" w:eastAsia="zh-CN"/>
        </w:rPr>
      </w:pPr>
      <w:r>
        <w:rPr>
          <w:rFonts w:hint="default"/>
        </w:rPr>
        <w:t>各镇对报备的林地流转合同情况要准确记载于林地流转合同备案登记册，及时统计流转情况，每半年分别于6月10日、12月10日前报送至区林业主管部门。</w:t>
      </w:r>
      <w:r>
        <w:rPr>
          <w:rFonts w:hint="eastAsia"/>
          <w:lang w:val="en-US" w:eastAsia="zh-CN"/>
        </w:rPr>
        <w:t xml:space="preserve"> </w:t>
      </w:r>
    </w:p>
    <w:p>
      <w:pPr>
        <w:keepNext w:val="0"/>
        <w:keepLines w:val="0"/>
        <w:pageBreakBefore w:val="0"/>
        <w:widowControl w:val="0"/>
        <w:numPr>
          <w:ilvl w:val="0"/>
          <w:numId w:val="1"/>
        </w:numP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各部门分工与职责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eastAsia="zh-CN"/>
        </w:rPr>
        <w:t>区林业主管部门</w:t>
      </w:r>
      <w:r>
        <w:rPr>
          <w:rFonts w:hint="default" w:ascii="楷体_GB2312" w:hAnsi="楷体_GB2312" w:eastAsia="楷体_GB2312" w:cs="楷体_GB2312"/>
          <w:sz w:val="32"/>
          <w:szCs w:val="32"/>
          <w:lang w:val="en-US" w:eastAsia="zh-CN"/>
        </w:rPr>
        <w:t>的管理监督职责</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eastAsia"/>
          <w:lang w:val="en-US" w:eastAsia="zh-CN"/>
        </w:rPr>
      </w:pPr>
      <w:r>
        <w:rPr>
          <w:rFonts w:hint="eastAsia"/>
          <w:lang w:val="en-US" w:eastAsia="zh-CN"/>
        </w:rPr>
        <w:t>1. 区林业主管部门依法负责本行政区域内林地林木流转的管理和监督职责。可以通过检查、现场监督等方式，监督检查流入方合理利用和保护森林资源情况；发现破坏林地、毁坏林木、不按照规定造林等违法行为的，应当依法予以处理。</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val="en-US" w:eastAsia="zh-CN"/>
        </w:rPr>
      </w:pPr>
      <w:r>
        <w:rPr>
          <w:rFonts w:hint="eastAsia"/>
          <w:lang w:val="en-US" w:eastAsia="zh-CN"/>
        </w:rPr>
        <w:t>2. 区林业主管部门要积极推广和应用全国林权综合监管系统，及时完成林权证信息、流转合同等林权数据的录入工作，积极对接区不动产登记中心关于林权证信息的登记情况，确保信息联通和内容一致，做好数据的动态更新和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（二）区</w:t>
      </w:r>
      <w:r>
        <w:rPr>
          <w:rFonts w:hint="default" w:ascii="楷体_GB2312" w:hAnsi="楷体_GB2312" w:eastAsia="楷体_GB2312" w:cs="楷体_GB2312"/>
          <w:sz w:val="32"/>
          <w:szCs w:val="32"/>
          <w:lang w:val="en-US" w:eastAsia="zh-CN"/>
        </w:rPr>
        <w:t>不动产登记中心</w:t>
      </w:r>
      <w:r>
        <w:rPr>
          <w:rFonts w:hint="eastAsia" w:ascii="楷体_GB2312" w:hAnsi="楷体_GB2312" w:eastAsia="楷体_GB2312" w:cs="楷体_GB2312"/>
          <w:sz w:val="32"/>
          <w:szCs w:val="32"/>
          <w:lang w:val="en-US" w:eastAsia="zh-CN"/>
        </w:rPr>
        <w:t>负责</w:t>
      </w:r>
      <w:r>
        <w:rPr>
          <w:rFonts w:hint="default" w:ascii="楷体_GB2312" w:hAnsi="楷体_GB2312" w:eastAsia="楷体_GB2312" w:cs="楷体_GB2312"/>
          <w:sz w:val="32"/>
          <w:szCs w:val="32"/>
          <w:lang w:val="en-US" w:eastAsia="zh-CN"/>
        </w:rPr>
        <w:t>林权</w:t>
      </w:r>
      <w:r>
        <w:rPr>
          <w:rFonts w:hint="eastAsia" w:ascii="楷体_GB2312" w:hAnsi="楷体_GB2312" w:eastAsia="楷体_GB2312" w:cs="楷体_GB2312"/>
          <w:sz w:val="32"/>
          <w:szCs w:val="32"/>
          <w:lang w:val="en-US" w:eastAsia="zh-CN"/>
        </w:rPr>
        <w:t>登记</w:t>
      </w:r>
    </w:p>
    <w:p>
      <w:pPr>
        <w:spacing w:line="560" w:lineRule="exact"/>
        <w:ind w:firstLine="640" w:firstLineChars="200"/>
        <w:jc w:val="left"/>
        <w:outlineLvl w:val="9"/>
        <w:rPr>
          <w:rFonts w:hint="eastAsia"/>
          <w:lang w:val="en-US" w:eastAsia="zh-CN"/>
        </w:rPr>
      </w:pPr>
      <w:r>
        <w:rPr>
          <w:rFonts w:hint="eastAsia"/>
          <w:lang w:val="en-US" w:eastAsia="zh-CN"/>
        </w:rPr>
        <w:t>区</w:t>
      </w:r>
      <w:r>
        <w:rPr>
          <w:rFonts w:hint="default"/>
        </w:rPr>
        <w:t>不动产登记中心</w:t>
      </w:r>
      <w:r>
        <w:rPr>
          <w:rFonts w:hint="eastAsia"/>
          <w:lang w:val="en-US" w:eastAsia="zh-CN"/>
        </w:rPr>
        <w:t>要做好</w:t>
      </w:r>
      <w:r>
        <w:rPr>
          <w:rFonts w:hint="default"/>
        </w:rPr>
        <w:t>林权类不动产登记的申请、受理、审核、登簿、</w:t>
      </w:r>
      <w:r>
        <w:rPr>
          <w:rFonts w:hint="eastAsia"/>
          <w:lang w:val="en-US" w:eastAsia="zh-CN"/>
        </w:rPr>
        <w:t>发证等工作</w:t>
      </w:r>
      <w:r>
        <w:rPr>
          <w:rFonts w:hint="default"/>
        </w:rPr>
        <w:t>。林地林木流转后需要变更权属的，流转双方共同到</w:t>
      </w:r>
      <w:r>
        <w:rPr>
          <w:rFonts w:hint="eastAsia"/>
          <w:lang w:val="en-US" w:eastAsia="zh-CN"/>
        </w:rPr>
        <w:t>区</w:t>
      </w:r>
      <w:r>
        <w:rPr>
          <w:rFonts w:hint="default"/>
        </w:rPr>
        <w:t>不动产登记中心申请办理转移登记手续。</w:t>
      </w:r>
      <w:r>
        <w:rPr>
          <w:rFonts w:hint="eastAsia"/>
          <w:lang w:val="en-US" w:eastAsia="zh-CN"/>
        </w:rPr>
        <w:t>申请人需填写不动产登记申请书，并提交流转合同、申请人身份证明等相关材料。区</w:t>
      </w:r>
      <w:r>
        <w:rPr>
          <w:rFonts w:hint="default"/>
          <w:lang w:val="en-US" w:eastAsia="zh-CN"/>
        </w:rPr>
        <w:t>不动产登记机构应当将</w:t>
      </w:r>
      <w:r>
        <w:rPr>
          <w:rFonts w:hint="eastAsia"/>
          <w:lang w:val="en-US" w:eastAsia="zh-CN"/>
        </w:rPr>
        <w:t>林权证登记信息和权属</w:t>
      </w:r>
      <w:r>
        <w:rPr>
          <w:rFonts w:hint="default"/>
          <w:lang w:val="en-US" w:eastAsia="zh-CN"/>
        </w:rPr>
        <w:t>转移登记信息抄告同级林业主管部门</w:t>
      </w:r>
      <w:r>
        <w:rPr>
          <w:rFonts w:hint="eastAsia"/>
          <w:lang w:val="en-US" w:eastAsia="zh-CN"/>
        </w:rPr>
        <w:t>。</w:t>
      </w:r>
    </w:p>
    <w:p>
      <w:pPr>
        <w:numPr>
          <w:ilvl w:val="0"/>
          <w:numId w:val="0"/>
        </w:numPr>
        <w:spacing w:line="560" w:lineRule="exact"/>
        <w:ind w:firstLine="640" w:firstLineChars="200"/>
        <w:rPr>
          <w:rFonts w:hint="eastAsia" w:ascii="楷体_GB2312" w:hAnsi="楷体_GB2312" w:eastAsia="楷体_GB2312" w:cs="楷体_GB2312"/>
          <w:bCs w:val="0"/>
          <w:kern w:val="2"/>
          <w:szCs w:val="32"/>
        </w:rPr>
      </w:pPr>
      <w:r>
        <w:rPr>
          <w:rFonts w:hint="eastAsia" w:ascii="楷体_GB2312" w:hAnsi="楷体_GB2312" w:eastAsia="楷体_GB2312" w:cs="楷体_GB2312"/>
          <w:bCs w:val="0"/>
          <w:kern w:val="2"/>
          <w:szCs w:val="32"/>
          <w:lang w:eastAsia="zh-CN"/>
        </w:rPr>
        <w:t>（</w:t>
      </w:r>
      <w:r>
        <w:rPr>
          <w:rFonts w:hint="eastAsia" w:ascii="楷体_GB2312" w:hAnsi="楷体_GB2312" w:eastAsia="楷体_GB2312" w:cs="楷体_GB2312"/>
          <w:bCs w:val="0"/>
          <w:kern w:val="2"/>
          <w:szCs w:val="32"/>
          <w:lang w:val="en-US" w:eastAsia="zh-CN"/>
        </w:rPr>
        <w:t>三</w:t>
      </w:r>
      <w:r>
        <w:rPr>
          <w:rFonts w:hint="eastAsia" w:ascii="楷体_GB2312" w:hAnsi="楷体_GB2312" w:eastAsia="楷体_GB2312" w:cs="楷体_GB2312"/>
          <w:bCs w:val="0"/>
          <w:kern w:val="2"/>
          <w:szCs w:val="32"/>
          <w:lang w:eastAsia="zh-CN"/>
        </w:rPr>
        <w:t>）</w:t>
      </w:r>
      <w:r>
        <w:rPr>
          <w:rFonts w:hint="default" w:ascii="楷体_GB2312" w:hAnsi="楷体_GB2312" w:eastAsia="楷体_GB2312" w:cs="楷体_GB2312"/>
          <w:szCs w:val="32"/>
        </w:rPr>
        <w:t>区发展改革和财政局负责流转价格的监督检查</w:t>
      </w:r>
    </w:p>
    <w:p>
      <w:pPr>
        <w:ind w:firstLine="640" w:firstLineChars="200"/>
        <w:rPr>
          <w:rFonts w:hint="eastAsia"/>
        </w:rPr>
      </w:pPr>
      <w:r>
        <w:rPr>
          <w:rFonts w:hint="eastAsia" w:eastAsia="仿宋"/>
          <w:bCs w:val="0"/>
          <w:kern w:val="2"/>
          <w:szCs w:val="32"/>
        </w:rPr>
        <w:t>区发展改革和财政局对我区林地林木流转的价格进行监督检查、价格监测和价格认证，必要时制定权限内的政府指导价、政府定价并组织实施，确保流转价格合理和市场稳定。对流转至我区国有企业的林地林木做好产权界定和产权登记，监督国有资产</w:t>
      </w:r>
      <w:r>
        <w:rPr>
          <w:rFonts w:hint="default"/>
        </w:rPr>
        <w:t>的资产评估和产权交易。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楷体_GB2312" w:hAnsi="楷体_GB2312" w:eastAsia="楷体_GB2312" w:cs="楷体_GB2312"/>
          <w:lang w:val="en-US" w:eastAsia="zh-CN"/>
        </w:rPr>
        <w:t>（四）区农业农村和海洋渔业局对服务平台的相关职责</w:t>
      </w:r>
    </w:p>
    <w:p>
      <w:pPr>
        <w:pageBreakBefore w:val="0"/>
        <w:widowControl/>
        <w:kinsoku/>
        <w:wordWrap/>
        <w:overflowPunct/>
        <w:topLinePunct w:val="0"/>
        <w:autoSpaceDE/>
        <w:autoSpaceDN/>
        <w:bidi w:val="0"/>
        <w:adjustRightInd/>
        <w:spacing w:line="240" w:lineRule="auto"/>
        <w:ind w:firstLine="640" w:firstLineChars="200"/>
        <w:jc w:val="left"/>
        <w:textAlignment w:val="auto"/>
        <w:outlineLvl w:val="9"/>
        <w:rPr>
          <w:rFonts w:hint="eastAsia"/>
          <w:lang w:val="en-US" w:eastAsia="zh-CN"/>
        </w:rPr>
      </w:pPr>
      <w:r>
        <w:rPr>
          <w:rFonts w:hint="eastAsia"/>
          <w:lang w:val="en-US" w:eastAsia="zh-CN"/>
        </w:rPr>
        <w:t>区农业农村和海洋渔业局负责建设和维护农村产权流转交易管理服务平台，监督平台交易过程和交易信息公开情况，指导农村产权流转交易服务机构办理流转手续。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（五）各镇政府</w:t>
      </w:r>
      <w:r>
        <w:rPr>
          <w:rFonts w:hint="default" w:ascii="楷体_GB2312" w:hAnsi="楷体_GB2312" w:eastAsia="楷体_GB2312" w:cs="楷体_GB2312"/>
          <w:sz w:val="32"/>
          <w:szCs w:val="32"/>
          <w:lang w:val="en-US" w:eastAsia="zh-CN"/>
        </w:rPr>
        <w:t>对合同签订的指导</w:t>
      </w:r>
      <w:r>
        <w:rPr>
          <w:rFonts w:hint="eastAsia" w:ascii="楷体_GB2312" w:hAnsi="楷体_GB2312" w:eastAsia="楷体_GB2312" w:cs="楷体_GB2312"/>
          <w:sz w:val="32"/>
          <w:szCs w:val="32"/>
          <w:lang w:val="en-US" w:eastAsia="zh-CN"/>
        </w:rPr>
        <w:t>和</w:t>
      </w:r>
      <w:r>
        <w:rPr>
          <w:rFonts w:hint="default" w:ascii="楷体_GB2312" w:hAnsi="楷体_GB2312" w:eastAsia="楷体_GB2312" w:cs="楷体_GB2312"/>
          <w:sz w:val="32"/>
          <w:szCs w:val="32"/>
          <w:lang w:val="en-US" w:eastAsia="zh-CN"/>
        </w:rPr>
        <w:t>管理职责</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eastAsia"/>
          <w:lang w:val="en-US" w:eastAsia="zh-CN"/>
        </w:rPr>
      </w:pPr>
      <w:r>
        <w:rPr>
          <w:rFonts w:hint="eastAsia"/>
          <w:lang w:val="en-US" w:eastAsia="zh-CN"/>
        </w:rPr>
        <w:t>各镇政府负责对流转双方签订合同的指导和管理工作。做好林地林木流转合同备案工作，建立林地林木流转登记情况册，掌握流转动态情况。发现流转双方违反法律法规的，应当及时予以纠正。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w:t>
      </w:r>
      <w:r>
        <w:rPr>
          <w:rFonts w:hint="default" w:ascii="楷体_GB2312" w:hAnsi="楷体_GB2312" w:eastAsia="楷体_GB2312" w:cs="楷体_GB2312"/>
          <w:sz w:val="32"/>
          <w:szCs w:val="32"/>
          <w:lang w:val="en-US" w:eastAsia="zh-CN"/>
        </w:rPr>
        <w:t>集体组织对流入方的监督职责</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eastAsia"/>
          <w:lang w:val="en-US" w:eastAsia="zh-CN"/>
        </w:rPr>
      </w:pPr>
      <w:r>
        <w:rPr>
          <w:rFonts w:hint="eastAsia"/>
          <w:lang w:val="en-US" w:eastAsia="zh-CN"/>
        </w:rPr>
        <w:t xml:space="preserve">农村集体经济组织或村民委员会、村民小组应当监督流入方合理利用和保护林地林木。     </w:t>
      </w:r>
    </w:p>
    <w:p>
      <w:pPr>
        <w:keepNext w:val="0"/>
        <w:keepLines w:val="0"/>
        <w:pageBreakBefore w:val="0"/>
        <w:widowControl w:val="0"/>
        <w:numPr>
          <w:ilvl w:val="0"/>
          <w:numId w:val="1"/>
        </w:numPr>
        <w:tabs>
          <w:tab w:val="left" w:pos="1440"/>
        </w:tab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流转保障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（一）加强宣传引导</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val="en-US" w:eastAsia="zh-CN"/>
        </w:rPr>
      </w:pPr>
      <w:r>
        <w:rPr>
          <w:rFonts w:hint="eastAsia"/>
          <w:lang w:val="en-US" w:eastAsia="zh-CN"/>
        </w:rPr>
        <w:t>各级各部门要熟练掌握林地林木流转政策规定和规范程序，积极开展宣传活动，做好相关法律和政策的解读和宣讲，向农村基层干部和群众及社会投资经营者宣传讲清有关林地林木流转管理规定，努力营造有利于完善集体林权制度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（二）鼓励积极探索</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ascii="仿宋_GB2312" w:hAnsi="宋体" w:eastAsia="仿宋_GB2312" w:cs="宋体"/>
          <w:szCs w:val="30"/>
          <w:lang w:val="en-US" w:eastAsia="zh-CN"/>
        </w:rPr>
      </w:pPr>
      <w:r>
        <w:rPr>
          <w:rFonts w:hint="eastAsia"/>
          <w:lang w:val="en-US" w:eastAsia="zh-CN"/>
        </w:rPr>
        <w:t>鼓励农户采取转包、出租、入股等方式流转林地林木，引导林业适度规模经营。可通过有序流转发展林业合作社、家庭林场、合作林场等新型林业经营主体，培育龙头企业、林下经济企业，引导各类生产经营主体开展联合、合作经营，促进林业经济稳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（三）明确</w:t>
      </w:r>
      <w:r>
        <w:rPr>
          <w:rFonts w:hint="default" w:ascii="楷体_GB2312" w:hAnsi="楷体_GB2312" w:eastAsia="楷体_GB2312" w:cs="楷体_GB2312"/>
          <w:sz w:val="32"/>
          <w:szCs w:val="32"/>
          <w:lang w:val="en-US" w:eastAsia="zh-CN"/>
        </w:rPr>
        <w:t>争议调处</w:t>
      </w:r>
      <w:r>
        <w:rPr>
          <w:rFonts w:hint="eastAsia" w:ascii="楷体_GB2312" w:hAnsi="楷体_GB2312" w:eastAsia="楷体_GB2312" w:cs="楷体_GB2312"/>
          <w:sz w:val="32"/>
          <w:szCs w:val="32"/>
          <w:lang w:val="en-US" w:eastAsia="zh-CN"/>
        </w:rPr>
        <w:t>方式</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val="en-US" w:eastAsia="zh-CN"/>
        </w:rPr>
      </w:pPr>
      <w:r>
        <w:rPr>
          <w:rFonts w:hint="default"/>
          <w:lang w:val="en-US" w:eastAsia="zh-CN"/>
        </w:rPr>
        <w:t>因林地林木流转发生争议的，当事人可以自行和解，也可以请求村民委员会</w:t>
      </w:r>
      <w:r>
        <w:rPr>
          <w:rFonts w:hint="eastAsia"/>
          <w:lang w:val="en-US" w:eastAsia="zh-CN"/>
        </w:rPr>
        <w:t>或</w:t>
      </w:r>
      <w:r>
        <w:rPr>
          <w:rFonts w:hint="default"/>
          <w:lang w:val="en-US" w:eastAsia="zh-CN"/>
        </w:rPr>
        <w:t>镇政府等调解。和解、调解不成或者不愿意和解、调解的，可以向农村土地承包仲裁机构申请仲裁，也可以直接向人民法院提起诉讼。调解、仲裁、诉讼期间，双方当事人应当维持现状，任何一方不得在有争议的林地上从事新的生产经营活动，不得采伐有争议的林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（四）妥善处置历史问题</w:t>
      </w:r>
    </w:p>
    <w:p>
      <w:pPr>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rFonts w:hint="default"/>
          <w:lang w:val="en-US" w:eastAsia="zh-CN"/>
        </w:rPr>
      </w:pPr>
      <w:r>
        <w:rPr>
          <w:rFonts w:hint="default"/>
          <w:lang w:val="en-US" w:eastAsia="zh-CN"/>
        </w:rPr>
        <w:t>本</w:t>
      </w:r>
      <w:r>
        <w:rPr>
          <w:rFonts w:hint="eastAsia"/>
          <w:lang w:val="en-US" w:eastAsia="zh-CN"/>
        </w:rPr>
        <w:t>方案</w:t>
      </w:r>
      <w:r>
        <w:rPr>
          <w:rFonts w:hint="default"/>
          <w:lang w:val="en-US" w:eastAsia="zh-CN"/>
        </w:rPr>
        <w:t>实施前已经流转的集体统一经营管理的林地林木，符合《农村土地承包法》《村民委员会组织法》和《森林法》等有关法律法规规定，林地流转合同协议规范的，应予以维护，流入方可将合法规范的林地流转合同向镇人民政府补报备案；流转合同不规范的，要本着</w:t>
      </w:r>
      <w:r>
        <w:rPr>
          <w:rFonts w:hint="eastAsia"/>
          <w:lang w:val="en-US" w:eastAsia="zh-CN"/>
        </w:rPr>
        <w:t>“</w:t>
      </w:r>
      <w:r>
        <w:rPr>
          <w:rFonts w:hint="default"/>
          <w:lang w:val="en-US" w:eastAsia="zh-CN"/>
        </w:rPr>
        <w:t>尊重历史、兼顾现实、注重协商</w:t>
      </w:r>
      <w:r>
        <w:rPr>
          <w:rFonts w:hint="eastAsia"/>
          <w:lang w:val="en-US" w:eastAsia="zh-CN"/>
        </w:rPr>
        <w:t>”</w:t>
      </w:r>
      <w:r>
        <w:rPr>
          <w:rFonts w:hint="default"/>
          <w:lang w:val="en-US" w:eastAsia="zh-CN"/>
        </w:rPr>
        <w:t>的原则，依法妥善处理并予以完善；不符合有关法律规定的，应依法予以纠正。</w:t>
      </w:r>
    </w:p>
    <w:p>
      <w:pPr>
        <w:keepNext w:val="0"/>
        <w:keepLines w:val="0"/>
        <w:pageBreakBefore w:val="0"/>
        <w:widowControl w:val="0"/>
        <w:numPr>
          <w:ilvl w:val="0"/>
          <w:numId w:val="1"/>
        </w:numPr>
        <w:tabs>
          <w:tab w:val="left" w:pos="144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其他说明</w:t>
      </w:r>
    </w:p>
    <w:p>
      <w:pPr>
        <w:snapToGrid/>
        <w:spacing w:line="560" w:lineRule="exact"/>
        <w:ind w:firstLine="640" w:firstLineChars="200"/>
        <w:jc w:val="left"/>
        <w:outlineLvl w:val="9"/>
        <w:rPr>
          <w:rFonts w:hint="default" w:ascii="仿宋_GB2312" w:hAnsi="宋体" w:eastAsia="仿宋_GB2312" w:cs="宋体"/>
          <w:sz w:val="30"/>
          <w:szCs w:val="30"/>
          <w:lang w:val="en-US" w:eastAsia="zh-CN"/>
        </w:rPr>
      </w:pPr>
      <w:r>
        <w:rPr>
          <w:rFonts w:hint="default"/>
          <w:lang w:val="en-US" w:eastAsia="zh-CN"/>
        </w:rPr>
        <w:t>本</w:t>
      </w:r>
      <w:r>
        <w:rPr>
          <w:rFonts w:hint="eastAsia"/>
          <w:lang w:val="en-US" w:eastAsia="zh-CN"/>
        </w:rPr>
        <w:t>方案</w:t>
      </w:r>
      <w:r>
        <w:rPr>
          <w:rFonts w:hint="default"/>
          <w:lang w:val="en-US" w:eastAsia="zh-CN"/>
        </w:rPr>
        <w:t>由区</w:t>
      </w:r>
      <w:r>
        <w:rPr>
          <w:rFonts w:hint="eastAsia"/>
          <w:lang w:val="en-US" w:eastAsia="zh-CN"/>
        </w:rPr>
        <w:t>城市管理和综合执法</w:t>
      </w:r>
      <w:r>
        <w:rPr>
          <w:rFonts w:hint="default"/>
          <w:lang w:val="en-US" w:eastAsia="zh-CN"/>
        </w:rPr>
        <w:t>局负责解释</w:t>
      </w:r>
      <w:r>
        <w:rPr>
          <w:rFonts w:hint="eastAsia"/>
          <w:lang w:val="en-US" w:eastAsia="zh-CN"/>
        </w:rPr>
        <w:t>，</w:t>
      </w:r>
      <w:r>
        <w:rPr>
          <w:rFonts w:hint="default"/>
          <w:lang w:val="en-US" w:eastAsia="zh-CN"/>
        </w:rPr>
        <w:t>自印发之日起施行</w:t>
      </w:r>
      <w:r>
        <w:rPr>
          <w:rFonts w:hint="eastAsia"/>
          <w:lang w:val="en-US" w:eastAsia="zh-CN"/>
        </w:rPr>
        <w:t>，有效期为5年</w:t>
      </w:r>
      <w:r>
        <w:rPr>
          <w:rFonts w:hint="default"/>
          <w:lang w:val="en-US" w:eastAsia="zh-CN"/>
        </w:rPr>
        <w:t>。</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33C6F"/>
    <w:multiLevelType w:val="singleLevel"/>
    <w:tmpl w:val="14033C6F"/>
    <w:lvl w:ilvl="0" w:tentative="0">
      <w:start w:val="1"/>
      <w:numFmt w:val="decimal"/>
      <w:suff w:val="space"/>
      <w:lvlText w:val="%1."/>
      <w:lvlJc w:val="left"/>
    </w:lvl>
  </w:abstractNum>
  <w:abstractNum w:abstractNumId="1">
    <w:nsid w:val="3A52A2B1"/>
    <w:multiLevelType w:val="singleLevel"/>
    <w:tmpl w:val="3A52A2B1"/>
    <w:lvl w:ilvl="0" w:tentative="0">
      <w:start w:val="1"/>
      <w:numFmt w:val="decimal"/>
      <w:suff w:val="space"/>
      <w:lvlText w:val="%1."/>
      <w:lvlJc w:val="left"/>
    </w:lvl>
  </w:abstractNum>
  <w:abstractNum w:abstractNumId="2">
    <w:nsid w:val="79DBF36A"/>
    <w:multiLevelType w:val="singleLevel"/>
    <w:tmpl w:val="79DBF36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jdmNDJmYWNjOTFkZTU3NDhlZThmNGE4MGI1MmEifQ=="/>
  </w:docVars>
  <w:rsids>
    <w:rsidRoot w:val="109662F4"/>
    <w:rsid w:val="01161F51"/>
    <w:rsid w:val="032240A2"/>
    <w:rsid w:val="07E7595A"/>
    <w:rsid w:val="109662F4"/>
    <w:rsid w:val="1D3456D5"/>
    <w:rsid w:val="244930EA"/>
    <w:rsid w:val="2ADB634C"/>
    <w:rsid w:val="32C57C62"/>
    <w:rsid w:val="33083B58"/>
    <w:rsid w:val="36D97F49"/>
    <w:rsid w:val="3BA21B4C"/>
    <w:rsid w:val="42942E8C"/>
    <w:rsid w:val="45BA7F70"/>
    <w:rsid w:val="72304771"/>
    <w:rsid w:val="77FBFF94"/>
    <w:rsid w:val="EFBF6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仿宋"/>
      <w:kern w:val="2"/>
      <w:sz w:val="32"/>
      <w:szCs w:val="32"/>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黑体"/>
      <w:bCs/>
      <w:kern w:val="44"/>
      <w:sz w:val="32"/>
      <w:szCs w:val="44"/>
    </w:rPr>
  </w:style>
  <w:style w:type="paragraph" w:styleId="3">
    <w:name w:val="heading 2"/>
    <w:basedOn w:val="1"/>
    <w:next w:val="1"/>
    <w:link w:val="8"/>
    <w:unhideWhenUsed/>
    <w:qFormat/>
    <w:uiPriority w:val="0"/>
    <w:pPr>
      <w:keepNext/>
      <w:keepLines/>
      <w:spacing w:before="260" w:beforeLines="0" w:beforeAutospacing="0" w:after="260" w:afterLines="0" w:afterAutospacing="0" w:line="413" w:lineRule="auto"/>
      <w:outlineLvl w:val="1"/>
    </w:pPr>
    <w:rPr>
      <w:rFonts w:ascii="楷体" w:hAnsi="楷体" w:eastAsia="楷体"/>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styleId="7">
    <w:name w:val="Hyperlink"/>
    <w:basedOn w:val="6"/>
    <w:qFormat/>
    <w:uiPriority w:val="0"/>
    <w:rPr>
      <w:color w:val="0000FF"/>
      <w:u w:val="single"/>
    </w:rPr>
  </w:style>
  <w:style w:type="character" w:customStyle="1" w:styleId="8">
    <w:name w:val="标题 2 Char"/>
    <w:link w:val="3"/>
    <w:qFormat/>
    <w:uiPriority w:val="0"/>
    <w:rPr>
      <w:rFonts w:ascii="楷体" w:hAnsi="楷体" w:eastAsia="楷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3333</Words>
  <Characters>3355</Characters>
  <Lines>0</Lines>
  <Paragraphs>0</Paragraphs>
  <TotalTime>0</TotalTime>
  <ScaleCrop>false</ScaleCrop>
  <LinksUpToDate>false</LinksUpToDate>
  <CharactersWithSpaces>3379</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2022-08-29T05:31:00Z</dcterms:created>
  <dc:creator>舍予几点</dc:creator>
  <cp:lastModifiedBy>舍予几点</cp:lastModifiedBy>
  <dcterms:modified xsi:type="dcterms:W3CDTF">2022-09-27T14:08:29Z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98CA39D002644266971A0E4A9AFEAACE</vt:lpwstr>
  </property>
</Properties>
</file>