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N/>
        <w:bidi w:val="0"/>
        <w:adjustRightInd/>
        <w:snapToGrid/>
        <w:spacing w:line="560" w:lineRule="exact"/>
        <w:textAlignment w:val="auto"/>
        <w:rPr>
          <w:rFonts w:hint="eastAsia"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rPr>
        <w:t>附件</w:t>
      </w:r>
      <w:r>
        <w:rPr>
          <w:rFonts w:hint="eastAsia" w:ascii="CESI黑体-GB2312" w:hAnsi="CESI黑体-GB2312" w:eastAsia="CESI黑体-GB2312" w:cs="CESI黑体-GB2312"/>
          <w:sz w:val="32"/>
          <w:szCs w:val="32"/>
          <w:lang w:val="en-US" w:eastAsia="zh-CN"/>
        </w:rPr>
        <w:t>2：</w:t>
      </w:r>
    </w:p>
    <w:p>
      <w:pPr>
        <w:pStyle w:val="8"/>
        <w:keepNext w:val="0"/>
        <w:keepLines w:val="0"/>
        <w:pageBreakBefore w:val="0"/>
        <w:kinsoku/>
        <w:wordWrap/>
        <w:overflowPunct/>
        <w:topLinePunct w:val="0"/>
        <w:autoSpaceDN/>
        <w:bidi w:val="0"/>
        <w:adjustRightInd/>
        <w:snapToGrid/>
        <w:spacing w:line="560" w:lineRule="exact"/>
        <w:ind w:left="0" w:leftChars="0" w:firstLine="0" w:firstLineChars="0"/>
        <w:textAlignment w:val="auto"/>
        <w:rPr>
          <w:rFonts w:hint="eastAsia" w:ascii="仿宋_GB2312" w:hAnsi="仿宋" w:eastAsia="仿宋_GB2312" w:cs="Times New Roman"/>
          <w:color w:val="000000" w:themeColor="text1"/>
          <w:kern w:val="0"/>
          <w:sz w:val="32"/>
          <w:szCs w:val="32"/>
          <w:lang w:val="en-US" w:eastAsia="zh-CN" w:bidi="ar-SA"/>
          <w14:textFill>
            <w14:solidFill>
              <w14:schemeClr w14:val="tx1"/>
            </w14:solidFill>
          </w14:textFill>
        </w:rPr>
      </w:pPr>
    </w:p>
    <w:p>
      <w:pPr>
        <w:keepNext w:val="0"/>
        <w:keepLines w:val="0"/>
        <w:pageBreakBefore w:val="0"/>
        <w:kinsoku/>
        <w:wordWrap/>
        <w:overflowPunct/>
        <w:topLinePunct w:val="0"/>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《深圳市深汕特别合作区林地林木</w:t>
      </w:r>
    </w:p>
    <w:p>
      <w:pPr>
        <w:keepNext w:val="0"/>
        <w:keepLines w:val="0"/>
        <w:pageBreakBefore w:val="0"/>
        <w:kinsoku/>
        <w:wordWrap/>
        <w:overflowPunct/>
        <w:topLinePunct w:val="0"/>
        <w:autoSpaceDN/>
        <w:bidi w:val="0"/>
        <w:adjustRightInd/>
        <w:snapToGrid/>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流转</w:t>
      </w:r>
      <w:r>
        <w:rPr>
          <w:rFonts w:hint="eastAsia" w:ascii="方正小标宋简体" w:hAnsi="方正小标宋简体" w:eastAsia="方正小标宋简体" w:cs="方正小标宋简体"/>
          <w:sz w:val="44"/>
          <w:szCs w:val="44"/>
          <w:lang w:val="en-US" w:eastAsia="zh-CN"/>
        </w:rPr>
        <w:t>实施方案</w:t>
      </w:r>
      <w:r>
        <w:rPr>
          <w:rFonts w:hint="eastAsia" w:ascii="方正小标宋简体" w:hAnsi="方正小标宋简体" w:eastAsia="方正小标宋简体" w:cs="方正小标宋简体"/>
          <w:sz w:val="44"/>
          <w:szCs w:val="44"/>
        </w:rPr>
        <w:t>》起草说明</w:t>
      </w:r>
    </w:p>
    <w:p>
      <w:pPr>
        <w:keepNext w:val="0"/>
        <w:keepLines w:val="0"/>
        <w:pageBreakBefore w:val="0"/>
        <w:widowControl/>
        <w:kinsoku/>
        <w:wordWrap/>
        <w:overflowPunct/>
        <w:topLinePunct w:val="0"/>
        <w:autoSpaceDN/>
        <w:bidi w:val="0"/>
        <w:adjustRightInd/>
        <w:snapToGrid/>
        <w:spacing w:line="560" w:lineRule="exact"/>
        <w:jc w:val="left"/>
        <w:textAlignment w:val="auto"/>
        <w:rPr>
          <w:rFonts w:ascii="仿宋_GB2312" w:hAnsi="仿宋_GB2312" w:eastAsia="仿宋_GB2312" w:cs="仿宋_GB2312"/>
          <w:color w:val="000000"/>
          <w:kern w:val="28"/>
          <w:sz w:val="32"/>
          <w:szCs w:val="32"/>
        </w:rPr>
      </w:pP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ascii="仿宋_GB2312" w:hAnsi="仿宋" w:eastAsia="仿宋_GB2312" w:cs="Times New Roman"/>
          <w:color w:val="000000" w:themeColor="text1"/>
          <w:kern w:val="0"/>
          <w:sz w:val="32"/>
          <w:szCs w:val="32"/>
          <w14:textFill>
            <w14:solidFill>
              <w14:schemeClr w14:val="tx1"/>
            </w14:solidFill>
          </w14:textFill>
        </w:rPr>
      </w:pPr>
      <w:r>
        <w:rPr>
          <w:rFonts w:hint="default" w:ascii="仿宋_GB2312" w:hAnsi="仿宋" w:eastAsia="仿宋_GB2312" w:cs="Times New Roman"/>
          <w:color w:val="000000" w:themeColor="text1"/>
          <w:kern w:val="0"/>
          <w:sz w:val="32"/>
          <w:szCs w:val="32"/>
          <w:lang w:eastAsia="zh-CN"/>
          <w14:textFill>
            <w14:solidFill>
              <w14:schemeClr w14:val="tx1"/>
            </w14:solidFill>
          </w14:textFill>
        </w:rPr>
        <w:t>为</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贯彻落实习近平总书记关于集体林权制度改革重要指示精神</w:t>
      </w:r>
      <w:r>
        <w:rPr>
          <w:rFonts w:hint="default" w:ascii="仿宋_GB2312" w:hAnsi="仿宋" w:eastAsia="仿宋_GB2312" w:cs="Times New Roman"/>
          <w:color w:val="000000" w:themeColor="text1"/>
          <w:kern w:val="0"/>
          <w:sz w:val="32"/>
          <w:szCs w:val="32"/>
          <w:lang w:eastAsia="zh-CN"/>
          <w14:textFill>
            <w14:solidFill>
              <w14:schemeClr w14:val="tx1"/>
            </w14:solidFill>
          </w14:textFill>
        </w:rPr>
        <w:t>，</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贯彻落实党中央、国务院和省委、省政府关于深化集体林权制度改革及完善“三权分置”的</w:t>
      </w:r>
      <w:r>
        <w:rPr>
          <w:rFonts w:hint="default" w:ascii="仿宋_GB2312" w:hAnsi="仿宋" w:eastAsia="仿宋_GB2312" w:cs="Times New Roman"/>
          <w:color w:val="000000" w:themeColor="text1"/>
          <w:kern w:val="0"/>
          <w:sz w:val="32"/>
          <w:szCs w:val="32"/>
          <w:lang w:eastAsia="zh-CN"/>
          <w14:textFill>
            <w14:solidFill>
              <w14:schemeClr w14:val="tx1"/>
            </w14:solidFill>
          </w14:textFill>
        </w:rPr>
        <w:t>工作部署，</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进一步规范我区集体林权有序流转，推进集体林业适度规模化经营，促进林业改革与发展，根据《中华人民共和国森林法》、《中华人民共和国森林法实施条例》、《广东省林地林木流转办法》等法律法规和相关规定，结合我区实际，制定本办法。</w:t>
      </w:r>
      <w:r>
        <w:rPr>
          <w:rFonts w:hint="eastAsia" w:ascii="仿宋_GB2312" w:hAnsi="仿宋" w:eastAsia="仿宋_GB2312" w:cs="Times New Roman"/>
          <w:color w:val="000000" w:themeColor="text1"/>
          <w:kern w:val="0"/>
          <w:sz w:val="32"/>
          <w:szCs w:val="32"/>
          <w:lang w:eastAsia="zh-CN"/>
          <w14:textFill>
            <w14:solidFill>
              <w14:schemeClr w14:val="tx1"/>
            </w14:solidFill>
          </w14:textFill>
        </w:rPr>
        <w:t>我局起草了《深圳市深汕特别合作区林地林木流转管理办法》。</w:t>
      </w:r>
      <w:r>
        <w:rPr>
          <w:rFonts w:hint="eastAsia" w:ascii="仿宋_GB2312" w:hAnsi="仿宋" w:eastAsia="仿宋_GB2312" w:cs="Times New Roman"/>
          <w:color w:val="000000" w:themeColor="text1"/>
          <w:kern w:val="0"/>
          <w:sz w:val="32"/>
          <w:szCs w:val="32"/>
          <w14:textFill>
            <w14:solidFill>
              <w14:schemeClr w14:val="tx1"/>
            </w14:solidFill>
          </w14:textFill>
        </w:rPr>
        <w:t>现就有关情况说明如下：</w:t>
      </w:r>
    </w:p>
    <w:p>
      <w:pPr>
        <w:pStyle w:val="8"/>
        <w:keepNext w:val="0"/>
        <w:keepLines w:val="0"/>
        <w:pageBreakBefore w:val="0"/>
        <w:numPr>
          <w:ilvl w:val="0"/>
          <w:numId w:val="1"/>
        </w:numPr>
        <w:kinsoku/>
        <w:wordWrap/>
        <w:overflowPunct/>
        <w:topLinePunct w:val="0"/>
        <w:autoSpaceDN/>
        <w:bidi w:val="0"/>
        <w:adjustRightInd/>
        <w:snapToGrid/>
        <w:spacing w:line="560" w:lineRule="exact"/>
        <w:ind w:firstLine="640"/>
        <w:textAlignment w:val="auto"/>
        <w:rPr>
          <w:rFonts w:ascii="黑体" w:hAnsi="黑体" w:eastAsia="黑体" w:cs="黑体"/>
          <w:sz w:val="32"/>
          <w:szCs w:val="32"/>
        </w:rPr>
      </w:pPr>
      <w:r>
        <w:rPr>
          <w:rFonts w:hint="default" w:ascii="黑体" w:hAnsi="黑体" w:eastAsia="黑体" w:cs="黑体"/>
          <w:sz w:val="32"/>
          <w:szCs w:val="32"/>
        </w:rPr>
        <w:t>出台</w:t>
      </w:r>
      <w:r>
        <w:rPr>
          <w:rFonts w:hint="eastAsia" w:ascii="黑体" w:hAnsi="黑体" w:eastAsia="黑体" w:cs="黑体"/>
          <w:sz w:val="32"/>
          <w:szCs w:val="32"/>
        </w:rPr>
        <w:t>背景</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我区林地面积大，森林资源丰富，林地面积360.6平方公里约占总面积77%，森林蓄积124.0157万立方米，管理难度大。我区林地林木流转早，现有的流转合同大多签订于上世纪九十年代和本世纪初，由于林权历经多次改革，特别是上世纪九十年代林地流转处于自发阶段，存在着流转程序、合同协议不规范、不完善等问题，有的合同内容规定也并不合理，导致后续在村集体和村民之间、村民和村民之间产生争议，双方的义务权利没有厘清，合法权益得不到保障，影响林区稳定和社会和谐。另外，大多数的流转合同签订经过村民和村集体双方后并未进行审查把关，各镇对于辖区内的林地林木流转情况并未清楚掌握，这种情况严重制约我区对林地林木流转的管理，不利于充分实现森林资源价值和促进林业生产力发展。</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lang w:val="en-US" w:eastAsia="zh-CN"/>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《森林法》《农村土地承包法》对林地林木流转仅做出原则性规定，《</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广东省林地林木流转办法</w:t>
      </w: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和广东省林业厅关于贯彻实施《广东省林地林木流转办法》的通知对于林地林木流转各方面都做了较为详细的规定，但由于分布在两个规定中，不方便向基层宣传普及，且上位法作为规定全省的管理办法，其规定内容有些是概括性的，并没有具体到我区实际情况，同时又因为体制机制原因，部分工作未落实到位。为了适应我区林地林木流转管理实际需要，明确我区相关各部门在林地林木流转中的分工和职责，更好地向基层宣传林地林木流转的相关政策，有必要结合我区实际情况将上位法相关规定进行细化和整合。</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pPr>
      <w:r>
        <w:rPr>
          <w:rFonts w:hint="eastAsia" w:ascii="仿宋_GB2312" w:hAnsi="仿宋" w:eastAsia="仿宋_GB2312" w:cs="Times New Roman"/>
          <w:color w:val="000000" w:themeColor="text1"/>
          <w:kern w:val="0"/>
          <w:sz w:val="32"/>
          <w:szCs w:val="32"/>
          <w:lang w:val="en-US" w:eastAsia="zh-CN"/>
          <w14:textFill>
            <w14:solidFill>
              <w14:schemeClr w14:val="tx1"/>
            </w14:solidFill>
          </w14:textFill>
        </w:rPr>
        <w:t>综上，为落实上位法和国家有关政策规定，进一步规范我区集体林权有序流转，促进林业改革与发展，我局起草了《深圳市深汕特别合作区林地林木流转实施方案》（以下简称《实施方案》）。</w:t>
      </w:r>
    </w:p>
    <w:p>
      <w:pPr>
        <w:pStyle w:val="8"/>
        <w:keepNext w:val="0"/>
        <w:keepLines w:val="0"/>
        <w:pageBreakBefore w:val="0"/>
        <w:numPr>
          <w:ilvl w:val="0"/>
          <w:numId w:val="1"/>
        </w:numPr>
        <w:kinsoku/>
        <w:wordWrap/>
        <w:overflowPunct/>
        <w:topLinePunct w:val="0"/>
        <w:autoSpaceDN/>
        <w:bidi w:val="0"/>
        <w:adjustRightInd/>
        <w:snapToGrid/>
        <w:spacing w:line="560" w:lineRule="exact"/>
        <w:ind w:firstLine="640"/>
        <w:textAlignment w:val="auto"/>
        <w:rPr>
          <w:rFonts w:ascii="黑体" w:hAnsi="黑体" w:eastAsia="黑体" w:cs="黑体"/>
          <w:sz w:val="32"/>
          <w:szCs w:val="32"/>
        </w:rPr>
      </w:pPr>
      <w:r>
        <w:rPr>
          <w:rFonts w:ascii="黑体" w:hAnsi="黑体" w:eastAsia="黑体" w:cs="黑体"/>
          <w:sz w:val="32"/>
          <w:szCs w:val="32"/>
        </w:rPr>
        <w:t>制定依据</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eastAsia" w:ascii="仿宋_GB2312" w:hAnsi="仿宋" w:eastAsia="仿宋_GB2312" w:cs="Times New Roman"/>
          <w:b w:val="0"/>
          <w:bCs w:val="0"/>
          <w:color w:val="000000" w:themeColor="text1"/>
          <w:kern w:val="0"/>
          <w:sz w:val="30"/>
          <w:szCs w:val="30"/>
          <w:lang w:val="en-US" w:eastAsia="zh-CN" w:bidi="ar-SA"/>
          <w14:textFill>
            <w14:solidFill>
              <w14:schemeClr w14:val="tx1"/>
            </w14:solidFill>
          </w14:textFill>
        </w:rPr>
      </w:pP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《广东省林地林木流转办法》（201</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7</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年</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10</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月）</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default" w:ascii="仿宋_GB2312" w:hAnsi="仿宋" w:eastAsia="仿宋_GB2312" w:cs="Times New Roman"/>
          <w:color w:val="000000" w:themeColor="text1"/>
          <w:kern w:val="0"/>
          <w:sz w:val="30"/>
          <w:szCs w:val="30"/>
          <w:lang w:eastAsia="zh-CN"/>
          <w14:textFill>
            <w14:solidFill>
              <w14:schemeClr w14:val="tx1"/>
            </w14:solidFill>
          </w14:textFill>
        </w:rPr>
      </w:pPr>
      <w:r>
        <w:rPr>
          <w:rFonts w:hint="eastAsia" w:ascii="仿宋_GB2312" w:hAnsi="仿宋" w:eastAsia="仿宋_GB2312" w:cs="Times New Roman"/>
          <w:b w:val="0"/>
          <w:bCs w:val="0"/>
          <w:color w:val="000000" w:themeColor="text1"/>
          <w:kern w:val="0"/>
          <w:sz w:val="30"/>
          <w:szCs w:val="30"/>
          <w:lang w:val="en-US" w:eastAsia="zh-CN" w:bidi="ar-SA"/>
          <w14:textFill>
            <w14:solidFill>
              <w14:schemeClr w14:val="tx1"/>
            </w14:solidFill>
          </w14:textFill>
        </w:rPr>
        <w:t>广东省林业厅关于贯彻实施《广东省林地林木流转办法》的通知</w:t>
      </w:r>
      <w:r>
        <w:rPr>
          <w:rFonts w:hint="default" w:ascii="仿宋_GB2312" w:hAnsi="仿宋" w:eastAsia="仿宋_GB2312" w:cs="Times New Roman"/>
          <w:b w:val="0"/>
          <w:bCs w:val="0"/>
          <w:color w:val="000000" w:themeColor="text1"/>
          <w:kern w:val="0"/>
          <w:sz w:val="30"/>
          <w:szCs w:val="30"/>
          <w:lang w:eastAsia="zh-CN" w:bidi="ar-SA"/>
          <w14:textFill>
            <w14:solidFill>
              <w14:schemeClr w14:val="tx1"/>
            </w14:solidFill>
          </w14:textFill>
        </w:rPr>
        <w:t>（2018年8月）</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default" w:ascii="仿宋_GB2312" w:hAnsi="仿宋" w:eastAsia="仿宋_GB2312" w:cs="Times New Roman"/>
          <w:color w:val="000000" w:themeColor="text1"/>
          <w:kern w:val="0"/>
          <w:sz w:val="30"/>
          <w:szCs w:val="30"/>
          <w:lang w:eastAsia="zh-CN"/>
          <w14:textFill>
            <w14:solidFill>
              <w14:schemeClr w14:val="tx1"/>
            </w14:solidFill>
          </w14:textFill>
        </w:rPr>
      </w:pPr>
      <w:r>
        <w:rPr>
          <w:rFonts w:hint="default" w:ascii="仿宋_GB2312" w:hAnsi="仿宋" w:eastAsia="仿宋_GB2312" w:cs="Times New Roman"/>
          <w:color w:val="000000" w:themeColor="text1"/>
          <w:kern w:val="0"/>
          <w:sz w:val="30"/>
          <w:szCs w:val="30"/>
          <w:lang w:eastAsia="zh-CN"/>
          <w14:textFill>
            <w14:solidFill>
              <w14:schemeClr w14:val="tx1"/>
            </w14:solidFill>
          </w14:textFill>
        </w:rPr>
        <w:t>《中华人民共和国森林法》（</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2019</w:t>
      </w:r>
      <w:r>
        <w:rPr>
          <w:rFonts w:hint="default" w:ascii="仿宋_GB2312" w:hAnsi="仿宋" w:eastAsia="仿宋_GB2312" w:cs="Times New Roman"/>
          <w:color w:val="000000" w:themeColor="text1"/>
          <w:kern w:val="0"/>
          <w:sz w:val="30"/>
          <w:szCs w:val="30"/>
          <w:lang w:val="en-US" w:eastAsia="zh-CN"/>
          <w14:textFill>
            <w14:solidFill>
              <w14:schemeClr w14:val="tx1"/>
            </w14:solidFill>
          </w14:textFill>
        </w:rPr>
        <w:t>年</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12</w:t>
      </w:r>
      <w:r>
        <w:rPr>
          <w:rFonts w:hint="default" w:ascii="仿宋_GB2312" w:hAnsi="仿宋" w:eastAsia="仿宋_GB2312" w:cs="Times New Roman"/>
          <w:color w:val="000000" w:themeColor="text1"/>
          <w:kern w:val="0"/>
          <w:sz w:val="30"/>
          <w:szCs w:val="30"/>
          <w:lang w:val="en-US" w:eastAsia="zh-CN"/>
          <w14:textFill>
            <w14:solidFill>
              <w14:schemeClr w14:val="tx1"/>
            </w14:solidFill>
          </w14:textFill>
        </w:rPr>
        <w:t>月</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修订</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default" w:ascii="仿宋_GB2312" w:hAnsi="仿宋" w:eastAsia="仿宋_GB2312" w:cs="Times New Roman"/>
          <w:color w:val="000000" w:themeColor="text1"/>
          <w:kern w:val="0"/>
          <w:sz w:val="30"/>
          <w:szCs w:val="30"/>
          <w:lang w:eastAsia="zh-CN"/>
          <w14:textFill>
            <w14:solidFill>
              <w14:schemeClr w14:val="tx1"/>
            </w14:solidFill>
          </w14:textFill>
        </w:rPr>
      </w:pPr>
      <w:r>
        <w:rPr>
          <w:rFonts w:hint="default" w:ascii="仿宋_GB2312" w:hAnsi="仿宋" w:eastAsia="仿宋_GB2312" w:cs="Times New Roman"/>
          <w:color w:val="000000" w:themeColor="text1"/>
          <w:kern w:val="0"/>
          <w:sz w:val="30"/>
          <w:szCs w:val="30"/>
          <w:lang w:eastAsia="zh-CN"/>
          <w14:textFill>
            <w14:solidFill>
              <w14:schemeClr w14:val="tx1"/>
            </w14:solidFill>
          </w14:textFill>
        </w:rPr>
        <w:t>《中华人民共和国森林法实施条例》（20</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18</w:t>
      </w:r>
      <w:r>
        <w:rPr>
          <w:rFonts w:hint="default" w:ascii="仿宋_GB2312" w:hAnsi="仿宋" w:eastAsia="仿宋_GB2312" w:cs="Times New Roman"/>
          <w:color w:val="000000" w:themeColor="text1"/>
          <w:kern w:val="0"/>
          <w:sz w:val="30"/>
          <w:szCs w:val="30"/>
          <w:lang w:val="en-US" w:eastAsia="zh-CN"/>
          <w14:textFill>
            <w14:solidFill>
              <w14:schemeClr w14:val="tx1"/>
            </w14:solidFill>
          </w14:textFill>
        </w:rPr>
        <w:t>年</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3</w:t>
      </w:r>
      <w:r>
        <w:rPr>
          <w:rFonts w:hint="default" w:ascii="仿宋_GB2312" w:hAnsi="仿宋" w:eastAsia="仿宋_GB2312" w:cs="Times New Roman"/>
          <w:color w:val="000000" w:themeColor="text1"/>
          <w:kern w:val="0"/>
          <w:sz w:val="30"/>
          <w:szCs w:val="30"/>
          <w:lang w:val="en-US" w:eastAsia="zh-CN"/>
          <w14:textFill>
            <w14:solidFill>
              <w14:schemeClr w14:val="tx1"/>
            </w14:solidFill>
          </w14:textFill>
        </w:rPr>
        <w:t>月</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修正</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pPr>
      <w:r>
        <w:rPr>
          <w:rFonts w:hint="default" w:ascii="仿宋_GB2312" w:hAnsi="仿宋" w:eastAsia="仿宋_GB2312" w:cs="Times New Roman"/>
          <w:color w:val="000000" w:themeColor="text1"/>
          <w:kern w:val="0"/>
          <w:sz w:val="30"/>
          <w:szCs w:val="30"/>
          <w:lang w:eastAsia="zh-CN"/>
          <w14:textFill>
            <w14:solidFill>
              <w14:schemeClr w14:val="tx1"/>
            </w14:solidFill>
          </w14:textFill>
        </w:rPr>
        <w:t>《广东省林木林地权属争议调解处理条例》（20</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22</w:t>
      </w:r>
      <w:r>
        <w:rPr>
          <w:rFonts w:hint="default" w:ascii="仿宋_GB2312" w:hAnsi="仿宋" w:eastAsia="仿宋_GB2312" w:cs="Times New Roman"/>
          <w:color w:val="000000" w:themeColor="text1"/>
          <w:kern w:val="0"/>
          <w:sz w:val="30"/>
          <w:szCs w:val="30"/>
          <w:lang w:val="en-US" w:eastAsia="zh-CN"/>
          <w14:textFill>
            <w14:solidFill>
              <w14:schemeClr w14:val="tx1"/>
            </w14:solidFill>
          </w14:textFill>
        </w:rPr>
        <w:t>年</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6</w:t>
      </w:r>
      <w:r>
        <w:rPr>
          <w:rFonts w:hint="default" w:ascii="仿宋_GB2312" w:hAnsi="仿宋" w:eastAsia="仿宋_GB2312" w:cs="Times New Roman"/>
          <w:color w:val="000000" w:themeColor="text1"/>
          <w:kern w:val="0"/>
          <w:sz w:val="30"/>
          <w:szCs w:val="30"/>
          <w:lang w:val="en-US" w:eastAsia="zh-CN"/>
          <w14:textFill>
            <w14:solidFill>
              <w14:schemeClr w14:val="tx1"/>
            </w14:solidFill>
          </w14:textFill>
        </w:rPr>
        <w:t>月</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修正</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pPr>
      <w:r>
        <w:rPr>
          <w:rFonts w:hint="default" w:ascii="仿宋_GB2312" w:hAnsi="仿宋" w:eastAsia="仿宋_GB2312" w:cs="Times New Roman"/>
          <w:color w:val="000000" w:themeColor="text1"/>
          <w:kern w:val="0"/>
          <w:sz w:val="30"/>
          <w:szCs w:val="30"/>
          <w:lang w:eastAsia="zh-CN"/>
          <w14:textFill>
            <w14:solidFill>
              <w14:schemeClr w14:val="tx1"/>
            </w14:solidFill>
          </w14:textFill>
        </w:rPr>
        <w:t>《不动产登记暂行条例》（201</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9</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年</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3</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月</w:t>
      </w: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修正</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pP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《中华人民共和国农村土地承包法》（2018年12月</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pP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《中华人民共和国村民委员会组织法》（2018年12月）</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pP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《农村土地经营权流转管理办法》（2021年1月</w:t>
      </w:r>
      <w:r>
        <w:rPr>
          <w:rFonts w:hint="default" w:ascii="仿宋_GB2312" w:hAnsi="仿宋" w:eastAsia="仿宋_GB2312" w:cs="Times New Roman"/>
          <w:color w:val="000000" w:themeColor="text1"/>
          <w:kern w:val="0"/>
          <w:sz w:val="30"/>
          <w:szCs w:val="30"/>
          <w:lang w:eastAsia="zh-CN"/>
          <w14:textFill>
            <w14:solidFill>
              <w14:schemeClr w14:val="tx1"/>
            </w14:solidFill>
          </w14:textFill>
        </w:rPr>
        <w:t>）</w:t>
      </w:r>
    </w:p>
    <w:p>
      <w:pPr>
        <w:keepNext w:val="0"/>
        <w:keepLines w:val="0"/>
        <w:pageBreakBefore w:val="0"/>
        <w:widowControl/>
        <w:numPr>
          <w:ilvl w:val="0"/>
          <w:numId w:val="2"/>
        </w:numPr>
        <w:kinsoku/>
        <w:wordWrap/>
        <w:overflowPunct/>
        <w:topLinePunct w:val="0"/>
        <w:autoSpaceDN/>
        <w:bidi w:val="0"/>
        <w:adjustRightInd/>
        <w:snapToGrid/>
        <w:spacing w:line="560" w:lineRule="exact"/>
        <w:ind w:firstLine="600" w:firstLineChars="200"/>
        <w:jc w:val="both"/>
        <w:textAlignment w:val="auto"/>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pPr>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《广东省农村集体资产管理条例》（2016年5月修正</w:t>
      </w:r>
      <w:bookmarkStart w:id="0" w:name="_GoBack"/>
      <w:bookmarkEnd w:id="0"/>
      <w:r>
        <w:rPr>
          <w:rFonts w:hint="eastAsia" w:ascii="仿宋_GB2312" w:hAnsi="仿宋" w:eastAsia="仿宋_GB2312" w:cs="Times New Roman"/>
          <w:color w:val="000000" w:themeColor="text1"/>
          <w:kern w:val="0"/>
          <w:sz w:val="30"/>
          <w:szCs w:val="30"/>
          <w:lang w:val="en-US" w:eastAsia="zh-CN"/>
          <w14:textFill>
            <w14:solidFill>
              <w14:schemeClr w14:val="tx1"/>
            </w14:solidFill>
          </w14:textFill>
        </w:rPr>
        <w:t>）</w:t>
      </w:r>
    </w:p>
    <w:p>
      <w:pPr>
        <w:keepNext w:val="0"/>
        <w:keepLines w:val="0"/>
        <w:pageBreakBefore w:val="0"/>
        <w:widowControl/>
        <w:kinsoku/>
        <w:wordWrap/>
        <w:overflowPunct/>
        <w:topLinePunct w:val="0"/>
        <w:autoSpaceDN/>
        <w:bidi w:val="0"/>
        <w:adjustRightInd/>
        <w:snapToGrid/>
        <w:spacing w:line="560" w:lineRule="exact"/>
        <w:ind w:firstLine="640" w:firstLineChars="200"/>
        <w:textAlignment w:val="auto"/>
        <w:rPr>
          <w:rFonts w:hint="default" w:ascii="黑体" w:hAnsi="黑体" w:eastAsia="黑体" w:cs="黑体"/>
          <w:sz w:val="32"/>
          <w:szCs w:val="32"/>
        </w:rPr>
      </w:pPr>
      <w:r>
        <w:rPr>
          <w:rFonts w:hint="default" w:ascii="黑体" w:hAnsi="黑体" w:eastAsia="黑体" w:cs="黑体"/>
          <w:sz w:val="32"/>
          <w:szCs w:val="32"/>
        </w:rPr>
        <w:t>三、主要内容</w:t>
      </w:r>
    </w:p>
    <w:p>
      <w:pPr>
        <w:snapToGrid w:val="0"/>
        <w:spacing w:line="600" w:lineRule="exact"/>
        <w:ind w:firstLine="600" w:firstLineChars="200"/>
        <w:jc w:val="left"/>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《实施方案》全文共六部分，分别为总体要求、</w:t>
      </w:r>
      <w:r>
        <w:rPr>
          <w:rFonts w:hint="default" w:ascii="仿宋_GB2312" w:hAnsi="宋体" w:eastAsia="仿宋_GB2312" w:cs="宋体"/>
          <w:sz w:val="30"/>
          <w:szCs w:val="30"/>
          <w:lang w:eastAsia="zh-CN"/>
        </w:rPr>
        <w:t>流转</w:t>
      </w:r>
      <w:r>
        <w:rPr>
          <w:rFonts w:hint="eastAsia" w:ascii="仿宋_GB2312" w:hAnsi="宋体" w:eastAsia="仿宋_GB2312" w:cs="宋体"/>
          <w:sz w:val="30"/>
          <w:szCs w:val="30"/>
          <w:lang w:val="en-US" w:eastAsia="zh-CN"/>
        </w:rPr>
        <w:t>方式</w:t>
      </w:r>
      <w:r>
        <w:rPr>
          <w:rFonts w:hint="default" w:ascii="仿宋_GB2312" w:hAnsi="宋体" w:eastAsia="仿宋_GB2312" w:cs="宋体"/>
          <w:sz w:val="30"/>
          <w:szCs w:val="30"/>
          <w:lang w:eastAsia="zh-CN"/>
        </w:rPr>
        <w:t>和程序</w:t>
      </w:r>
      <w:r>
        <w:rPr>
          <w:rFonts w:hint="eastAsia" w:ascii="仿宋_GB2312" w:hAnsi="宋体" w:eastAsia="仿宋_GB2312" w:cs="宋体"/>
          <w:sz w:val="30"/>
          <w:szCs w:val="30"/>
          <w:lang w:val="en-US" w:eastAsia="zh-CN"/>
        </w:rPr>
        <w:t>、</w:t>
      </w:r>
      <w:r>
        <w:rPr>
          <w:rFonts w:hint="default" w:ascii="仿宋_GB2312" w:hAnsi="宋体" w:eastAsia="仿宋_GB2312" w:cs="宋体"/>
          <w:sz w:val="30"/>
          <w:szCs w:val="30"/>
          <w:lang w:eastAsia="zh-CN"/>
        </w:rPr>
        <w:t>流转合同</w:t>
      </w:r>
      <w:r>
        <w:rPr>
          <w:rFonts w:hint="eastAsia" w:ascii="仿宋_GB2312" w:hAnsi="宋体" w:eastAsia="仿宋_GB2312" w:cs="宋体"/>
          <w:sz w:val="30"/>
          <w:szCs w:val="30"/>
          <w:lang w:val="en-US" w:eastAsia="zh-CN"/>
        </w:rPr>
        <w:t>的签订和备案</w:t>
      </w:r>
      <w:r>
        <w:rPr>
          <w:rFonts w:hint="default" w:ascii="仿宋_GB2312" w:hAnsi="宋体" w:eastAsia="仿宋_GB2312" w:cs="宋体"/>
          <w:sz w:val="30"/>
          <w:szCs w:val="30"/>
          <w:lang w:eastAsia="zh-CN"/>
        </w:rPr>
        <w:t>、各部门分工与职责、</w:t>
      </w:r>
      <w:r>
        <w:rPr>
          <w:rFonts w:hint="eastAsia" w:ascii="仿宋_GB2312" w:hAnsi="宋体" w:eastAsia="仿宋_GB2312" w:cs="宋体"/>
          <w:sz w:val="30"/>
          <w:szCs w:val="30"/>
          <w:lang w:val="en-US" w:eastAsia="zh-CN"/>
        </w:rPr>
        <w:t>流转保障和其他说明。具体情况如下：</w:t>
      </w:r>
    </w:p>
    <w:p>
      <w:pPr>
        <w:snapToGrid w:val="0"/>
        <w:spacing w:line="600" w:lineRule="exact"/>
        <w:ind w:firstLine="600" w:firstLineChars="200"/>
        <w:jc w:val="left"/>
        <w:rPr>
          <w:rFonts w:hint="default" w:ascii="仿宋_GB2312" w:hAnsi="宋体" w:eastAsia="仿宋_GB2312" w:cs="宋体"/>
          <w:sz w:val="30"/>
          <w:szCs w:val="30"/>
          <w:lang w:val="en-US"/>
        </w:rPr>
      </w:pPr>
      <w:r>
        <w:rPr>
          <w:rFonts w:hint="eastAsia" w:ascii="仿宋_GB2312" w:hAnsi="宋体" w:eastAsia="仿宋_GB2312" w:cs="宋体"/>
          <w:sz w:val="30"/>
          <w:szCs w:val="30"/>
          <w:lang w:eastAsia="zh-CN"/>
        </w:rPr>
        <w:t>（一）</w:t>
      </w:r>
      <w:r>
        <w:rPr>
          <w:rFonts w:hint="eastAsia" w:ascii="仿宋_GB2312" w:hAnsi="宋体" w:eastAsia="仿宋_GB2312" w:cs="宋体"/>
          <w:sz w:val="30"/>
          <w:szCs w:val="30"/>
          <w:lang w:val="en-US" w:eastAsia="zh-CN"/>
        </w:rPr>
        <w:t>总体要求</w:t>
      </w:r>
    </w:p>
    <w:p>
      <w:pPr>
        <w:snapToGrid w:val="0"/>
        <w:spacing w:line="600" w:lineRule="exact"/>
        <w:ind w:firstLine="600" w:firstLineChars="200"/>
        <w:jc w:val="left"/>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阐述《实施方案》制定的指导思想、林地林木</w:t>
      </w:r>
      <w:r>
        <w:rPr>
          <w:rFonts w:hint="default" w:ascii="仿宋_GB2312" w:hAnsi="宋体" w:eastAsia="仿宋_GB2312" w:cs="宋体"/>
          <w:sz w:val="30"/>
          <w:szCs w:val="30"/>
          <w:lang w:eastAsia="zh-CN"/>
        </w:rPr>
        <w:t>流转的适用范围和流转原则。</w:t>
      </w:r>
      <w:r>
        <w:rPr>
          <w:rFonts w:hint="eastAsia" w:ascii="仿宋_GB2312" w:hAnsi="宋体" w:eastAsia="仿宋_GB2312" w:cs="宋体"/>
          <w:sz w:val="30"/>
          <w:szCs w:val="30"/>
          <w:lang w:eastAsia="zh-CN"/>
        </w:rPr>
        <w:t>此外，本章也对流入方</w:t>
      </w:r>
      <w:r>
        <w:rPr>
          <w:rFonts w:hint="eastAsia" w:ascii="仿宋_GB2312" w:hAnsi="宋体" w:eastAsia="仿宋_GB2312" w:cs="宋体"/>
          <w:sz w:val="30"/>
          <w:szCs w:val="30"/>
          <w:lang w:val="en-US" w:eastAsia="zh-CN"/>
        </w:rPr>
        <w:t>资格和流转期限</w:t>
      </w:r>
      <w:r>
        <w:rPr>
          <w:rFonts w:hint="eastAsia" w:ascii="仿宋_GB2312" w:hAnsi="宋体" w:eastAsia="仿宋_GB2312" w:cs="宋体"/>
          <w:sz w:val="30"/>
          <w:szCs w:val="30"/>
          <w:lang w:eastAsia="zh-CN"/>
        </w:rPr>
        <w:t>进行了规定，有利于保障依法流转后林业经济和生态的可持续发展</w:t>
      </w:r>
      <w:r>
        <w:rPr>
          <w:rFonts w:hint="default" w:ascii="仿宋" w:hAnsi="仿宋" w:eastAsia="仿宋" w:cs="仿宋"/>
          <w:i w:val="0"/>
          <w:iCs w:val="0"/>
          <w:caps w:val="0"/>
          <w:color w:val="333333"/>
          <w:spacing w:val="0"/>
          <w:kern w:val="0"/>
          <w:sz w:val="32"/>
          <w:szCs w:val="32"/>
          <w:shd w:val="clear" w:fill="FFFFFF"/>
          <w:lang w:eastAsia="zh-CN" w:bidi="ar"/>
        </w:rPr>
        <w:t>。</w:t>
      </w:r>
    </w:p>
    <w:p>
      <w:pPr>
        <w:numPr>
          <w:ilvl w:val="0"/>
          <w:numId w:val="3"/>
        </w:numPr>
        <w:snapToGrid w:val="0"/>
        <w:spacing w:line="600" w:lineRule="exact"/>
        <w:ind w:firstLine="600" w:firstLineChars="200"/>
        <w:jc w:val="left"/>
        <w:rPr>
          <w:rFonts w:hint="default" w:ascii="仿宋_GB2312" w:hAnsi="宋体" w:eastAsia="仿宋_GB2312" w:cs="宋体"/>
          <w:sz w:val="30"/>
          <w:szCs w:val="30"/>
          <w:lang w:eastAsia="zh-CN"/>
        </w:rPr>
      </w:pPr>
      <w:r>
        <w:rPr>
          <w:rFonts w:hint="default" w:ascii="仿宋_GB2312" w:hAnsi="宋体" w:eastAsia="仿宋_GB2312" w:cs="宋体"/>
          <w:sz w:val="30"/>
          <w:szCs w:val="30"/>
          <w:lang w:eastAsia="zh-CN"/>
        </w:rPr>
        <w:t>流转</w:t>
      </w:r>
      <w:r>
        <w:rPr>
          <w:rFonts w:hint="eastAsia" w:ascii="仿宋_GB2312" w:hAnsi="宋体" w:eastAsia="仿宋_GB2312" w:cs="宋体"/>
          <w:sz w:val="30"/>
          <w:szCs w:val="30"/>
          <w:lang w:val="en-US" w:eastAsia="zh-CN"/>
        </w:rPr>
        <w:t>方式</w:t>
      </w:r>
      <w:r>
        <w:rPr>
          <w:rFonts w:hint="default" w:ascii="仿宋_GB2312" w:hAnsi="宋体" w:eastAsia="仿宋_GB2312" w:cs="宋体"/>
          <w:sz w:val="30"/>
          <w:szCs w:val="30"/>
          <w:lang w:eastAsia="zh-CN"/>
        </w:rPr>
        <w:t>和程序</w:t>
      </w:r>
    </w:p>
    <w:p>
      <w:pPr>
        <w:snapToGrid w:val="0"/>
        <w:spacing w:line="600" w:lineRule="exact"/>
        <w:ind w:firstLine="600" w:firstLineChars="200"/>
        <w:jc w:val="left"/>
        <w:rPr>
          <w:rFonts w:hint="default" w:ascii="仿宋_GB2312" w:hAnsi="宋体" w:eastAsia="仿宋_GB2312" w:cs="宋体"/>
          <w:b w:val="0"/>
          <w:bCs w:val="0"/>
          <w:kern w:val="2"/>
          <w:sz w:val="30"/>
          <w:szCs w:val="30"/>
          <w:lang w:eastAsia="zh-CN" w:bidi="ar-SA"/>
        </w:rPr>
      </w:pPr>
      <w:r>
        <w:rPr>
          <w:rFonts w:hint="default" w:ascii="仿宋_GB2312" w:hAnsi="宋体" w:eastAsia="仿宋_GB2312" w:cs="宋体"/>
          <w:sz w:val="30"/>
          <w:szCs w:val="30"/>
          <w:lang w:eastAsia="zh-CN"/>
        </w:rPr>
        <w:t>本章</w:t>
      </w:r>
      <w:r>
        <w:rPr>
          <w:rFonts w:hint="eastAsia" w:ascii="仿宋_GB2312" w:hAnsi="宋体" w:eastAsia="仿宋_GB2312" w:cs="宋体"/>
          <w:sz w:val="30"/>
          <w:szCs w:val="30"/>
          <w:lang w:val="en-US" w:eastAsia="zh-CN"/>
        </w:rPr>
        <w:t>针对过去存在的林地林木流转不规范</w:t>
      </w:r>
      <w:r>
        <w:rPr>
          <w:rFonts w:hint="default" w:ascii="仿宋_GB2312" w:hAnsi="宋体" w:eastAsia="仿宋_GB2312" w:cs="宋体"/>
          <w:sz w:val="30"/>
          <w:szCs w:val="30"/>
          <w:lang w:eastAsia="zh-CN"/>
        </w:rPr>
        <w:t>的问题</w:t>
      </w:r>
      <w:r>
        <w:rPr>
          <w:rFonts w:hint="eastAsia" w:ascii="仿宋_GB2312" w:hAnsi="宋体" w:eastAsia="仿宋_GB2312" w:cs="宋体"/>
          <w:sz w:val="30"/>
          <w:szCs w:val="30"/>
          <w:lang w:val="en-US" w:eastAsia="zh-CN"/>
        </w:rPr>
        <w:t>，明确规定了各类林地林木流转的方式、程序及规定要求</w:t>
      </w:r>
      <w:r>
        <w:rPr>
          <w:rFonts w:hint="default" w:ascii="仿宋_GB2312" w:hAnsi="宋体" w:eastAsia="仿宋_GB2312" w:cs="宋体"/>
          <w:sz w:val="30"/>
          <w:szCs w:val="30"/>
          <w:lang w:eastAsia="zh-CN"/>
        </w:rPr>
        <w:t>。林地林木可以依法采取出租、转让、转包、互换、入股、抵押等各种方式进行流转。对流转程序和规定区分集体统一经营管理的林地林木和</w:t>
      </w:r>
      <w:r>
        <w:rPr>
          <w:rFonts w:hint="default" w:ascii="仿宋_GB2312" w:hAnsi="宋体" w:eastAsia="仿宋_GB2312" w:cs="宋体"/>
          <w:sz w:val="30"/>
          <w:szCs w:val="30"/>
        </w:rPr>
        <w:t>家庭承包的林地流转、</w:t>
      </w:r>
      <w:r>
        <w:rPr>
          <w:rFonts w:hint="default" w:ascii="仿宋_GB2312" w:hAnsi="宋体" w:eastAsia="仿宋_GB2312" w:cs="宋体"/>
          <w:sz w:val="30"/>
          <w:szCs w:val="30"/>
          <w:lang w:eastAsia="zh-CN"/>
        </w:rPr>
        <w:t>商品林和生态公益林的林地林木流转，同时对再流转和</w:t>
      </w:r>
      <w:r>
        <w:rPr>
          <w:rFonts w:hint="eastAsia" w:ascii="仿宋_GB2312" w:hAnsi="宋体" w:eastAsia="仿宋_GB2312" w:cs="宋体"/>
          <w:b w:val="0"/>
          <w:bCs w:val="0"/>
          <w:kern w:val="2"/>
          <w:sz w:val="30"/>
          <w:szCs w:val="30"/>
          <w:lang w:val="en-US" w:eastAsia="zh-CN" w:bidi="ar-SA"/>
        </w:rPr>
        <w:t>合资、合作、共有的流转</w:t>
      </w:r>
      <w:r>
        <w:rPr>
          <w:rFonts w:hint="default" w:ascii="仿宋_GB2312" w:hAnsi="宋体" w:eastAsia="仿宋_GB2312" w:cs="宋体"/>
          <w:b w:val="0"/>
          <w:bCs w:val="0"/>
          <w:kern w:val="2"/>
          <w:sz w:val="30"/>
          <w:szCs w:val="30"/>
          <w:lang w:eastAsia="zh-CN" w:bidi="ar-SA"/>
        </w:rPr>
        <w:t>等特殊情形也做出了相应规定</w:t>
      </w:r>
      <w:r>
        <w:rPr>
          <w:rFonts w:hint="eastAsia" w:ascii="仿宋_GB2312" w:hAnsi="宋体" w:eastAsia="仿宋_GB2312" w:cs="宋体"/>
          <w:b w:val="0"/>
          <w:bCs w:val="0"/>
          <w:kern w:val="2"/>
          <w:sz w:val="30"/>
          <w:szCs w:val="30"/>
          <w:lang w:eastAsia="zh-CN" w:bidi="ar-SA"/>
        </w:rPr>
        <w:t>。</w:t>
      </w:r>
    </w:p>
    <w:p>
      <w:pPr>
        <w:snapToGrid w:val="0"/>
        <w:spacing w:line="600" w:lineRule="exact"/>
        <w:ind w:firstLine="600" w:firstLineChars="200"/>
        <w:jc w:val="left"/>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（三）</w:t>
      </w:r>
      <w:r>
        <w:rPr>
          <w:rFonts w:hint="default" w:ascii="仿宋_GB2312" w:hAnsi="宋体" w:eastAsia="仿宋_GB2312" w:cs="宋体"/>
          <w:sz w:val="30"/>
          <w:szCs w:val="30"/>
          <w:lang w:eastAsia="zh-CN"/>
        </w:rPr>
        <w:t>流转合同</w:t>
      </w:r>
      <w:r>
        <w:rPr>
          <w:rFonts w:hint="eastAsia" w:ascii="仿宋_GB2312" w:hAnsi="宋体" w:eastAsia="仿宋_GB2312" w:cs="宋体"/>
          <w:sz w:val="30"/>
          <w:szCs w:val="30"/>
          <w:lang w:val="en-US" w:eastAsia="zh-CN"/>
        </w:rPr>
        <w:t>的签订和备案</w:t>
      </w:r>
    </w:p>
    <w:p>
      <w:pPr>
        <w:snapToGrid w:val="0"/>
        <w:spacing w:line="600" w:lineRule="exact"/>
        <w:ind w:firstLine="600" w:firstLineChars="200"/>
        <w:jc w:val="left"/>
        <w:rPr>
          <w:rFonts w:hint="eastAsia" w:ascii="仿宋_GB2312" w:hAnsi="宋体" w:eastAsia="仿宋_GB2312" w:cs="宋体"/>
          <w:sz w:val="30"/>
          <w:szCs w:val="30"/>
          <w:lang w:eastAsia="zh-CN"/>
        </w:rPr>
      </w:pPr>
      <w:r>
        <w:rPr>
          <w:rFonts w:hint="eastAsia" w:ascii="仿宋_GB2312" w:hAnsi="宋体" w:eastAsia="仿宋_GB2312" w:cs="宋体"/>
          <w:sz w:val="30"/>
          <w:szCs w:val="30"/>
          <w:lang w:val="en-US" w:eastAsia="zh-CN"/>
        </w:rPr>
        <w:t>本章</w:t>
      </w:r>
      <w:r>
        <w:rPr>
          <w:rFonts w:hint="default" w:ascii="仿宋_GB2312" w:hAnsi="宋体" w:eastAsia="仿宋_GB2312" w:cs="宋体"/>
          <w:sz w:val="30"/>
          <w:szCs w:val="30"/>
          <w:lang w:eastAsia="zh-CN"/>
        </w:rPr>
        <w:t>针对流转合同不规范的问题，明确了流转合同的内容以及统一的格式文本。为加强对合同的指导和管理，根据上位法建立了</w:t>
      </w:r>
      <w:r>
        <w:rPr>
          <w:rFonts w:hint="eastAsia" w:ascii="仿宋_GB2312" w:hAnsi="宋体" w:eastAsia="仿宋_GB2312" w:cs="宋体"/>
          <w:sz w:val="30"/>
          <w:szCs w:val="30"/>
          <w:lang w:val="en-US" w:eastAsia="zh-CN"/>
        </w:rPr>
        <w:t>林地流转合同备案制度</w:t>
      </w:r>
      <w:r>
        <w:rPr>
          <w:rFonts w:hint="eastAsia" w:ascii="仿宋_GB2312" w:hAnsi="宋体" w:eastAsia="仿宋_GB2312" w:cs="宋体"/>
          <w:sz w:val="30"/>
          <w:szCs w:val="30"/>
          <w:lang w:eastAsia="zh-CN"/>
        </w:rPr>
        <w:t>和流转情况统计制度，对负责备案和统计的工作部门和流入方需提交的材料进行细化规定。</w:t>
      </w:r>
    </w:p>
    <w:p>
      <w:pPr>
        <w:snapToGrid w:val="0"/>
        <w:spacing w:line="600" w:lineRule="exact"/>
        <w:ind w:firstLine="600" w:firstLineChars="200"/>
        <w:jc w:val="left"/>
        <w:rPr>
          <w:rFonts w:hint="default" w:ascii="仿宋_GB2312" w:hAnsi="宋体" w:eastAsia="仿宋_GB2312" w:cs="宋体"/>
          <w:sz w:val="30"/>
          <w:szCs w:val="30"/>
          <w:lang w:val="en-US" w:eastAsia="zh-CN"/>
        </w:rPr>
      </w:pPr>
      <w:r>
        <w:rPr>
          <w:rFonts w:hint="eastAsia" w:ascii="仿宋_GB2312" w:hAnsi="宋体" w:eastAsia="仿宋_GB2312" w:cs="宋体"/>
          <w:sz w:val="30"/>
          <w:szCs w:val="30"/>
          <w:lang w:eastAsia="zh-CN"/>
        </w:rPr>
        <w:t>（四）</w:t>
      </w:r>
      <w:r>
        <w:rPr>
          <w:rFonts w:hint="default" w:ascii="仿宋_GB2312" w:hAnsi="宋体" w:eastAsia="仿宋_GB2312" w:cs="宋体"/>
          <w:sz w:val="30"/>
          <w:szCs w:val="30"/>
          <w:lang w:eastAsia="zh-CN"/>
        </w:rPr>
        <w:t>各部门分工与职责</w:t>
      </w:r>
    </w:p>
    <w:p>
      <w:pPr>
        <w:snapToGrid w:val="0"/>
        <w:spacing w:line="600" w:lineRule="exact"/>
        <w:ind w:firstLine="600" w:firstLineChars="200"/>
        <w:jc w:val="left"/>
        <w:rPr>
          <w:rFonts w:hint="eastAsia"/>
          <w:lang w:eastAsia="zh-CN"/>
        </w:rPr>
      </w:pPr>
      <w:r>
        <w:rPr>
          <w:rFonts w:hint="eastAsia" w:ascii="仿宋_GB2312" w:hAnsi="宋体" w:eastAsia="仿宋_GB2312" w:cs="宋体"/>
          <w:sz w:val="30"/>
          <w:szCs w:val="30"/>
          <w:lang w:eastAsia="zh-CN"/>
        </w:rPr>
        <w:t>为体现依法行政，全面推进林地林木流转规范</w:t>
      </w:r>
      <w:r>
        <w:rPr>
          <w:rFonts w:hint="default" w:ascii="仿宋_GB2312" w:hAnsi="宋体" w:eastAsia="仿宋_GB2312" w:cs="宋体"/>
          <w:sz w:val="30"/>
          <w:szCs w:val="30"/>
          <w:lang w:eastAsia="zh-CN"/>
        </w:rPr>
        <w:t>有序，</w:t>
      </w:r>
      <w:r>
        <w:rPr>
          <w:rFonts w:hint="eastAsia" w:ascii="仿宋_GB2312" w:hAnsi="宋体" w:eastAsia="仿宋_GB2312" w:cs="宋体"/>
          <w:sz w:val="30"/>
          <w:szCs w:val="30"/>
          <w:lang w:eastAsia="zh-CN"/>
        </w:rPr>
        <w:t>本章内容明确了</w:t>
      </w:r>
      <w:r>
        <w:rPr>
          <w:rFonts w:hint="default" w:ascii="仿宋_GB2312" w:hAnsi="宋体" w:eastAsia="仿宋_GB2312" w:cs="宋体"/>
          <w:sz w:val="30"/>
          <w:szCs w:val="30"/>
          <w:lang w:eastAsia="zh-CN"/>
        </w:rPr>
        <w:t>各级在林地林木流转的责任</w:t>
      </w:r>
      <w:r>
        <w:rPr>
          <w:rFonts w:hint="eastAsia" w:ascii="仿宋_GB2312" w:hAnsi="宋体" w:eastAsia="仿宋_GB2312" w:cs="宋体"/>
          <w:sz w:val="30"/>
          <w:szCs w:val="30"/>
          <w:lang w:eastAsia="zh-CN"/>
        </w:rPr>
        <w:t>。</w:t>
      </w:r>
      <w:r>
        <w:rPr>
          <w:rFonts w:hint="default" w:ascii="仿宋_GB2312" w:hAnsi="宋体" w:eastAsia="仿宋_GB2312" w:cs="宋体"/>
          <w:sz w:val="30"/>
          <w:szCs w:val="30"/>
          <w:lang w:eastAsia="zh-CN"/>
        </w:rPr>
        <w:t>区</w:t>
      </w:r>
      <w:r>
        <w:rPr>
          <w:rFonts w:hint="eastAsia" w:ascii="仿宋_GB2312" w:hAnsi="宋体" w:eastAsia="仿宋_GB2312" w:cs="宋体"/>
          <w:sz w:val="30"/>
          <w:szCs w:val="30"/>
          <w:lang w:eastAsia="zh-CN"/>
        </w:rPr>
        <w:t>林业主管部门依法负责本行政区域内林地林木流转的管理和监督职责</w:t>
      </w:r>
      <w:r>
        <w:rPr>
          <w:rFonts w:hint="default" w:ascii="仿宋_GB2312" w:hAnsi="宋体" w:eastAsia="仿宋_GB2312" w:cs="宋体"/>
          <w:sz w:val="30"/>
          <w:szCs w:val="30"/>
          <w:lang w:eastAsia="zh-CN"/>
        </w:rPr>
        <w:t>；区不动产登记中心负责林权登记</w:t>
      </w:r>
      <w:r>
        <w:rPr>
          <w:rFonts w:hint="eastAsia" w:ascii="仿宋_GB2312" w:hAnsi="宋体" w:eastAsia="仿宋_GB2312" w:cs="宋体"/>
          <w:sz w:val="30"/>
          <w:szCs w:val="30"/>
          <w:lang w:eastAsia="zh-CN"/>
        </w:rPr>
        <w:t>；</w:t>
      </w:r>
      <w:r>
        <w:rPr>
          <w:rFonts w:hint="default" w:ascii="仿宋_GB2312" w:hAnsi="宋体" w:eastAsia="仿宋_GB2312" w:cs="宋体"/>
          <w:sz w:val="30"/>
          <w:szCs w:val="30"/>
          <w:lang w:eastAsia="zh-CN"/>
        </w:rPr>
        <w:t>区农业农村和海洋渔业局负责建设和维护农村产权流转交易管理服务平台；各镇政府</w:t>
      </w:r>
      <w:r>
        <w:rPr>
          <w:rFonts w:hint="eastAsia" w:ascii="仿宋_GB2312" w:hAnsi="宋体" w:eastAsia="仿宋_GB2312" w:cs="宋体"/>
          <w:sz w:val="30"/>
          <w:szCs w:val="30"/>
          <w:lang w:eastAsia="zh-CN"/>
        </w:rPr>
        <w:t>负责对流转双方签订合同的指导和管理工作</w:t>
      </w:r>
      <w:r>
        <w:rPr>
          <w:rFonts w:hint="default" w:ascii="仿宋_GB2312" w:hAnsi="宋体" w:eastAsia="仿宋_GB2312" w:cs="宋体"/>
          <w:sz w:val="30"/>
          <w:szCs w:val="30"/>
          <w:lang w:eastAsia="zh-CN"/>
        </w:rPr>
        <w:t>；</w:t>
      </w:r>
      <w:r>
        <w:rPr>
          <w:rFonts w:hint="eastAsia" w:ascii="仿宋_GB2312" w:hAnsi="宋体" w:eastAsia="仿宋_GB2312" w:cs="宋体"/>
          <w:sz w:val="30"/>
          <w:szCs w:val="30"/>
          <w:lang w:eastAsia="zh-CN"/>
        </w:rPr>
        <w:t>农村集体经济组织或者村民委员会、村民小组应当监督流入方合理利用和保护林地林木。</w:t>
      </w:r>
    </w:p>
    <w:p>
      <w:pPr>
        <w:numPr>
          <w:ilvl w:val="0"/>
          <w:numId w:val="4"/>
        </w:numPr>
        <w:snapToGrid w:val="0"/>
        <w:spacing w:line="600" w:lineRule="exact"/>
        <w:ind w:firstLine="600" w:firstLineChars="200"/>
        <w:jc w:val="left"/>
        <w:rPr>
          <w:rFonts w:hint="eastAsia"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 xml:space="preserve">流转保障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_GB2312" w:hAnsi="宋体" w:eastAsia="仿宋_GB2312" w:cs="宋体"/>
          <w:sz w:val="30"/>
          <w:szCs w:val="30"/>
          <w:lang w:val="en-US" w:eastAsia="zh-CN"/>
        </w:rPr>
      </w:pPr>
      <w:r>
        <w:rPr>
          <w:rFonts w:hint="eastAsia" w:ascii="仿宋_GB2312" w:hAnsi="宋体" w:eastAsia="仿宋_GB2312" w:cs="宋体"/>
          <w:sz w:val="30"/>
          <w:szCs w:val="30"/>
          <w:lang w:val="en-US" w:eastAsia="zh-CN"/>
        </w:rPr>
        <w:t>本章从各级各部门要加强宣传流转政策和鼓励农户积极探索新型林业经营模式，对推动林业规模化经营、盘活森林资源资产、营造完善集体林权制度的良好氛围具有积极作用。同时，对流转过程中和后续可能产生的争议以及本方案实施前已经签订的林地流转合同协议提供了解决方法，有利于规范流转秩序，实现依法流转。</w:t>
      </w:r>
    </w:p>
    <w:p>
      <w:pPr>
        <w:snapToGrid w:val="0"/>
        <w:spacing w:line="600" w:lineRule="exact"/>
        <w:ind w:firstLine="600" w:firstLineChars="200"/>
        <w:jc w:val="left"/>
        <w:rPr>
          <w:rFonts w:hint="default" w:ascii="仿宋_GB2312" w:hAnsi="宋体" w:eastAsia="仿宋_GB2312" w:cs="宋体"/>
          <w:sz w:val="30"/>
          <w:szCs w:val="30"/>
          <w:lang w:val="en-US"/>
        </w:rPr>
      </w:pPr>
      <w:r>
        <w:rPr>
          <w:rFonts w:hint="eastAsia" w:ascii="仿宋_GB2312" w:hAnsi="宋体" w:eastAsia="仿宋_GB2312" w:cs="宋体"/>
          <w:sz w:val="30"/>
          <w:szCs w:val="30"/>
          <w:lang w:eastAsia="zh-CN"/>
        </w:rPr>
        <w:t>（六）</w:t>
      </w:r>
      <w:r>
        <w:rPr>
          <w:rFonts w:hint="eastAsia" w:ascii="仿宋_GB2312" w:hAnsi="宋体" w:eastAsia="仿宋_GB2312" w:cs="宋体"/>
          <w:sz w:val="30"/>
          <w:szCs w:val="30"/>
          <w:lang w:val="en-US" w:eastAsia="zh-CN"/>
        </w:rPr>
        <w:t>其他说明</w:t>
      </w:r>
    </w:p>
    <w:p>
      <w:pPr>
        <w:snapToGrid w:val="0"/>
        <w:spacing w:line="600" w:lineRule="exact"/>
        <w:ind w:firstLine="600" w:firstLineChars="200"/>
        <w:jc w:val="left"/>
        <w:rPr>
          <w:rFonts w:hint="eastAsia" w:ascii="仿宋_GB2312" w:hAnsi="宋体" w:eastAsia="仿宋_GB2312" w:cs="宋体"/>
          <w:sz w:val="30"/>
          <w:szCs w:val="30"/>
          <w:lang w:eastAsia="zh-CN"/>
        </w:rPr>
      </w:pPr>
      <w:r>
        <w:rPr>
          <w:rFonts w:hint="eastAsia" w:ascii="仿宋_GB2312" w:hAnsi="宋体" w:eastAsia="仿宋_GB2312" w:cs="宋体"/>
          <w:sz w:val="30"/>
          <w:szCs w:val="30"/>
          <w:lang w:val="en-US" w:eastAsia="zh-CN"/>
        </w:rPr>
        <w:t>对于</w:t>
      </w:r>
      <w:r>
        <w:rPr>
          <w:rFonts w:hint="eastAsia" w:ascii="仿宋_GB2312" w:hAnsi="宋体" w:eastAsia="仿宋_GB2312" w:cs="宋体"/>
          <w:sz w:val="30"/>
          <w:szCs w:val="30"/>
          <w:lang w:eastAsia="zh-CN"/>
        </w:rPr>
        <w:t>本办法的解释单位、生效时间</w:t>
      </w:r>
      <w:r>
        <w:rPr>
          <w:rFonts w:hint="eastAsia" w:ascii="仿宋_GB2312" w:hAnsi="宋体" w:eastAsia="仿宋_GB2312" w:cs="宋体"/>
          <w:sz w:val="30"/>
          <w:szCs w:val="30"/>
          <w:lang w:val="en-US" w:eastAsia="zh-CN"/>
        </w:rPr>
        <w:t>和有效期的说明</w:t>
      </w:r>
      <w:r>
        <w:rPr>
          <w:rFonts w:hint="eastAsia" w:ascii="仿宋_GB2312" w:hAnsi="宋体" w:eastAsia="仿宋_GB2312" w:cs="宋体"/>
          <w:sz w:val="30"/>
          <w:szCs w:val="30"/>
          <w:lang w:eastAsia="zh-CN"/>
        </w:rPr>
        <w:t>。</w:t>
      </w:r>
    </w:p>
    <w:p>
      <w:pPr>
        <w:pStyle w:val="8"/>
        <w:keepNext w:val="0"/>
        <w:keepLines w:val="0"/>
        <w:pageBreakBefore w:val="0"/>
        <w:kinsoku/>
        <w:wordWrap/>
        <w:overflowPunct/>
        <w:topLinePunct w:val="0"/>
        <w:autoSpaceDN/>
        <w:bidi w:val="0"/>
        <w:adjustRightInd/>
        <w:snapToGrid/>
        <w:spacing w:line="560" w:lineRule="exact"/>
        <w:ind w:firstLine="640"/>
        <w:textAlignment w:val="auto"/>
        <w:rPr>
          <w:rFonts w:hint="default" w:ascii="CESI楷体-GB2312" w:hAnsi="CESI楷体-GB2312" w:eastAsia="CESI楷体-GB2312" w:cs="CESI楷体-GB2312"/>
          <w:b/>
          <w:bCs/>
          <w:color w:val="000000" w:themeColor="text1"/>
          <w:sz w:val="32"/>
          <w:szCs w:val="32"/>
          <w:shd w:val="clear" w:color="auto" w:fill="FFFFFF"/>
          <w:lang w:val="en-US" w:eastAsia="zh-CN"/>
          <w14:textFill>
            <w14:solidFill>
              <w14:schemeClr w14:val="tx1"/>
            </w14:solidFill>
          </w14:textFill>
        </w:rPr>
      </w:pPr>
    </w:p>
    <w:sectPr>
      <w:pgSz w:w="11906" w:h="16838"/>
      <w:pgMar w:top="2098" w:right="1633"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黑体-GB2312">
    <w:altName w:val="黑体"/>
    <w:panose1 w:val="02000500000000000000"/>
    <w:charset w:val="86"/>
    <w:family w:val="auto"/>
    <w:pitch w:val="default"/>
    <w:sig w:usb0="00000000" w:usb1="00000000" w:usb2="00000012"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CESI楷体-GB2312">
    <w:altName w:val="宋体"/>
    <w:panose1 w:val="020005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F8997C"/>
    <w:multiLevelType w:val="singleLevel"/>
    <w:tmpl w:val="85F8997C"/>
    <w:lvl w:ilvl="0" w:tentative="0">
      <w:start w:val="2"/>
      <w:numFmt w:val="chineseCounting"/>
      <w:suff w:val="nothing"/>
      <w:lvlText w:val="（%1）"/>
      <w:lvlJc w:val="left"/>
      <w:rPr>
        <w:rFonts w:hint="eastAsia"/>
      </w:rPr>
    </w:lvl>
  </w:abstractNum>
  <w:abstractNum w:abstractNumId="1">
    <w:nsid w:val="B3CEDC02"/>
    <w:multiLevelType w:val="singleLevel"/>
    <w:tmpl w:val="B3CEDC02"/>
    <w:lvl w:ilvl="0" w:tentative="0">
      <w:start w:val="1"/>
      <w:numFmt w:val="chineseCounting"/>
      <w:suff w:val="nothing"/>
      <w:lvlText w:val="（%1）"/>
      <w:lvlJc w:val="left"/>
      <w:rPr>
        <w:rFonts w:hint="eastAsia"/>
      </w:rPr>
    </w:lvl>
  </w:abstractNum>
  <w:abstractNum w:abstractNumId="2">
    <w:nsid w:val="C688678D"/>
    <w:multiLevelType w:val="singleLevel"/>
    <w:tmpl w:val="C688678D"/>
    <w:lvl w:ilvl="0" w:tentative="0">
      <w:start w:val="1"/>
      <w:numFmt w:val="chineseCounting"/>
      <w:suff w:val="nothing"/>
      <w:lvlText w:val="%1、"/>
      <w:lvlJc w:val="left"/>
      <w:rPr>
        <w:rFonts w:hint="eastAsia"/>
      </w:rPr>
    </w:lvl>
  </w:abstractNum>
  <w:abstractNum w:abstractNumId="3">
    <w:nsid w:val="79B58112"/>
    <w:multiLevelType w:val="singleLevel"/>
    <w:tmpl w:val="79B58112"/>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xMjdmNDJmYWNjOTFkZTU3NDhlZThmNGE4MGI1MmEifQ=="/>
  </w:docVars>
  <w:rsids>
    <w:rsidRoot w:val="545C70CA"/>
    <w:rsid w:val="0013093E"/>
    <w:rsid w:val="00243230"/>
    <w:rsid w:val="00335707"/>
    <w:rsid w:val="003C3467"/>
    <w:rsid w:val="004A502E"/>
    <w:rsid w:val="00585523"/>
    <w:rsid w:val="006C3FCE"/>
    <w:rsid w:val="00810814"/>
    <w:rsid w:val="00894586"/>
    <w:rsid w:val="008D59F9"/>
    <w:rsid w:val="008F5A12"/>
    <w:rsid w:val="00916A2F"/>
    <w:rsid w:val="0095336A"/>
    <w:rsid w:val="00A6043A"/>
    <w:rsid w:val="00AB5C2A"/>
    <w:rsid w:val="00B94F80"/>
    <w:rsid w:val="00C127DC"/>
    <w:rsid w:val="00CA54A6"/>
    <w:rsid w:val="00CB1AF1"/>
    <w:rsid w:val="00D103AB"/>
    <w:rsid w:val="00D5617F"/>
    <w:rsid w:val="00F33423"/>
    <w:rsid w:val="02410BFF"/>
    <w:rsid w:val="03771E1D"/>
    <w:rsid w:val="048974BD"/>
    <w:rsid w:val="05A67B3F"/>
    <w:rsid w:val="05E754A2"/>
    <w:rsid w:val="07FAC060"/>
    <w:rsid w:val="0EB3FC09"/>
    <w:rsid w:val="129F5642"/>
    <w:rsid w:val="1AEF4D05"/>
    <w:rsid w:val="1BD7120D"/>
    <w:rsid w:val="1BF703F2"/>
    <w:rsid w:val="1E784EC5"/>
    <w:rsid w:val="1FABE199"/>
    <w:rsid w:val="1FB77B76"/>
    <w:rsid w:val="210D4029"/>
    <w:rsid w:val="23874C53"/>
    <w:rsid w:val="24934712"/>
    <w:rsid w:val="2F472CE6"/>
    <w:rsid w:val="2FB7570D"/>
    <w:rsid w:val="33374C47"/>
    <w:rsid w:val="33BB43BD"/>
    <w:rsid w:val="33BFFD08"/>
    <w:rsid w:val="357FE3E4"/>
    <w:rsid w:val="376D6D8F"/>
    <w:rsid w:val="37EAA04C"/>
    <w:rsid w:val="3C193345"/>
    <w:rsid w:val="3CEE2A5C"/>
    <w:rsid w:val="3F6F4F1D"/>
    <w:rsid w:val="3F7F2359"/>
    <w:rsid w:val="3F7F443B"/>
    <w:rsid w:val="41E46443"/>
    <w:rsid w:val="4B3D7D0F"/>
    <w:rsid w:val="4BF57671"/>
    <w:rsid w:val="4E9A297E"/>
    <w:rsid w:val="4EC602C9"/>
    <w:rsid w:val="4EFF11ED"/>
    <w:rsid w:val="50D32E55"/>
    <w:rsid w:val="545A3F31"/>
    <w:rsid w:val="545C70CA"/>
    <w:rsid w:val="5938516D"/>
    <w:rsid w:val="596A1AB3"/>
    <w:rsid w:val="5BAF12D1"/>
    <w:rsid w:val="5D1217B9"/>
    <w:rsid w:val="5D3454DB"/>
    <w:rsid w:val="5D675084"/>
    <w:rsid w:val="5DAF0A13"/>
    <w:rsid w:val="5F7A4DE6"/>
    <w:rsid w:val="616D0FB3"/>
    <w:rsid w:val="61EC3752"/>
    <w:rsid w:val="64EF71EC"/>
    <w:rsid w:val="67FE7408"/>
    <w:rsid w:val="6B8444E3"/>
    <w:rsid w:val="6CF6CB88"/>
    <w:rsid w:val="6D36D6DE"/>
    <w:rsid w:val="6E5FE4A7"/>
    <w:rsid w:val="6ED842DE"/>
    <w:rsid w:val="6F6BCDC0"/>
    <w:rsid w:val="736A98D0"/>
    <w:rsid w:val="73C536F8"/>
    <w:rsid w:val="7ABC4A10"/>
    <w:rsid w:val="7AFFCB35"/>
    <w:rsid w:val="7DA249E3"/>
    <w:rsid w:val="7E763E39"/>
    <w:rsid w:val="7EB8A156"/>
    <w:rsid w:val="7EFF9088"/>
    <w:rsid w:val="7F3F65BB"/>
    <w:rsid w:val="7FB60CB9"/>
    <w:rsid w:val="7FECE679"/>
    <w:rsid w:val="7FF934A7"/>
    <w:rsid w:val="951E3E3B"/>
    <w:rsid w:val="9C7F2959"/>
    <w:rsid w:val="A761C1F0"/>
    <w:rsid w:val="B59D08D6"/>
    <w:rsid w:val="BE561A3C"/>
    <w:rsid w:val="BF6F6CF6"/>
    <w:rsid w:val="BFF71D74"/>
    <w:rsid w:val="C7FC6AC0"/>
    <w:rsid w:val="CFCC52DA"/>
    <w:rsid w:val="CFDF721C"/>
    <w:rsid w:val="D04EAEE1"/>
    <w:rsid w:val="DD627E35"/>
    <w:rsid w:val="DFF7E811"/>
    <w:rsid w:val="E33FC3F7"/>
    <w:rsid w:val="EB8BC384"/>
    <w:rsid w:val="EB9E36CF"/>
    <w:rsid w:val="EC4FD7BB"/>
    <w:rsid w:val="ECDF8B4A"/>
    <w:rsid w:val="F3EE3738"/>
    <w:rsid w:val="F62510CF"/>
    <w:rsid w:val="F6ED118A"/>
    <w:rsid w:val="F77E7729"/>
    <w:rsid w:val="FC9F0573"/>
    <w:rsid w:val="FD8EA929"/>
    <w:rsid w:val="FDBAD3ED"/>
    <w:rsid w:val="FDBC955B"/>
    <w:rsid w:val="FE8DCB18"/>
    <w:rsid w:val="FE9F0C55"/>
    <w:rsid w:val="FED7122B"/>
    <w:rsid w:val="FF57623F"/>
    <w:rsid w:val="FFDEAE6D"/>
    <w:rsid w:val="FFFBF65E"/>
    <w:rsid w:val="FFFEB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rFonts w:cs="Times New Roman"/>
      <w:kern w:val="0"/>
      <w:sz w:val="24"/>
    </w:rPr>
  </w:style>
  <w:style w:type="paragraph" w:customStyle="1" w:styleId="8">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 w:type="paragraph" w:customStyle="1" w:styleId="9">
    <w:name w:val="List Paragraph"/>
    <w:basedOn w:val="1"/>
    <w:qFormat/>
    <w:uiPriority w:val="99"/>
    <w:pPr>
      <w:ind w:firstLine="420" w:firstLineChars="200"/>
    </w:p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5</Pages>
  <Words>1974</Words>
  <Characters>2021</Characters>
  <Lines>16</Lines>
  <Paragraphs>4</Paragraphs>
  <TotalTime>38</TotalTime>
  <ScaleCrop>false</ScaleCrop>
  <LinksUpToDate>false</LinksUpToDate>
  <CharactersWithSpaces>2022</CharactersWithSpaces>
  <Application>WPS Office_11.1.0.12156_F1E327BC-269C-435d-A152-05C5408002CA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2021-12-03T10:34:00Z</dcterms:created>
  <dc:creator>余铭晖</dc:creator>
  <cp:lastModifiedBy>舍予几点</cp:lastModifiedBy>
  <dcterms:modified xsi:type="dcterms:W3CDTF">2022-09-27T14:25:47Z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2052-11.1.0.12156</vt:lpwstr>
  </property>
  <property fmtid="{D5CDD505-2E9C-101B-9397-08002B2CF9AE}" pid="3" name="ICV">
    <vt:lpwstr>FA56E6A0A9AD4B1D80D2177A8FA88624</vt:lpwstr>
  </property>
</Properties>
</file>