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深圳市</w:t>
      </w:r>
      <w:r>
        <w:rPr>
          <w:rFonts w:hint="eastAsia" w:ascii="方正小标宋_GBK" w:hAnsi="方正小标宋_GBK" w:eastAsia="方正小标宋_GBK" w:cs="方正小标宋_GBK"/>
          <w:sz w:val="44"/>
          <w:szCs w:val="44"/>
          <w:lang w:eastAsia="zh-CN"/>
        </w:rPr>
        <w:t>深汕特别合作区</w:t>
      </w:r>
      <w:r>
        <w:rPr>
          <w:rFonts w:hint="eastAsia" w:ascii="方正小标宋_GBK" w:hAnsi="方正小标宋_GBK" w:eastAsia="方正小标宋_GBK" w:cs="方正小标宋_GBK"/>
          <w:sz w:val="44"/>
          <w:szCs w:val="44"/>
        </w:rPr>
        <w:t>应急管理</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专家管理服务办法</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w:t>
      </w:r>
      <w:r>
        <w:rPr>
          <w:rFonts w:hint="eastAsia" w:ascii="方正小标宋_GBK" w:hAnsi="方正小标宋_GBK" w:eastAsia="方正小标宋_GBK" w:cs="方正小标宋_GBK"/>
          <w:sz w:val="44"/>
          <w:szCs w:val="44"/>
          <w:lang w:eastAsia="zh-CN"/>
        </w:rPr>
        <w:t>征求意见稿</w:t>
      </w:r>
      <w:r>
        <w:rPr>
          <w:rFonts w:hint="eastAsia" w:ascii="方正小标宋_GBK" w:hAnsi="方正小标宋_GBK" w:eastAsia="方正小标宋_GBK" w:cs="方正小标宋_GBK"/>
          <w:sz w:val="44"/>
          <w:szCs w:val="44"/>
        </w:rPr>
        <w:t>）</w:t>
      </w:r>
    </w:p>
    <w:p>
      <w:pPr>
        <w:pStyle w:val="2"/>
        <w:jc w:val="center"/>
        <w:rPr>
          <w:rFonts w:hint="eastAsia" w:ascii="黑体" w:hAnsi="黑体" w:eastAsia="黑体" w:cs="黑体"/>
          <w:sz w:val="32"/>
          <w:szCs w:val="32"/>
          <w:lang w:eastAsia="zh-CN"/>
        </w:rPr>
      </w:pPr>
    </w:p>
    <w:p>
      <w:pPr>
        <w:pStyle w:val="2"/>
        <w:numPr>
          <w:ilvl w:val="0"/>
          <w:numId w:val="1"/>
        </w:numPr>
        <w:jc w:val="cente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总则</w:t>
      </w:r>
    </w:p>
    <w:p>
      <w:pPr>
        <w:pStyle w:val="3"/>
        <w:numPr>
          <w:ilvl w:val="0"/>
          <w:numId w:val="0"/>
        </w:numPr>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第一条</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为充分发挥应急管理专家的决策咨询和技术支撑作用，规范应急管理专家库（以下简称专家库）建设和管理，根据《中华人民共和国突发事件应对法》《广东省突发事件应对条例》《广东省突发事件应急管理专家组工作规则》《</w:t>
      </w:r>
      <w:r>
        <w:rPr>
          <w:rFonts w:hint="eastAsia" w:ascii="仿宋_GB2312" w:hAnsi="仿宋_GB2312" w:eastAsia="仿宋_GB2312" w:cs="仿宋_GB2312"/>
          <w:sz w:val="32"/>
          <w:szCs w:val="32"/>
          <w:lang w:eastAsia="zh-CN"/>
        </w:rPr>
        <w:t>深圳市应急管理专家管理服务办法</w:t>
      </w:r>
      <w:r>
        <w:rPr>
          <w:rFonts w:hint="eastAsia" w:ascii="仿宋_GB2312" w:hAnsi="仿宋_GB2312" w:eastAsia="仿宋_GB2312" w:cs="仿宋_GB2312"/>
          <w:sz w:val="32"/>
          <w:szCs w:val="32"/>
        </w:rPr>
        <w:t>》等有关规定，结合我区实际，制定本办法。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第二条</w:t>
      </w:r>
      <w:r>
        <w:rPr>
          <w:rFonts w:hint="eastAsia" w:ascii="黑体" w:hAnsi="黑体" w:eastAsia="黑体" w:cs="黑体"/>
          <w:sz w:val="32"/>
          <w:szCs w:val="32"/>
        </w:rPr>
        <w:tab/>
      </w:r>
      <w:r>
        <w:rPr>
          <w:rFonts w:hint="eastAsia" w:ascii="仿宋_GB2312" w:hAnsi="仿宋_GB2312" w:eastAsia="仿宋_GB2312" w:cs="仿宋_GB2312"/>
          <w:sz w:val="32"/>
          <w:szCs w:val="32"/>
        </w:rPr>
        <w:t>本办法适用于深圳市深汕特别合作区应急管理专家（以下简称专家）的选聘和管理，以及专家库的建立、使用和维护等。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黑体" w:hAnsi="黑体" w:eastAsia="黑体" w:cs="黑体"/>
          <w:sz w:val="32"/>
          <w:szCs w:val="32"/>
        </w:rPr>
        <w:t>第三条</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lang w:eastAsia="zh-CN"/>
        </w:rPr>
        <w:t>本办法所称应急管理专家是指符合本办法规定的条件和要求，纳入专家库统一管理，为全区安全生产、防灾减灾、应急救援等工作提供决策咨询服务和技术支持的专业人才队伍。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应急管理专家分为提供决策咨询服务的专家咨询委员会专家和提供技术支持的专家委员会专家。</w:t>
      </w:r>
    </w:p>
    <w:p>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第四条</w:t>
      </w:r>
      <w:r>
        <w:rPr>
          <w:rFonts w:hint="eastAsia" w:ascii="仿宋_GB2312" w:hAnsi="仿宋_GB2312" w:eastAsia="仿宋_GB2312" w:cs="仿宋_GB2312"/>
          <w:sz w:val="32"/>
          <w:szCs w:val="32"/>
          <w:lang w:val="en-US" w:eastAsia="zh-CN"/>
        </w:rPr>
        <w:t xml:space="preserve"> 应急管理专家按照专业领域和本区实际进行分级分类管理。</w:t>
      </w:r>
    </w:p>
    <w:p>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第一级分类，包括</w:t>
      </w:r>
      <w:r>
        <w:rPr>
          <w:rFonts w:hint="eastAsia" w:ascii="仿宋_GB2312" w:hAnsi="仿宋_GB2312" w:eastAsia="仿宋_GB2312" w:cs="仿宋_GB2312"/>
          <w:sz w:val="32"/>
          <w:szCs w:val="32"/>
          <w:lang w:val="en-US" w:eastAsia="zh-CN"/>
        </w:rPr>
        <w:t>5个专业领域：事故灾难、自然灾害、公共卫生、社会安全、综合管理；第二级分类的专业组别，根据实际需要具体确定和调整。应急管理专家咨询委员会专家进行一级分类，专家委员会专家进行第一级、第二级分类。</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二级分类中每个专业领域和专业组别均设置组长和副组长。组长、副组长由本行业领域内具有影响力的专家结合个人一员担任，组长、副组长牵头开展组内活动，组织技术研讨或专题调研，适时提出意见建议。</w:t>
      </w:r>
    </w:p>
    <w:p>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第五条</w:t>
      </w:r>
      <w:r>
        <w:rPr>
          <w:rFonts w:hint="eastAsia" w:ascii="仿宋_GB2312" w:hAnsi="仿宋_GB2312" w:eastAsia="仿宋_GB2312" w:cs="仿宋_GB2312"/>
          <w:sz w:val="32"/>
          <w:szCs w:val="32"/>
          <w:lang w:val="en-US" w:eastAsia="zh-CN"/>
        </w:rPr>
        <w:t xml:space="preserve"> 结合《深圳市应急管理专家管理办法》和我区实际，区应急委办负责统筹全区应急管理专家库工作，负责专家咨询委员会和专家委员会的统筹组建、维护和服务，并具体负责事故灾难类、自然灾害类、综合管理类的专家咨询委员会以及专家委员会专家名单的产生和相关类别突发事件处置的专家调度。</w:t>
      </w:r>
    </w:p>
    <w:p>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区卫生健康部门、公安部门分别具体负责公共卫生类、社会安全类的专家咨询委员会以及专家委员会专家名单的产生，和相关类别突发事件处置的专家调度。</w:t>
      </w:r>
    </w:p>
    <w:p>
      <w:pPr>
        <w:pStyle w:val="2"/>
        <w:rPr>
          <w:rFonts w:hint="eastAsia"/>
        </w:rPr>
      </w:pPr>
    </w:p>
    <w:p>
      <w:pPr>
        <w:pStyle w:val="2"/>
        <w:numPr>
          <w:ilvl w:val="0"/>
          <w:numId w:val="1"/>
        </w:numPr>
        <w:jc w:val="center"/>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专家的工作内容和权利义务</w:t>
      </w:r>
    </w:p>
    <w:p>
      <w:pPr>
        <w:pStyle w:val="3"/>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黑体" w:hAnsi="黑体" w:eastAsia="黑体" w:cs="黑体"/>
          <w:sz w:val="32"/>
          <w:szCs w:val="32"/>
        </w:rPr>
        <w:t>第</w:t>
      </w:r>
      <w:r>
        <w:rPr>
          <w:rFonts w:hint="eastAsia" w:ascii="黑体" w:hAnsi="黑体" w:eastAsia="黑体" w:cs="黑体"/>
          <w:sz w:val="32"/>
          <w:szCs w:val="32"/>
          <w:lang w:eastAsia="zh-CN"/>
        </w:rPr>
        <w:t>六</w:t>
      </w:r>
      <w:r>
        <w:rPr>
          <w:rFonts w:hint="eastAsia" w:ascii="黑体" w:hAnsi="黑体" w:eastAsia="黑体" w:cs="黑体"/>
          <w:sz w:val="32"/>
          <w:szCs w:val="32"/>
        </w:rPr>
        <w:t>条</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专家接受区应急委成员单位（以下统称委托单位）的委托，在日常咨询评价、巡查检查、事故调查以及突发事件应对、事故调查、灾害评估等工作中提供智力支持</w:t>
      </w:r>
      <w:r>
        <w:rPr>
          <w:rFonts w:hint="eastAsia" w:ascii="仿宋_GB2312" w:hAnsi="仿宋_GB2312" w:eastAsia="仿宋_GB2312" w:cs="仿宋_GB2312"/>
          <w:sz w:val="32"/>
          <w:szCs w:val="32"/>
          <w:lang w:eastAsia="zh-CN"/>
        </w:rPr>
        <w:t>。</w:t>
      </w:r>
    </w:p>
    <w:p>
      <w:p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eastAsia="zh-CN"/>
        </w:rPr>
        <w:t>第七条</w:t>
      </w:r>
      <w:r>
        <w:rPr>
          <w:rFonts w:hint="eastAsia" w:ascii="仿宋_GB2312" w:hAnsi="仿宋_GB2312" w:eastAsia="仿宋_GB2312" w:cs="仿宋_GB2312"/>
          <w:sz w:val="32"/>
          <w:szCs w:val="32"/>
          <w:lang w:val="en-US" w:eastAsia="zh-CN"/>
        </w:rPr>
        <w:t xml:space="preserve"> 专家咨询委员会专家主要职责包括：</w:t>
      </w:r>
    </w:p>
    <w:p>
      <w:pPr>
        <w:pStyle w:val="2"/>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（一）为区党工委、管委会关于安全生产、防灾减灾、应急救援的决策提供咨询服务；</w:t>
      </w:r>
    </w:p>
    <w:p>
      <w:pPr>
        <w:pStyle w:val="3"/>
        <w:ind w:left="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（二）为全区安全生产、防灾减灾、应急救援工作的重大方针政策、改革发展规划等全局性、战略性、前瞻性的意见和建议；</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（三）应邀参与对重大或特别重大突发事件的分析、研判和应急处置，参与突发事件事后评估工作。</w:t>
      </w:r>
    </w:p>
    <w:p>
      <w:pPr>
        <w:pStyle w:val="2"/>
        <w:ind w:firstLine="640" w:firstLineChars="200"/>
        <w:rPr>
          <w:rFonts w:hint="default"/>
          <w:lang w:eastAsia="zh-CN"/>
        </w:rPr>
      </w:pPr>
      <w:r>
        <w:rPr>
          <w:rFonts w:hint="eastAsia" w:ascii="黑体" w:hAnsi="黑体" w:eastAsia="黑体" w:cs="黑体"/>
          <w:sz w:val="32"/>
          <w:szCs w:val="32"/>
          <w:lang w:val="en-US" w:eastAsia="zh-CN"/>
        </w:rPr>
        <w:t>第八条</w:t>
      </w:r>
      <w:r>
        <w:rPr>
          <w:rFonts w:hint="eastAsia" w:ascii="仿宋_GB2312" w:hAnsi="仿宋_GB2312" w:eastAsia="仿宋_GB2312" w:cs="仿宋_GB2312"/>
          <w:sz w:val="32"/>
          <w:szCs w:val="32"/>
          <w:lang w:val="en-US" w:eastAsia="zh-CN"/>
        </w:rPr>
        <w:t xml:space="preserve"> 专家委员会专家主要职责包括：</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w:t>
      </w:r>
      <w:r>
        <w:rPr>
          <w:rFonts w:hint="eastAsia" w:ascii="仿宋_GB2312" w:hAnsi="仿宋_GB2312" w:eastAsia="仿宋_GB2312" w:cs="仿宋_GB2312"/>
          <w:sz w:val="32"/>
          <w:szCs w:val="32"/>
          <w:lang w:eastAsia="zh-CN"/>
        </w:rPr>
        <w:t>为我区安全生产、防灾减灾、应急救援</w:t>
      </w:r>
      <w:r>
        <w:rPr>
          <w:rFonts w:hint="eastAsia" w:ascii="仿宋_GB2312" w:hAnsi="仿宋_GB2312" w:eastAsia="仿宋_GB2312" w:cs="仿宋_GB2312"/>
          <w:sz w:val="32"/>
          <w:szCs w:val="32"/>
        </w:rPr>
        <w:t>的政策、法规、标准、规范、规划的研究、论证和修订工作</w:t>
      </w:r>
      <w:r>
        <w:rPr>
          <w:rFonts w:hint="eastAsia" w:ascii="仿宋_GB2312" w:hAnsi="仿宋_GB2312" w:eastAsia="仿宋_GB2312" w:cs="仿宋_GB2312"/>
          <w:sz w:val="32"/>
          <w:szCs w:val="32"/>
          <w:lang w:eastAsia="zh-CN"/>
        </w:rPr>
        <w:t>提供技术支持</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（二）参与</w:t>
      </w:r>
      <w:r>
        <w:rPr>
          <w:rFonts w:hint="eastAsia" w:ascii="仿宋_GB2312" w:hAnsi="仿宋_GB2312" w:eastAsia="仿宋_GB2312" w:cs="仿宋_GB2312"/>
          <w:sz w:val="32"/>
          <w:szCs w:val="32"/>
          <w:lang w:eastAsia="zh-CN"/>
        </w:rPr>
        <w:t>安全生产、防灾减灾、应急救援</w:t>
      </w:r>
      <w:r>
        <w:rPr>
          <w:rFonts w:hint="eastAsia" w:ascii="仿宋_GB2312" w:hAnsi="仿宋_GB2312" w:eastAsia="仿宋_GB2312" w:cs="仿宋_GB2312"/>
          <w:sz w:val="32"/>
          <w:szCs w:val="32"/>
        </w:rPr>
        <w:t>领域的各类调研与探讨、学术交流和课题合作，参与</w:t>
      </w:r>
      <w:bookmarkStart w:id="0" w:name="_GoBack"/>
      <w:bookmarkEnd w:id="0"/>
      <w:r>
        <w:rPr>
          <w:rFonts w:hint="eastAsia" w:ascii="仿宋_GB2312" w:hAnsi="仿宋_GB2312" w:eastAsia="仿宋_GB2312" w:cs="仿宋_GB2312"/>
          <w:sz w:val="32"/>
          <w:szCs w:val="32"/>
        </w:rPr>
        <w:t>各类应急演练、宣教培训和公众传播等活动，参与应急预案编制、评审</w:t>
      </w:r>
      <w:r>
        <w:rPr>
          <w:rFonts w:hint="eastAsia" w:ascii="仿宋_GB2312" w:hAnsi="仿宋_GB2312" w:eastAsia="仿宋_GB2312" w:cs="仿宋_GB2312"/>
          <w:sz w:val="32"/>
          <w:szCs w:val="32"/>
          <w:lang w:eastAsia="zh-CN"/>
        </w:rPr>
        <w:t>、宣教培训和公众传播等活动</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（三）参与各类风险评估、会商，提出防范对策，健全</w:t>
      </w:r>
      <w:r>
        <w:rPr>
          <w:rFonts w:hint="eastAsia" w:ascii="仿宋_GB2312" w:hAnsi="仿宋_GB2312" w:eastAsia="仿宋_GB2312" w:cs="仿宋_GB2312"/>
          <w:sz w:val="32"/>
          <w:szCs w:val="32"/>
          <w:lang w:eastAsia="zh-CN"/>
        </w:rPr>
        <w:t>我区</w:t>
      </w:r>
      <w:r>
        <w:rPr>
          <w:rFonts w:hint="eastAsia" w:ascii="仿宋_GB2312" w:hAnsi="仿宋_GB2312" w:eastAsia="仿宋_GB2312" w:cs="仿宋_GB2312"/>
          <w:sz w:val="32"/>
          <w:szCs w:val="32"/>
        </w:rPr>
        <w:t>安全运行风险评价机制；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（四）参与有关部门安全生产执法检查、隐患排查整治、安全督查等工作</w:t>
      </w:r>
      <w:r>
        <w:rPr>
          <w:rFonts w:hint="eastAsia" w:ascii="仿宋_GB2312" w:hAnsi="仿宋_GB2312" w:eastAsia="仿宋_GB2312" w:cs="仿宋_GB2312"/>
          <w:sz w:val="32"/>
          <w:szCs w:val="32"/>
          <w:lang w:eastAsia="zh-CN"/>
        </w:rPr>
        <w:t>，并提供现场技术指导</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（五）参与安全生产事故、自然灾害类等突发事件的应急救援和事故调查评估，为事故鉴定调查评估提供技术支持；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（六）参与</w:t>
      </w:r>
      <w:r>
        <w:rPr>
          <w:rFonts w:hint="eastAsia" w:ascii="仿宋_GB2312" w:hAnsi="仿宋_GB2312" w:eastAsia="仿宋_GB2312" w:cs="仿宋_GB2312"/>
          <w:sz w:val="32"/>
          <w:szCs w:val="32"/>
          <w:lang w:eastAsia="zh-CN"/>
        </w:rPr>
        <w:t>安全生产、防灾减灾、应急救援</w:t>
      </w:r>
      <w:r>
        <w:rPr>
          <w:rFonts w:hint="eastAsia" w:ascii="仿宋_GB2312" w:hAnsi="仿宋_GB2312" w:eastAsia="仿宋_GB2312" w:cs="仿宋_GB2312"/>
          <w:sz w:val="32"/>
          <w:szCs w:val="32"/>
        </w:rPr>
        <w:t>的相关科技成果推荐及鉴定，促进应急管理与安全生产领域的科学技术成果转化；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（七）完成委托单位委托或者交办的其他工作事项。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w:t>
      </w:r>
      <w:r>
        <w:rPr>
          <w:rFonts w:hint="eastAsia" w:ascii="黑体" w:hAnsi="黑体" w:eastAsia="黑体" w:cs="黑体"/>
          <w:sz w:val="32"/>
          <w:szCs w:val="32"/>
          <w:lang w:eastAsia="zh-CN"/>
        </w:rPr>
        <w:t>九</w:t>
      </w:r>
      <w:r>
        <w:rPr>
          <w:rFonts w:hint="eastAsia" w:ascii="黑体" w:hAnsi="黑体" w:eastAsia="黑体" w:cs="黑体"/>
          <w:sz w:val="32"/>
          <w:szCs w:val="32"/>
        </w:rPr>
        <w:t>条</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专家经聘任后，享有以下基本权利：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（一）接受委托参与各类调研、评审、验收、巡查检查、调查评估等工作时，有权根据工作需要，进行现场勘查、调阅相关资料、询问相关人员及参加相关会议；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（二）提出专家意见时，不受任何单位和个人的干预，并有保留个人意见和建议的权利；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（三）对全区应急管理与安全生产工作和本领域的应急管理与安全生产工作提出改进意见和建议。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w:t>
      </w:r>
      <w:r>
        <w:rPr>
          <w:rFonts w:hint="eastAsia" w:ascii="黑体" w:hAnsi="黑体" w:eastAsia="黑体" w:cs="黑体"/>
          <w:sz w:val="32"/>
          <w:szCs w:val="32"/>
          <w:lang w:eastAsia="zh-CN"/>
        </w:rPr>
        <w:t>十</w:t>
      </w:r>
      <w:r>
        <w:rPr>
          <w:rFonts w:hint="eastAsia" w:ascii="黑体" w:hAnsi="黑体" w:eastAsia="黑体" w:cs="黑体"/>
          <w:sz w:val="32"/>
          <w:szCs w:val="32"/>
        </w:rPr>
        <w:t>条</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应急管理专家经聘任后，应当履行以下义务：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（一）认真执行有关法律、法规、标准，坚持原则，遵守职业道德和廉洁自律要求，公正、客观科学地开展工作，不得弄虚作假；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（二）严格遵守国家保密制度，保守国家秘密和个人隐私，保守被服务（调查）对象的商业和技术秘密，不得擅自披露相关信息；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自觉执行回避制度，参加相关评审、验收、巡查检查、调查评估等事项与本人及近亲属或者所在单位存在利害关系，可能影响公正履职的，应当及时主动向委托单位提出需回避的事项，接受委托单位提出的正当回避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（四）遇有突发紧急情况，接受委托单位委托时，应按要求时限到现场提供技术服务，无特殊情况，原则上不得拒绝紧急调遣；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（五）及时如实填写和更新个人信息，记录和反馈参加活动的情况，积极参与专家年度考评；</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rPr>
      </w:pPr>
      <w:r>
        <w:rPr>
          <w:rFonts w:hint="eastAsia" w:ascii="仿宋_GB2312" w:hAnsi="仿宋_GB2312" w:eastAsia="仿宋_GB2312" w:cs="仿宋_GB2312"/>
          <w:kern w:val="2"/>
          <w:sz w:val="32"/>
          <w:szCs w:val="32"/>
          <w:lang w:val="en-US" w:eastAsia="zh-CN" w:bidi="ar-SA"/>
        </w:rPr>
        <w:t>（六）出具专家意见或报告时，应对列明的隐患整改项目标明具体文件依据和法律法规标准条款，且给出切实可行的整改建议；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七</w:t>
      </w:r>
      <w:r>
        <w:rPr>
          <w:rFonts w:hint="eastAsia" w:ascii="仿宋_GB2312" w:hAnsi="仿宋_GB2312" w:eastAsia="仿宋_GB2312" w:cs="仿宋_GB2312"/>
          <w:sz w:val="32"/>
          <w:szCs w:val="32"/>
        </w:rPr>
        <w:t>）未经</w:t>
      </w:r>
      <w:r>
        <w:rPr>
          <w:rFonts w:hint="eastAsia" w:ascii="仿宋_GB2312" w:hAnsi="仿宋_GB2312" w:eastAsia="仿宋_GB2312" w:cs="仿宋_GB2312"/>
          <w:sz w:val="32"/>
          <w:szCs w:val="32"/>
          <w:lang w:eastAsia="zh-CN"/>
        </w:rPr>
        <w:t>委托单位同意</w:t>
      </w:r>
      <w:r>
        <w:rPr>
          <w:rFonts w:hint="eastAsia" w:ascii="仿宋_GB2312" w:hAnsi="仿宋_GB2312" w:eastAsia="仿宋_GB2312" w:cs="仿宋_GB2312"/>
          <w:sz w:val="32"/>
          <w:szCs w:val="32"/>
        </w:rPr>
        <w:t>，不得以深汕特别合作区应急管理专家库成员名义对外从事任何活动；擅自以深汕特别合作区应急管理专家库成员名义对外从事任何活动，产生的后果由专家个人承担。</w:t>
      </w:r>
    </w:p>
    <w:p>
      <w:pPr>
        <w:pStyle w:val="2"/>
        <w:rPr>
          <w:rFonts w:hint="eastAsia" w:ascii="仿宋_GB2312" w:hAnsi="仿宋_GB2312" w:eastAsia="仿宋_GB2312" w:cs="仿宋_GB2312"/>
          <w:sz w:val="32"/>
          <w:szCs w:val="32"/>
        </w:rPr>
      </w:pPr>
    </w:p>
    <w:p>
      <w:pPr>
        <w:pStyle w:val="2"/>
        <w:numPr>
          <w:ilvl w:val="0"/>
          <w:numId w:val="1"/>
        </w:numPr>
        <w:jc w:val="center"/>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专家的基本条件和产生程序</w:t>
      </w:r>
    </w:p>
    <w:p>
      <w:pPr>
        <w:pStyle w:val="3"/>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w:t>
      </w:r>
      <w:r>
        <w:rPr>
          <w:rFonts w:hint="eastAsia" w:ascii="黑体" w:hAnsi="黑体" w:eastAsia="黑体" w:cs="黑体"/>
          <w:sz w:val="32"/>
          <w:szCs w:val="32"/>
          <w:lang w:eastAsia="zh-CN"/>
        </w:rPr>
        <w:t>十一</w:t>
      </w:r>
      <w:r>
        <w:rPr>
          <w:rFonts w:hint="eastAsia" w:ascii="黑体" w:hAnsi="黑体" w:eastAsia="黑体" w:cs="黑体"/>
          <w:sz w:val="32"/>
          <w:szCs w:val="32"/>
        </w:rPr>
        <w:t>条</w:t>
      </w:r>
      <w:r>
        <w:rPr>
          <w:rFonts w:hint="eastAsia" w:ascii="黑体" w:hAnsi="黑体" w:eastAsia="黑体" w:cs="黑体"/>
          <w:sz w:val="32"/>
          <w:szCs w:val="32"/>
        </w:rPr>
        <w:tab/>
      </w:r>
      <w:r>
        <w:rPr>
          <w:rFonts w:hint="eastAsia" w:ascii="仿宋_GB2312" w:hAnsi="仿宋_GB2312" w:eastAsia="仿宋_GB2312" w:cs="仿宋_GB2312"/>
          <w:sz w:val="32"/>
          <w:szCs w:val="32"/>
        </w:rPr>
        <w:t>应急管理专家应具备以下条件：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（一）政治立场坚定，热心</w:t>
      </w:r>
      <w:r>
        <w:rPr>
          <w:rFonts w:hint="eastAsia" w:ascii="仿宋_GB2312" w:hAnsi="仿宋_GB2312" w:eastAsia="仿宋_GB2312" w:cs="仿宋_GB2312"/>
          <w:sz w:val="32"/>
          <w:szCs w:val="32"/>
          <w:lang w:eastAsia="zh-CN"/>
        </w:rPr>
        <w:t>安全生产、防灾减灾、应急救援事业</w:t>
      </w:r>
      <w:r>
        <w:rPr>
          <w:rFonts w:hint="eastAsia" w:ascii="仿宋_GB2312" w:hAnsi="仿宋_GB2312" w:eastAsia="仿宋_GB2312" w:cs="仿宋_GB2312"/>
          <w:sz w:val="32"/>
          <w:szCs w:val="32"/>
        </w:rPr>
        <w:t>，具有良好职业道德；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（二）熟悉</w:t>
      </w:r>
      <w:r>
        <w:rPr>
          <w:rFonts w:hint="eastAsia" w:ascii="仿宋_GB2312" w:hAnsi="仿宋_GB2312" w:eastAsia="仿宋_GB2312" w:cs="仿宋_GB2312"/>
          <w:sz w:val="32"/>
          <w:szCs w:val="32"/>
          <w:lang w:eastAsia="zh-CN"/>
        </w:rPr>
        <w:t>安全生产、防灾减灾、应急救援</w:t>
      </w:r>
      <w:r>
        <w:rPr>
          <w:rFonts w:hint="eastAsia" w:ascii="仿宋_GB2312" w:hAnsi="仿宋_GB2312" w:eastAsia="仿宋_GB2312" w:cs="仿宋_GB2312"/>
          <w:sz w:val="32"/>
          <w:szCs w:val="32"/>
        </w:rPr>
        <w:t>相关</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rPr>
        <w:t>法律、法规、规章、政策和技术标准，具有较高的政策理论水平和专业技术水平，在应急管理和安全生产领域享有一定声誉能深入现场开展相关业务工作，有较强现场发现、分析和解决事故隐患、决策咨询的能力，有较强参与应急处置、事故调查分析、安全生产相关检查、审查等能力，愿意承担且能够胜任专家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（三）学历、工作、技能经历需符合以下任一条件：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1.大专学历，从事</w:t>
      </w:r>
      <w:r>
        <w:rPr>
          <w:rFonts w:hint="eastAsia" w:ascii="仿宋_GB2312" w:hAnsi="仿宋_GB2312" w:eastAsia="仿宋_GB2312" w:cs="仿宋_GB2312"/>
          <w:sz w:val="32"/>
          <w:szCs w:val="32"/>
          <w:lang w:eastAsia="zh-CN"/>
        </w:rPr>
        <w:t>安全生产、防灾减灾、应急救援</w:t>
      </w:r>
      <w:r>
        <w:rPr>
          <w:rFonts w:hint="eastAsia" w:ascii="仿宋_GB2312" w:hAnsi="仿宋_GB2312" w:eastAsia="仿宋_GB2312" w:cs="仿宋_GB2312"/>
          <w:sz w:val="32"/>
          <w:szCs w:val="32"/>
        </w:rPr>
        <w:t>相关工作满12年；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2.本科学历，从事</w:t>
      </w:r>
      <w:r>
        <w:rPr>
          <w:rFonts w:hint="eastAsia" w:ascii="仿宋_GB2312" w:hAnsi="仿宋_GB2312" w:eastAsia="仿宋_GB2312" w:cs="仿宋_GB2312"/>
          <w:sz w:val="32"/>
          <w:szCs w:val="32"/>
          <w:lang w:eastAsia="zh-CN"/>
        </w:rPr>
        <w:t>安全生产、防灾减灾、应急救援</w:t>
      </w:r>
      <w:r>
        <w:rPr>
          <w:rFonts w:hint="eastAsia" w:ascii="仿宋_GB2312" w:hAnsi="仿宋_GB2312" w:eastAsia="仿宋_GB2312" w:cs="仿宋_GB2312"/>
          <w:sz w:val="32"/>
          <w:szCs w:val="32"/>
        </w:rPr>
        <w:t>相关工作满10年；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3.硕士学历，从事</w:t>
      </w:r>
      <w:r>
        <w:rPr>
          <w:rFonts w:hint="eastAsia" w:ascii="仿宋_GB2312" w:hAnsi="仿宋_GB2312" w:eastAsia="仿宋_GB2312" w:cs="仿宋_GB2312"/>
          <w:sz w:val="32"/>
          <w:szCs w:val="32"/>
          <w:lang w:eastAsia="zh-CN"/>
        </w:rPr>
        <w:t>安全生产、防灾减灾、应急救援</w:t>
      </w:r>
      <w:r>
        <w:rPr>
          <w:rFonts w:hint="eastAsia" w:ascii="仿宋_GB2312" w:hAnsi="仿宋_GB2312" w:eastAsia="仿宋_GB2312" w:cs="仿宋_GB2312"/>
          <w:sz w:val="32"/>
          <w:szCs w:val="32"/>
        </w:rPr>
        <w:t>相关工作满8年；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4.博士学历，从事</w:t>
      </w:r>
      <w:r>
        <w:rPr>
          <w:rFonts w:hint="eastAsia" w:ascii="仿宋_GB2312" w:hAnsi="仿宋_GB2312" w:eastAsia="仿宋_GB2312" w:cs="仿宋_GB2312"/>
          <w:sz w:val="32"/>
          <w:szCs w:val="32"/>
          <w:lang w:eastAsia="zh-CN"/>
        </w:rPr>
        <w:t>安全生产、防灾减灾、应急救援</w:t>
      </w:r>
      <w:r>
        <w:rPr>
          <w:rFonts w:hint="eastAsia" w:ascii="仿宋_GB2312" w:hAnsi="仿宋_GB2312" w:eastAsia="仿宋_GB2312" w:cs="仿宋_GB2312"/>
          <w:sz w:val="32"/>
          <w:szCs w:val="32"/>
        </w:rPr>
        <w:t>相关工作满5年；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5.属于在</w:t>
      </w:r>
      <w:r>
        <w:rPr>
          <w:rFonts w:hint="eastAsia" w:ascii="仿宋_GB2312" w:hAnsi="仿宋_GB2312" w:eastAsia="仿宋_GB2312" w:cs="仿宋_GB2312"/>
          <w:sz w:val="32"/>
          <w:szCs w:val="32"/>
          <w:lang w:eastAsia="zh-CN"/>
        </w:rPr>
        <w:t>安全生产、防灾减灾、应急救援</w:t>
      </w:r>
      <w:r>
        <w:rPr>
          <w:rFonts w:hint="eastAsia" w:ascii="仿宋_GB2312" w:hAnsi="仿宋_GB2312" w:eastAsia="仿宋_GB2312" w:cs="仿宋_GB2312"/>
          <w:sz w:val="32"/>
          <w:szCs w:val="32"/>
        </w:rPr>
        <w:t>相关专业领域具有特殊技能（如水下救援、空中救援等）的实用型人才的，经提供相关证明材料，可不受上述学历、工作限制。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满足上述任一条件，且具备中级（含）以上专业技术职称及相当的资格资质并在获得证书后从事相关工作满3年的，优先考虑。</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能深入现场开展相关业务工作，有较强现场发现、分析和解决事故隐患、决策咨询的能力，有较强参与事故调查分析、安全生产相关检查、审查等能力；常居深汕特别合作区、能第一时间响应的专家优先考虑；</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身体健康，年龄不超过65周岁（两院院士、特邀专家除外）；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六</w:t>
      </w:r>
      <w:r>
        <w:rPr>
          <w:rFonts w:hint="eastAsia" w:ascii="仿宋_GB2312" w:hAnsi="仿宋_GB2312" w:eastAsia="仿宋_GB2312" w:cs="仿宋_GB2312"/>
          <w:sz w:val="32"/>
          <w:szCs w:val="32"/>
        </w:rPr>
        <w:t>）未</w:t>
      </w:r>
      <w:r>
        <w:rPr>
          <w:rFonts w:hint="eastAsia" w:ascii="仿宋_GB2312" w:hAnsi="仿宋_GB2312" w:eastAsia="仿宋_GB2312" w:cs="仿宋_GB2312"/>
          <w:sz w:val="32"/>
          <w:szCs w:val="32"/>
          <w:lang w:eastAsia="zh-CN"/>
        </w:rPr>
        <w:t>出现违法违纪等不良记录</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w:t>
      </w:r>
      <w:r>
        <w:rPr>
          <w:rFonts w:hint="eastAsia" w:ascii="黑体" w:hAnsi="黑体" w:eastAsia="黑体" w:cs="黑体"/>
          <w:sz w:val="32"/>
          <w:szCs w:val="32"/>
          <w:lang w:eastAsia="zh-CN"/>
        </w:rPr>
        <w:t>十二</w:t>
      </w:r>
      <w:r>
        <w:rPr>
          <w:rFonts w:hint="eastAsia" w:ascii="黑体" w:hAnsi="黑体" w:eastAsia="黑体" w:cs="黑体"/>
          <w:sz w:val="32"/>
          <w:szCs w:val="32"/>
        </w:rPr>
        <w:t>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应急管理专家库专家以自愿参与、择优选聘为原则，按以下程序聘任：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（一）个人自荐或单位推荐。区相关部门、单位推荐或个人自荐，个人自荐的需征得所在单位同意；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（二）综合评审。区</w:t>
      </w:r>
      <w:r>
        <w:rPr>
          <w:rFonts w:hint="eastAsia" w:ascii="仿宋_GB2312" w:hAnsi="仿宋_GB2312" w:eastAsia="仿宋_GB2312" w:cs="仿宋_GB2312"/>
          <w:sz w:val="32"/>
          <w:szCs w:val="32"/>
          <w:lang w:eastAsia="zh-CN"/>
        </w:rPr>
        <w:t>应急委办</w:t>
      </w:r>
      <w:r>
        <w:rPr>
          <w:rFonts w:hint="eastAsia" w:ascii="仿宋_GB2312" w:hAnsi="仿宋_GB2312" w:eastAsia="仿宋_GB2312" w:cs="仿宋_GB2312"/>
          <w:sz w:val="32"/>
          <w:szCs w:val="32"/>
        </w:rPr>
        <w:t>负责组织综合评审专家的资格条件、专业背景、履职能力，</w:t>
      </w:r>
      <w:r>
        <w:rPr>
          <w:rFonts w:hint="eastAsia" w:ascii="仿宋_GB2312" w:hAnsi="仿宋_GB2312" w:eastAsia="仿宋_GB2312" w:cs="仿宋_GB2312"/>
          <w:sz w:val="32"/>
          <w:szCs w:val="32"/>
          <w:lang w:eastAsia="zh-CN"/>
        </w:rPr>
        <w:t>并将专家按时间灵活度分为常备专家和机动专家，</w:t>
      </w:r>
      <w:r>
        <w:rPr>
          <w:rFonts w:hint="eastAsia" w:ascii="仿宋_GB2312" w:hAnsi="仿宋_GB2312" w:eastAsia="仿宋_GB2312" w:cs="仿宋_GB2312"/>
          <w:sz w:val="32"/>
          <w:szCs w:val="32"/>
        </w:rPr>
        <w:t>提出拟聘专家名单；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（三）名单公示。区</w:t>
      </w:r>
      <w:r>
        <w:rPr>
          <w:rFonts w:hint="eastAsia" w:ascii="仿宋_GB2312" w:hAnsi="仿宋_GB2312" w:eastAsia="仿宋_GB2312" w:cs="仿宋_GB2312"/>
          <w:sz w:val="32"/>
          <w:szCs w:val="32"/>
          <w:lang w:eastAsia="zh-CN"/>
        </w:rPr>
        <w:t>应急委办</w:t>
      </w:r>
      <w:r>
        <w:rPr>
          <w:rFonts w:hint="eastAsia" w:ascii="仿宋_GB2312" w:hAnsi="仿宋_GB2312" w:eastAsia="仿宋_GB2312" w:cs="仿宋_GB2312"/>
          <w:sz w:val="32"/>
          <w:szCs w:val="32"/>
        </w:rPr>
        <w:t>将拟聘专家名单在</w:t>
      </w:r>
      <w:r>
        <w:rPr>
          <w:rFonts w:hint="eastAsia" w:ascii="仿宋_GB2312" w:hAnsi="仿宋_GB2312" w:eastAsia="仿宋_GB2312" w:cs="仿宋_GB2312"/>
          <w:sz w:val="32"/>
          <w:szCs w:val="32"/>
          <w:lang w:eastAsia="zh-CN"/>
        </w:rPr>
        <w:t>深汕特别合作</w:t>
      </w:r>
      <w:r>
        <w:rPr>
          <w:rFonts w:hint="eastAsia" w:ascii="仿宋_GB2312" w:hAnsi="仿宋_GB2312" w:eastAsia="仿宋_GB2312" w:cs="仿宋_GB2312"/>
          <w:sz w:val="32"/>
          <w:szCs w:val="32"/>
        </w:rPr>
        <w:t>区政府门户网站公示7天，公示期满后无异议或经审定异议不成立的，确定为专家库入库专家；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（四）专家聘任。专家库专家实行聘任制，由区</w:t>
      </w:r>
      <w:r>
        <w:rPr>
          <w:rFonts w:hint="eastAsia" w:ascii="仿宋_GB2312" w:hAnsi="仿宋_GB2312" w:eastAsia="仿宋_GB2312" w:cs="仿宋_GB2312"/>
          <w:sz w:val="32"/>
          <w:szCs w:val="32"/>
          <w:lang w:eastAsia="zh-CN"/>
        </w:rPr>
        <w:t>应急委办</w:t>
      </w:r>
      <w:r>
        <w:rPr>
          <w:rFonts w:hint="eastAsia" w:ascii="仿宋_GB2312" w:hAnsi="仿宋_GB2312" w:eastAsia="仿宋_GB2312" w:cs="仿宋_GB2312"/>
          <w:sz w:val="32"/>
          <w:szCs w:val="32"/>
        </w:rPr>
        <w:t>颁发专家聘书和专家工作证，聘期原则上为3年</w:t>
      </w:r>
      <w:r>
        <w:rPr>
          <w:rFonts w:hint="eastAsia" w:ascii="仿宋_GB2312" w:hAnsi="仿宋_GB2312" w:eastAsia="仿宋_GB2312" w:cs="仿宋_GB2312"/>
          <w:sz w:val="32"/>
          <w:szCs w:val="32"/>
          <w:lang w:eastAsia="zh-CN"/>
        </w:rPr>
        <w:t>，聘任期时间自聘任之日起计算，聘任期满后自动解聘；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（五）每届专家任期届满前，区应急委办根据工作需要安排专家换届事宜。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w:t>
      </w:r>
      <w:r>
        <w:rPr>
          <w:rFonts w:hint="eastAsia" w:ascii="黑体" w:hAnsi="黑体" w:eastAsia="黑体" w:cs="黑体"/>
          <w:sz w:val="32"/>
          <w:szCs w:val="32"/>
          <w:lang w:eastAsia="zh-CN"/>
        </w:rPr>
        <w:t>十三</w:t>
      </w:r>
      <w:r>
        <w:rPr>
          <w:rFonts w:hint="eastAsia" w:ascii="黑体" w:hAnsi="黑体" w:eastAsia="黑体" w:cs="黑体"/>
          <w:sz w:val="32"/>
          <w:szCs w:val="32"/>
        </w:rPr>
        <w:t>条</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专家有以下情形之一的，由区</w:t>
      </w:r>
      <w:r>
        <w:rPr>
          <w:rFonts w:hint="eastAsia" w:ascii="仿宋_GB2312" w:hAnsi="仿宋_GB2312" w:eastAsia="仿宋_GB2312" w:cs="仿宋_GB2312"/>
          <w:sz w:val="32"/>
          <w:szCs w:val="32"/>
          <w:lang w:eastAsia="zh-CN"/>
        </w:rPr>
        <w:t>应急委办</w:t>
      </w:r>
      <w:r>
        <w:rPr>
          <w:rFonts w:hint="eastAsia" w:ascii="仿宋_GB2312" w:hAnsi="仿宋_GB2312" w:eastAsia="仿宋_GB2312" w:cs="仿宋_GB2312"/>
          <w:sz w:val="32"/>
          <w:szCs w:val="32"/>
        </w:rPr>
        <w:t>予以解聘：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（一）弄虚作假骗取专家资格的；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（二）违反职业道德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行业规范</w:t>
      </w:r>
      <w:r>
        <w:rPr>
          <w:rFonts w:hint="eastAsia" w:ascii="仿宋_GB2312" w:hAnsi="仿宋_GB2312" w:eastAsia="仿宋_GB2312" w:cs="仿宋_GB2312"/>
          <w:sz w:val="32"/>
          <w:szCs w:val="32"/>
          <w:lang w:eastAsia="zh-CN"/>
        </w:rPr>
        <w:t>和保密要求</w:t>
      </w:r>
      <w:r>
        <w:rPr>
          <w:rFonts w:hint="eastAsia" w:ascii="仿宋_GB2312" w:hAnsi="仿宋_GB2312" w:eastAsia="仿宋_GB2312" w:cs="仿宋_GB2312"/>
          <w:sz w:val="32"/>
          <w:szCs w:val="32"/>
        </w:rPr>
        <w:t>，在执行任务中弄虚作假、谋取私利，做出显失公正或虚假的意见和结论的；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（三）技术工作中出现严重过失，造成不可挽回的损失的；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（四）被</w:t>
      </w:r>
      <w:r>
        <w:rPr>
          <w:rFonts w:hint="eastAsia" w:ascii="仿宋_GB2312" w:hAnsi="仿宋_GB2312" w:eastAsia="仿宋_GB2312" w:cs="仿宋_GB2312"/>
          <w:sz w:val="32"/>
          <w:szCs w:val="32"/>
          <w:lang w:eastAsia="zh-CN"/>
        </w:rPr>
        <w:t>委托</w:t>
      </w:r>
      <w:r>
        <w:rPr>
          <w:rFonts w:hint="eastAsia" w:ascii="仿宋_GB2312" w:hAnsi="仿宋_GB2312" w:eastAsia="仿宋_GB2312" w:cs="仿宋_GB2312"/>
          <w:sz w:val="32"/>
          <w:szCs w:val="32"/>
        </w:rPr>
        <w:t>并且已接受安排开展相关工作时无故缺席的；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（五）聘期内无正当理由</w:t>
      </w:r>
      <w:r>
        <w:rPr>
          <w:rFonts w:hint="eastAsia" w:ascii="仿宋_GB2312" w:hAnsi="仿宋_GB2312" w:eastAsia="仿宋_GB2312" w:cs="仿宋_GB2312"/>
          <w:sz w:val="32"/>
          <w:szCs w:val="32"/>
          <w:lang w:eastAsia="zh-CN"/>
        </w:rPr>
        <w:t>一年内</w:t>
      </w:r>
      <w:r>
        <w:rPr>
          <w:rFonts w:hint="eastAsia" w:ascii="仿宋_GB2312" w:hAnsi="仿宋_GB2312" w:eastAsia="仿宋_GB2312" w:cs="仿宋_GB2312"/>
          <w:sz w:val="32"/>
          <w:szCs w:val="32"/>
          <w:lang w:val="en-US" w:eastAsia="zh-CN"/>
        </w:rPr>
        <w:t>3次不参加区应急委办</w:t>
      </w:r>
      <w:r>
        <w:rPr>
          <w:rFonts w:hint="eastAsia" w:ascii="仿宋_GB2312" w:hAnsi="仿宋_GB2312" w:eastAsia="仿宋_GB2312" w:cs="仿宋_GB2312"/>
          <w:sz w:val="32"/>
          <w:szCs w:val="32"/>
        </w:rPr>
        <w:t>组织、承办或委托的任何活动的；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（六）未经</w:t>
      </w:r>
      <w:r>
        <w:rPr>
          <w:rFonts w:hint="eastAsia" w:ascii="仿宋_GB2312" w:hAnsi="仿宋_GB2312" w:eastAsia="仿宋_GB2312" w:cs="仿宋_GB2312"/>
          <w:sz w:val="32"/>
          <w:szCs w:val="32"/>
          <w:lang w:eastAsia="zh-CN"/>
        </w:rPr>
        <w:t>委托单位</w:t>
      </w:r>
      <w:r>
        <w:rPr>
          <w:rFonts w:hint="eastAsia" w:ascii="仿宋_GB2312" w:hAnsi="仿宋_GB2312" w:eastAsia="仿宋_GB2312" w:cs="仿宋_GB2312"/>
          <w:sz w:val="32"/>
          <w:szCs w:val="32"/>
        </w:rPr>
        <w:t>同意，擅自以</w:t>
      </w:r>
      <w:r>
        <w:rPr>
          <w:rFonts w:hint="eastAsia" w:ascii="仿宋_GB2312" w:hAnsi="仿宋_GB2312" w:eastAsia="仿宋_GB2312" w:cs="仿宋_GB2312"/>
          <w:sz w:val="32"/>
          <w:szCs w:val="32"/>
          <w:lang w:eastAsia="zh-CN"/>
        </w:rPr>
        <w:t>深汕特别合作区</w:t>
      </w:r>
      <w:r>
        <w:rPr>
          <w:rFonts w:hint="eastAsia" w:ascii="仿宋_GB2312" w:hAnsi="仿宋_GB2312" w:eastAsia="仿宋_GB2312" w:cs="仿宋_GB2312"/>
          <w:sz w:val="32"/>
          <w:szCs w:val="32"/>
        </w:rPr>
        <w:t>应急管理专家名义从事任何活动，造成不良影响的；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（七）法律、法规和规章规定的其他违法事项。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w:t>
      </w:r>
      <w:r>
        <w:rPr>
          <w:rFonts w:hint="eastAsia" w:ascii="黑体" w:hAnsi="黑体" w:eastAsia="黑体" w:cs="黑体"/>
          <w:sz w:val="32"/>
          <w:szCs w:val="32"/>
          <w:lang w:eastAsia="zh-CN"/>
        </w:rPr>
        <w:t>四</w:t>
      </w:r>
      <w:r>
        <w:rPr>
          <w:rFonts w:hint="eastAsia" w:ascii="黑体" w:hAnsi="黑体" w:eastAsia="黑体" w:cs="黑体"/>
          <w:sz w:val="32"/>
          <w:szCs w:val="32"/>
        </w:rPr>
        <w:t>条</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对专家库采用动态管理原则：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（一）根据实际工作需要，</w:t>
      </w:r>
      <w:r>
        <w:rPr>
          <w:rFonts w:hint="eastAsia" w:ascii="仿宋_GB2312" w:hAnsi="仿宋_GB2312" w:eastAsia="仿宋_GB2312" w:cs="仿宋_GB2312"/>
          <w:sz w:val="32"/>
          <w:szCs w:val="32"/>
          <w:lang w:eastAsia="zh-CN"/>
        </w:rPr>
        <w:t>按照有关程序和条件，</w:t>
      </w:r>
      <w:r>
        <w:rPr>
          <w:rFonts w:hint="eastAsia" w:ascii="仿宋_GB2312" w:hAnsi="仿宋_GB2312" w:eastAsia="仿宋_GB2312" w:cs="仿宋_GB2312"/>
          <w:sz w:val="32"/>
          <w:szCs w:val="32"/>
        </w:rPr>
        <w:t>对专家</w:t>
      </w:r>
      <w:r>
        <w:rPr>
          <w:rFonts w:hint="eastAsia" w:ascii="仿宋_GB2312" w:hAnsi="仿宋_GB2312" w:eastAsia="仿宋_GB2312" w:cs="仿宋_GB2312"/>
          <w:sz w:val="32"/>
          <w:szCs w:val="32"/>
          <w:lang w:eastAsia="zh-CN"/>
        </w:rPr>
        <w:t>名单</w:t>
      </w:r>
      <w:r>
        <w:rPr>
          <w:rFonts w:hint="eastAsia" w:ascii="仿宋_GB2312" w:hAnsi="仿宋_GB2312" w:eastAsia="仿宋_GB2312" w:cs="仿宋_GB2312"/>
          <w:sz w:val="32"/>
          <w:szCs w:val="32"/>
        </w:rPr>
        <w:t>进行动态增补，动态增补专家的任期截止日与当届任期内的其他专家相同</w:t>
      </w:r>
      <w:r>
        <w:rPr>
          <w:rFonts w:hint="eastAsia" w:ascii="仿宋_GB2312" w:hAnsi="仿宋_GB2312" w:eastAsia="仿宋_GB2312" w:cs="仿宋_GB2312"/>
          <w:sz w:val="32"/>
          <w:szCs w:val="32"/>
          <w:lang w:eastAsia="zh-CN"/>
        </w:rPr>
        <w:t>，并</w:t>
      </w:r>
      <w:r>
        <w:rPr>
          <w:rFonts w:hint="eastAsia" w:ascii="仿宋_GB2312" w:hAnsi="仿宋_GB2312" w:eastAsia="仿宋_GB2312" w:cs="仿宋_GB2312"/>
          <w:sz w:val="32"/>
          <w:szCs w:val="32"/>
        </w:rPr>
        <w:t>将解聘情况书面函告专家及其所在单位，在</w:t>
      </w:r>
      <w:r>
        <w:rPr>
          <w:rFonts w:hint="eastAsia" w:ascii="仿宋_GB2312" w:hAnsi="仿宋_GB2312" w:eastAsia="仿宋_GB2312" w:cs="仿宋_GB2312"/>
          <w:sz w:val="32"/>
          <w:szCs w:val="32"/>
          <w:lang w:eastAsia="zh-CN"/>
        </w:rPr>
        <w:t>深汕特别合作区</w:t>
      </w:r>
      <w:r>
        <w:rPr>
          <w:rFonts w:hint="eastAsia" w:ascii="仿宋_GB2312" w:hAnsi="仿宋_GB2312" w:eastAsia="仿宋_GB2312" w:cs="仿宋_GB2312"/>
          <w:sz w:val="32"/>
          <w:szCs w:val="32"/>
        </w:rPr>
        <w:t>的门户网站</w:t>
      </w:r>
      <w:r>
        <w:rPr>
          <w:rFonts w:hint="eastAsia" w:ascii="仿宋_GB2312" w:hAnsi="仿宋_GB2312" w:eastAsia="仿宋_GB2312" w:cs="仿宋_GB2312"/>
          <w:sz w:val="32"/>
          <w:szCs w:val="32"/>
          <w:lang w:eastAsia="zh-CN"/>
        </w:rPr>
        <w:t>同步</w:t>
      </w:r>
      <w:r>
        <w:rPr>
          <w:rFonts w:hint="eastAsia" w:ascii="仿宋_GB2312" w:hAnsi="仿宋_GB2312" w:eastAsia="仿宋_GB2312" w:cs="仿宋_GB2312"/>
          <w:sz w:val="32"/>
          <w:szCs w:val="32"/>
        </w:rPr>
        <w:t>公示，被解聘专家应将聘书和专家工作证交回区应急</w:t>
      </w:r>
      <w:r>
        <w:rPr>
          <w:rFonts w:hint="eastAsia" w:ascii="仿宋_GB2312" w:hAnsi="仿宋_GB2312" w:eastAsia="仿宋_GB2312" w:cs="仿宋_GB2312"/>
          <w:sz w:val="32"/>
          <w:szCs w:val="32"/>
          <w:lang w:eastAsia="zh-CN"/>
        </w:rPr>
        <w:t>委办</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w:t>
      </w:r>
      <w:r>
        <w:rPr>
          <w:rFonts w:hint="eastAsia" w:ascii="仿宋_GB2312" w:hAnsi="仿宋_GB2312" w:eastAsia="仿宋_GB2312" w:cs="仿宋_GB2312"/>
          <w:sz w:val="32"/>
          <w:szCs w:val="32"/>
          <w:lang w:eastAsia="zh-CN"/>
        </w:rPr>
        <w:t>专家因身体健康、工作变动等原因不能继续履行职责时，经区应急委办与专家沟通后终止资格。</w:t>
      </w:r>
    </w:p>
    <w:p>
      <w:pPr>
        <w:pStyle w:val="2"/>
        <w:rPr>
          <w:rFonts w:hint="eastAsia" w:ascii="仿宋_GB2312" w:hAnsi="仿宋_GB2312" w:eastAsia="仿宋_GB2312" w:cs="仿宋_GB2312"/>
          <w:sz w:val="32"/>
          <w:szCs w:val="32"/>
        </w:rPr>
      </w:pPr>
    </w:p>
    <w:p>
      <w:pPr>
        <w:pStyle w:val="3"/>
        <w:numPr>
          <w:ilvl w:val="0"/>
          <w:numId w:val="1"/>
        </w:numPr>
        <w:ind w:left="0" w:leftChars="0" w:firstLine="0" w:firstLineChars="0"/>
        <w:jc w:val="center"/>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专家的服务和培训</w:t>
      </w:r>
    </w:p>
    <w:p>
      <w:pPr>
        <w:numPr>
          <w:ilvl w:val="0"/>
          <w:numId w:val="0"/>
        </w:numPr>
        <w:ind w:leftChars="0"/>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w:t>
      </w:r>
      <w:r>
        <w:rPr>
          <w:rFonts w:hint="eastAsia" w:ascii="黑体" w:hAnsi="黑体" w:eastAsia="黑体" w:cs="黑体"/>
          <w:sz w:val="32"/>
          <w:szCs w:val="32"/>
          <w:lang w:eastAsia="zh-CN"/>
        </w:rPr>
        <w:t>五</w:t>
      </w:r>
      <w:r>
        <w:rPr>
          <w:rFonts w:hint="eastAsia" w:ascii="黑体" w:hAnsi="黑体" w:eastAsia="黑体" w:cs="黑体"/>
          <w:sz w:val="32"/>
          <w:szCs w:val="32"/>
        </w:rPr>
        <w:t>条</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lang w:eastAsia="zh-CN"/>
        </w:rPr>
        <w:t>坚持“行业对应、业务对应、场景对应”的原则，采取“随机抽取、规范有序”的方式，由区应急委成员单位从专家库中委托专家；</w:t>
      </w:r>
      <w:r>
        <w:rPr>
          <w:rFonts w:hint="eastAsia" w:ascii="仿宋_GB2312" w:hAnsi="仿宋_GB2312" w:eastAsia="仿宋_GB2312" w:cs="仿宋_GB2312"/>
          <w:sz w:val="32"/>
          <w:szCs w:val="32"/>
        </w:rPr>
        <w:t>根据工作特点，委托单位可采用随机抽取和人工选取两种方式从专家库选定专家。对专家库中专家未覆盖的行业领域，工作需要时，也可临时选用库外专家，并参照本办法管理。</w:t>
      </w:r>
    </w:p>
    <w:p>
      <w:pPr>
        <w:pStyle w:val="2"/>
        <w:ind w:firstLine="640" w:firstLineChars="200"/>
        <w:rPr>
          <w:rFonts w:hint="default" w:eastAsia="仿宋_GB2312"/>
          <w:lang w:val="en-US" w:eastAsia="zh-CN"/>
        </w:rPr>
      </w:pPr>
      <w:r>
        <w:rPr>
          <w:rFonts w:hint="eastAsia" w:ascii="黑体" w:hAnsi="黑体" w:eastAsia="黑体" w:cs="黑体"/>
          <w:sz w:val="32"/>
          <w:szCs w:val="32"/>
          <w:lang w:eastAsia="zh-CN"/>
        </w:rPr>
        <w:t>第十六条</w:t>
      </w:r>
      <w:r>
        <w:rPr>
          <w:rFonts w:hint="eastAsia" w:ascii="仿宋_GB2312" w:hAnsi="仿宋_GB2312" w:eastAsia="仿宋_GB2312" w:cs="仿宋_GB2312"/>
          <w:sz w:val="32"/>
          <w:szCs w:val="32"/>
          <w:lang w:val="en-US" w:eastAsia="zh-CN"/>
        </w:rPr>
        <w:t xml:space="preserve"> 专家参与应急管理相关工作结束后，委托单位应及时记录、评价专家履职情况，详细记录本次专家工作任务内容、时间、地点、行业等信息，形成存档记录并提交给区应急委办。</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w:t>
      </w:r>
      <w:r>
        <w:rPr>
          <w:rFonts w:hint="eastAsia" w:ascii="黑体" w:hAnsi="黑体" w:eastAsia="黑体" w:cs="黑体"/>
          <w:sz w:val="32"/>
          <w:szCs w:val="32"/>
          <w:lang w:eastAsia="zh-CN"/>
        </w:rPr>
        <w:t>七</w:t>
      </w:r>
      <w:r>
        <w:rPr>
          <w:rFonts w:hint="eastAsia" w:ascii="黑体" w:hAnsi="黑体" w:eastAsia="黑体" w:cs="黑体"/>
          <w:sz w:val="32"/>
          <w:szCs w:val="32"/>
        </w:rPr>
        <w:t>条</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应急管理专家接受委托从事有关工作时，享有专家劳务费保障，专家劳务费由委托单位承担，具体费用标准参照</w:t>
      </w:r>
      <w:r>
        <w:rPr>
          <w:rFonts w:hint="eastAsia" w:ascii="仿宋_GB2312" w:hAnsi="仿宋_GB2312" w:eastAsia="仿宋_GB2312" w:cs="仿宋_GB2312"/>
          <w:sz w:val="32"/>
          <w:szCs w:val="32"/>
          <w:lang w:eastAsia="zh-CN"/>
        </w:rPr>
        <w:t>相关规定或行业标准</w:t>
      </w:r>
      <w:r>
        <w:rPr>
          <w:rFonts w:hint="eastAsia" w:ascii="仿宋_GB2312" w:hAnsi="仿宋_GB2312" w:eastAsia="仿宋_GB2312" w:cs="仿宋_GB2312"/>
          <w:sz w:val="32"/>
          <w:szCs w:val="32"/>
        </w:rPr>
        <w:t>执行</w:t>
      </w:r>
      <w:r>
        <w:rPr>
          <w:rFonts w:hint="eastAsia" w:ascii="仿宋_GB2312" w:hAnsi="仿宋_GB2312" w:eastAsia="仿宋_GB2312" w:cs="仿宋_GB2312"/>
          <w:sz w:val="32"/>
          <w:szCs w:val="32"/>
          <w:lang w:eastAsia="zh-CN"/>
        </w:rPr>
        <w:t>，存在多项标准或标准冲突时，按照“就高”原则确定补贴费用</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w:t>
      </w:r>
      <w:r>
        <w:rPr>
          <w:rFonts w:hint="eastAsia" w:ascii="黑体" w:hAnsi="黑体" w:eastAsia="黑体" w:cs="黑体"/>
          <w:sz w:val="32"/>
          <w:szCs w:val="32"/>
          <w:lang w:eastAsia="zh-CN"/>
        </w:rPr>
        <w:t>八</w:t>
      </w:r>
      <w:r>
        <w:rPr>
          <w:rFonts w:hint="eastAsia" w:ascii="黑体" w:hAnsi="黑体" w:eastAsia="黑体" w:cs="黑体"/>
          <w:sz w:val="32"/>
          <w:szCs w:val="32"/>
        </w:rPr>
        <w:t>条</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因工作需要，可安排专家离开本区出差工作，差旅费由委托单位承担，但不得安排专家赴境外工作，专家有技术职称且具有对应行政职务级别的，差旅费标准按《市直党政机关和事业单位差旅费管理办法》规定的相应级别对应标准执行，没有明确的，按其他人员对应标准执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w:t>
      </w:r>
      <w:r>
        <w:rPr>
          <w:rFonts w:hint="eastAsia" w:ascii="黑体" w:hAnsi="黑体" w:eastAsia="黑体" w:cs="黑体"/>
          <w:sz w:val="32"/>
          <w:szCs w:val="32"/>
          <w:lang w:eastAsia="zh-CN"/>
        </w:rPr>
        <w:t>九</w:t>
      </w:r>
      <w:r>
        <w:rPr>
          <w:rFonts w:hint="eastAsia" w:ascii="黑体" w:hAnsi="黑体" w:eastAsia="黑体" w:cs="黑体"/>
          <w:sz w:val="32"/>
          <w:szCs w:val="32"/>
        </w:rPr>
        <w:t>条</w:t>
      </w:r>
      <w:r>
        <w:rPr>
          <w:rFonts w:hint="eastAsia" w:ascii="黑体" w:hAnsi="黑体" w:eastAsia="黑体" w:cs="黑体"/>
          <w:sz w:val="32"/>
          <w:szCs w:val="32"/>
        </w:rPr>
        <w:tab/>
      </w:r>
      <w:r>
        <w:rPr>
          <w:rFonts w:hint="eastAsia" w:ascii="仿宋_GB2312" w:hAnsi="仿宋_GB2312" w:eastAsia="仿宋_GB2312" w:cs="仿宋_GB2312"/>
          <w:sz w:val="32"/>
          <w:szCs w:val="32"/>
        </w:rPr>
        <w:t>区应急委</w:t>
      </w:r>
      <w:r>
        <w:rPr>
          <w:rFonts w:hint="eastAsia" w:ascii="仿宋_GB2312" w:hAnsi="仿宋_GB2312" w:eastAsia="仿宋_GB2312" w:cs="仿宋_GB2312"/>
          <w:sz w:val="32"/>
          <w:szCs w:val="32"/>
          <w:lang w:eastAsia="zh-CN"/>
        </w:rPr>
        <w:t>办</w:t>
      </w:r>
      <w:r>
        <w:rPr>
          <w:rFonts w:hint="eastAsia" w:ascii="仿宋_GB2312" w:hAnsi="仿宋_GB2312" w:eastAsia="仿宋_GB2312" w:cs="仿宋_GB2312"/>
          <w:sz w:val="32"/>
          <w:szCs w:val="32"/>
        </w:rPr>
        <w:t>不定期地针对典型突发事件预防和处置，组织</w:t>
      </w:r>
      <w:r>
        <w:rPr>
          <w:rFonts w:hint="eastAsia" w:ascii="仿宋_GB2312" w:hAnsi="仿宋_GB2312" w:eastAsia="仿宋_GB2312" w:cs="仿宋_GB2312"/>
          <w:sz w:val="32"/>
          <w:szCs w:val="32"/>
          <w:lang w:eastAsia="zh-CN"/>
        </w:rPr>
        <w:t>专家开展</w:t>
      </w:r>
      <w:r>
        <w:rPr>
          <w:rFonts w:hint="eastAsia" w:ascii="仿宋_GB2312" w:hAnsi="仿宋_GB2312" w:eastAsia="仿宋_GB2312" w:cs="仿宋_GB2312"/>
          <w:sz w:val="32"/>
          <w:szCs w:val="32"/>
        </w:rPr>
        <w:t>日常培训和演练</w:t>
      </w:r>
      <w:r>
        <w:rPr>
          <w:rFonts w:hint="eastAsia" w:ascii="仿宋_GB2312" w:hAnsi="仿宋_GB2312" w:eastAsia="仿宋_GB2312" w:cs="仿宋_GB2312"/>
          <w:sz w:val="32"/>
          <w:szCs w:val="32"/>
          <w:lang w:eastAsia="zh-CN"/>
        </w:rPr>
        <w:t>，定期组织专家活动，建立日常联络沟通机制</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w:t>
      </w:r>
      <w:r>
        <w:rPr>
          <w:rFonts w:hint="eastAsia" w:ascii="黑体" w:hAnsi="黑体" w:eastAsia="黑体" w:cs="黑体"/>
          <w:sz w:val="32"/>
          <w:szCs w:val="32"/>
          <w:lang w:eastAsia="zh-CN"/>
        </w:rPr>
        <w:t>二十</w:t>
      </w:r>
      <w:r>
        <w:rPr>
          <w:rFonts w:hint="eastAsia" w:ascii="黑体" w:hAnsi="黑体" w:eastAsia="黑体" w:cs="黑体"/>
          <w:sz w:val="32"/>
          <w:szCs w:val="32"/>
        </w:rPr>
        <w:t>条</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区应急委</w:t>
      </w:r>
      <w:r>
        <w:rPr>
          <w:rFonts w:hint="eastAsia" w:ascii="仿宋_GB2312" w:hAnsi="仿宋_GB2312" w:eastAsia="仿宋_GB2312" w:cs="仿宋_GB2312"/>
          <w:sz w:val="32"/>
          <w:szCs w:val="32"/>
          <w:lang w:eastAsia="zh-CN"/>
        </w:rPr>
        <w:t>办</w:t>
      </w:r>
      <w:r>
        <w:rPr>
          <w:rFonts w:hint="eastAsia" w:ascii="仿宋_GB2312" w:hAnsi="仿宋_GB2312" w:eastAsia="仿宋_GB2312" w:cs="仿宋_GB2312"/>
          <w:sz w:val="32"/>
          <w:szCs w:val="32"/>
        </w:rPr>
        <w:t>可根据需要制定专家考核标准，实行定期考评，作为表彰专家的依据。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w:t>
      </w:r>
      <w:r>
        <w:rPr>
          <w:rFonts w:hint="eastAsia" w:ascii="黑体" w:hAnsi="黑体" w:eastAsia="黑体" w:cs="黑体"/>
          <w:sz w:val="32"/>
          <w:szCs w:val="32"/>
          <w:lang w:eastAsia="zh-CN"/>
        </w:rPr>
        <w:t>二十一</w:t>
      </w:r>
      <w:r>
        <w:rPr>
          <w:rFonts w:hint="eastAsia" w:ascii="黑体" w:hAnsi="黑体" w:eastAsia="黑体" w:cs="黑体"/>
          <w:sz w:val="32"/>
          <w:szCs w:val="32"/>
        </w:rPr>
        <w:t>条</w:t>
      </w:r>
      <w:r>
        <w:rPr>
          <w:rFonts w:hint="eastAsia" w:ascii="黑体" w:hAnsi="黑体" w:eastAsia="黑体" w:cs="黑体"/>
          <w:sz w:val="32"/>
          <w:szCs w:val="32"/>
        </w:rPr>
        <w:tab/>
      </w:r>
      <w:r>
        <w:rPr>
          <w:rFonts w:hint="eastAsia" w:ascii="仿宋_GB2312" w:hAnsi="仿宋_GB2312" w:eastAsia="仿宋_GB2312" w:cs="仿宋_GB2312"/>
          <w:sz w:val="32"/>
          <w:szCs w:val="32"/>
        </w:rPr>
        <w:t>区各有关部门、单位应当支持应急管理专家工作，对应急管理专家在参加任务过程中遇到的实际问题或其他正当需求，委托单位应积极协调解决。</w:t>
      </w:r>
    </w:p>
    <w:p>
      <w:pPr>
        <w:pStyle w:val="2"/>
        <w:ind w:firstLine="640" w:firstLineChars="200"/>
        <w:rPr>
          <w:rFonts w:hint="default" w:eastAsia="仿宋_GB2312"/>
          <w:lang w:val="en-US" w:eastAsia="zh-CN"/>
        </w:rPr>
      </w:pPr>
      <w:r>
        <w:rPr>
          <w:rFonts w:hint="eastAsia" w:ascii="黑体" w:hAnsi="黑体" w:eastAsia="黑体" w:cs="黑体"/>
          <w:sz w:val="32"/>
          <w:szCs w:val="32"/>
          <w:lang w:eastAsia="zh-CN"/>
        </w:rPr>
        <w:t>第</w:t>
      </w:r>
      <w:r>
        <w:rPr>
          <w:rFonts w:hint="eastAsia" w:ascii="黑体" w:hAnsi="黑体" w:eastAsia="黑体" w:cs="黑体"/>
          <w:sz w:val="32"/>
          <w:szCs w:val="32"/>
          <w:lang w:val="en-US" w:eastAsia="zh-CN"/>
        </w:rPr>
        <w:t>二十二条</w:t>
      </w:r>
      <w:r>
        <w:rPr>
          <w:rFonts w:hint="eastAsia" w:ascii="仿宋_GB2312" w:hAnsi="仿宋_GB2312" w:eastAsia="仿宋_GB2312" w:cs="仿宋_GB2312"/>
          <w:sz w:val="32"/>
          <w:szCs w:val="32"/>
          <w:lang w:val="en-US" w:eastAsia="zh-CN"/>
        </w:rPr>
        <w:t xml:space="preserve"> 区应急委办应召开年度专家工作会议，汇总专家意见或建议，对专家工作进行总结，对积极支持参与应急管理相关工作的专家给予表扬并颁发相关证书。</w:t>
      </w:r>
    </w:p>
    <w:p>
      <w:pPr>
        <w:pStyle w:val="2"/>
        <w:rPr>
          <w:rFonts w:hint="eastAsia" w:ascii="仿宋_GB2312" w:hAnsi="仿宋_GB2312" w:eastAsia="仿宋_GB2312" w:cs="仿宋_GB2312"/>
          <w:sz w:val="32"/>
          <w:szCs w:val="32"/>
        </w:rPr>
      </w:pPr>
    </w:p>
    <w:p>
      <w:pPr>
        <w:pStyle w:val="3"/>
        <w:numPr>
          <w:ilvl w:val="0"/>
          <w:numId w:val="1"/>
        </w:numPr>
        <w:ind w:left="0" w:leftChars="0" w:firstLine="0" w:firstLineChars="0"/>
        <w:jc w:val="center"/>
        <w:rPr>
          <w:rFonts w:hint="default"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附则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w:t>
      </w:r>
      <w:r>
        <w:rPr>
          <w:rFonts w:hint="eastAsia" w:ascii="黑体" w:hAnsi="黑体" w:eastAsia="黑体" w:cs="黑体"/>
          <w:sz w:val="32"/>
          <w:szCs w:val="32"/>
          <w:lang w:eastAsia="zh-CN"/>
        </w:rPr>
        <w:t>二十三</w:t>
      </w:r>
      <w:r>
        <w:rPr>
          <w:rFonts w:hint="eastAsia" w:ascii="黑体" w:hAnsi="黑体" w:eastAsia="黑体" w:cs="黑体"/>
          <w:sz w:val="32"/>
          <w:szCs w:val="32"/>
        </w:rPr>
        <w:t>条</w:t>
      </w:r>
      <w:r>
        <w:rPr>
          <w:rFonts w:hint="eastAsia" w:ascii="黑体" w:hAnsi="黑体" w:eastAsia="黑体" w:cs="黑体"/>
          <w:sz w:val="32"/>
          <w:szCs w:val="32"/>
        </w:rPr>
        <w:tab/>
      </w:r>
      <w:r>
        <w:rPr>
          <w:rFonts w:hint="eastAsia" w:ascii="仿宋_GB2312" w:hAnsi="仿宋_GB2312" w:eastAsia="仿宋_GB2312" w:cs="仿宋_GB2312"/>
          <w:sz w:val="32"/>
          <w:szCs w:val="32"/>
        </w:rPr>
        <w:t>本办法由</w:t>
      </w:r>
      <w:r>
        <w:rPr>
          <w:rFonts w:hint="eastAsia" w:ascii="仿宋_GB2312" w:hAnsi="仿宋_GB2312" w:eastAsia="仿宋_GB2312" w:cs="仿宋_GB2312"/>
          <w:sz w:val="32"/>
          <w:szCs w:val="32"/>
          <w:lang w:eastAsia="zh-CN"/>
        </w:rPr>
        <w:t>区应急委办</w:t>
      </w:r>
      <w:r>
        <w:rPr>
          <w:rFonts w:hint="eastAsia" w:ascii="仿宋_GB2312" w:hAnsi="仿宋_GB2312" w:eastAsia="仿宋_GB2312" w:cs="仿宋_GB2312"/>
          <w:sz w:val="32"/>
          <w:szCs w:val="32"/>
        </w:rPr>
        <w:t>负责解释。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w:t>
      </w:r>
      <w:r>
        <w:rPr>
          <w:rFonts w:hint="eastAsia" w:ascii="黑体" w:hAnsi="黑体" w:eastAsia="黑体" w:cs="黑体"/>
          <w:sz w:val="32"/>
          <w:szCs w:val="32"/>
          <w:lang w:eastAsia="zh-CN"/>
        </w:rPr>
        <w:t>二十四</w:t>
      </w:r>
      <w:r>
        <w:rPr>
          <w:rFonts w:hint="eastAsia" w:ascii="黑体" w:hAnsi="黑体" w:eastAsia="黑体" w:cs="黑体"/>
          <w:sz w:val="32"/>
          <w:szCs w:val="32"/>
        </w:rPr>
        <w:t>条</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 本办法自2022年x月x日起施行，有效期3年。</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br w:type="page"/>
      </w:r>
    </w:p>
    <w:p>
      <w:pPr>
        <w:pStyle w:val="2"/>
        <w:keepNext w:val="0"/>
        <w:keepLines w:val="0"/>
        <w:pageBreakBefore w:val="0"/>
        <w:widowControl w:val="0"/>
        <w:kinsoku/>
        <w:wordWrap/>
        <w:overflowPunct/>
        <w:topLinePunct w:val="0"/>
        <w:autoSpaceDE/>
        <w:autoSpaceDN/>
        <w:bidi w:val="0"/>
        <w:adjustRightInd/>
        <w:snapToGrid/>
        <w:ind w:left="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附件：</w:t>
      </w:r>
    </w:p>
    <w:p>
      <w:pPr>
        <w:pStyle w:val="3"/>
        <w:keepNext w:val="0"/>
        <w:keepLines w:val="0"/>
        <w:pageBreakBefore w:val="0"/>
        <w:widowControl w:val="0"/>
        <w:kinsoku/>
        <w:wordWrap/>
        <w:overflowPunct/>
        <w:topLinePunct w:val="0"/>
        <w:autoSpaceDE/>
        <w:autoSpaceDN/>
        <w:bidi w:val="0"/>
        <w:adjustRightInd/>
        <w:snapToGrid/>
        <w:ind w:left="0"/>
        <w:textAlignment w:val="auto"/>
        <w:rPr>
          <w:rFonts w:hint="eastAsia"/>
          <w:lang w:eastAsia="zh-CN"/>
        </w:rPr>
      </w:pPr>
    </w:p>
    <w:p>
      <w:pPr>
        <w:pStyle w:val="3"/>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应急管理专家库分级分类表</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1"/>
        <w:gridCol w:w="3433"/>
        <w:gridCol w:w="44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1" w:type="dxa"/>
            <w:vAlign w:val="center"/>
          </w:tcPr>
          <w:p>
            <w:pPr>
              <w:pStyle w:val="3"/>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序号</w:t>
            </w:r>
          </w:p>
        </w:tc>
        <w:tc>
          <w:tcPr>
            <w:tcW w:w="3433" w:type="dxa"/>
            <w:vAlign w:val="center"/>
          </w:tcPr>
          <w:p>
            <w:pPr>
              <w:pStyle w:val="3"/>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一级（领域）</w:t>
            </w:r>
          </w:p>
        </w:tc>
        <w:tc>
          <w:tcPr>
            <w:tcW w:w="4486" w:type="dxa"/>
            <w:vAlign w:val="center"/>
          </w:tcPr>
          <w:p>
            <w:pPr>
              <w:pStyle w:val="3"/>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二级（组别）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1" w:type="dxa"/>
            <w:vAlign w:val="center"/>
          </w:tcPr>
          <w:p>
            <w:pPr>
              <w:pStyle w:val="3"/>
              <w:keepNext w:val="0"/>
              <w:keepLines w:val="0"/>
              <w:pageBreakBefore w:val="0"/>
              <w:widowControl w:val="0"/>
              <w:numPr>
                <w:ilvl w:val="0"/>
                <w:numId w:val="4"/>
              </w:numPr>
              <w:kinsoku/>
              <w:wordWrap/>
              <w:overflowPunct/>
              <w:topLinePunct w:val="0"/>
              <w:autoSpaceDE/>
              <w:autoSpaceDN/>
              <w:bidi w:val="0"/>
              <w:adjustRightInd/>
              <w:snapToGrid/>
              <w:ind w:left="425" w:leftChars="0" w:hanging="425" w:firstLineChars="0"/>
              <w:jc w:val="center"/>
              <w:textAlignment w:val="auto"/>
              <w:rPr>
                <w:rFonts w:hint="eastAsia" w:ascii="仿宋_GB2312" w:hAnsi="仿宋_GB2312" w:eastAsia="仿宋_GB2312" w:cs="仿宋_GB2312"/>
                <w:sz w:val="32"/>
                <w:szCs w:val="32"/>
                <w:vertAlign w:val="baseline"/>
                <w:lang w:eastAsia="zh-CN"/>
              </w:rPr>
            </w:pPr>
          </w:p>
        </w:tc>
        <w:tc>
          <w:tcPr>
            <w:tcW w:w="3433" w:type="dxa"/>
            <w:vMerge w:val="restart"/>
            <w:vAlign w:val="center"/>
          </w:tcPr>
          <w:p>
            <w:pPr>
              <w:bidi w:val="0"/>
              <w:jc w:val="center"/>
              <w:rPr>
                <w:rFonts w:hint="default"/>
                <w:lang w:val="en-US" w:eastAsia="zh-CN"/>
              </w:rPr>
            </w:pPr>
            <w:r>
              <w:rPr>
                <w:rFonts w:hint="eastAsia" w:ascii="仿宋_GB2312" w:hAnsi="仿宋_GB2312" w:eastAsia="仿宋_GB2312" w:cs="仿宋_GB2312"/>
                <w:kern w:val="2"/>
                <w:sz w:val="32"/>
                <w:szCs w:val="32"/>
                <w:vertAlign w:val="baseline"/>
                <w:lang w:val="en-US" w:eastAsia="zh-CN" w:bidi="ar-SA"/>
              </w:rPr>
              <w:t>1.事故灾难</w:t>
            </w:r>
          </w:p>
        </w:tc>
        <w:tc>
          <w:tcPr>
            <w:tcW w:w="4486" w:type="dxa"/>
            <w:vAlign w:val="center"/>
          </w:tcPr>
          <w:p>
            <w:pPr>
              <w:pStyle w:val="3"/>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eastAsia="zh-CN"/>
              </w:rPr>
              <w:t>工商贸组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1" w:type="dxa"/>
            <w:vAlign w:val="center"/>
          </w:tcPr>
          <w:p>
            <w:pPr>
              <w:pStyle w:val="3"/>
              <w:keepNext w:val="0"/>
              <w:keepLines w:val="0"/>
              <w:pageBreakBefore w:val="0"/>
              <w:widowControl w:val="0"/>
              <w:numPr>
                <w:ilvl w:val="0"/>
                <w:numId w:val="4"/>
              </w:numPr>
              <w:kinsoku/>
              <w:wordWrap/>
              <w:overflowPunct/>
              <w:topLinePunct w:val="0"/>
              <w:autoSpaceDE/>
              <w:autoSpaceDN/>
              <w:bidi w:val="0"/>
              <w:adjustRightInd/>
              <w:snapToGrid/>
              <w:ind w:left="425" w:leftChars="0" w:hanging="425" w:firstLineChars="0"/>
              <w:jc w:val="center"/>
              <w:textAlignment w:val="auto"/>
              <w:rPr>
                <w:rFonts w:hint="eastAsia" w:ascii="仿宋_GB2312" w:hAnsi="仿宋_GB2312" w:eastAsia="仿宋_GB2312" w:cs="仿宋_GB2312"/>
                <w:sz w:val="32"/>
                <w:szCs w:val="32"/>
                <w:vertAlign w:val="baseline"/>
                <w:lang w:eastAsia="zh-CN"/>
              </w:rPr>
            </w:pPr>
          </w:p>
        </w:tc>
        <w:tc>
          <w:tcPr>
            <w:tcW w:w="3433" w:type="dxa"/>
            <w:vMerge w:val="continue"/>
            <w:vAlign w:val="center"/>
          </w:tcPr>
          <w:p>
            <w:pPr>
              <w:pStyle w:val="3"/>
              <w:keepNext w:val="0"/>
              <w:keepLines w:val="0"/>
              <w:pageBreakBefore w:val="0"/>
              <w:widowControl w:val="0"/>
              <w:kinsoku/>
              <w:wordWrap/>
              <w:overflowPunct/>
              <w:topLinePunct w:val="0"/>
              <w:autoSpaceDE/>
              <w:autoSpaceDN/>
              <w:bidi w:val="0"/>
              <w:adjustRightInd/>
              <w:snapToGrid/>
              <w:ind w:left="0"/>
              <w:jc w:val="center"/>
              <w:textAlignment w:val="auto"/>
              <w:rPr>
                <w:rFonts w:hint="eastAsia" w:ascii="仿宋_GB2312" w:hAnsi="仿宋_GB2312" w:eastAsia="仿宋_GB2312" w:cs="仿宋_GB2312"/>
                <w:sz w:val="32"/>
                <w:szCs w:val="32"/>
                <w:vertAlign w:val="baseline"/>
                <w:lang w:eastAsia="zh-CN"/>
              </w:rPr>
            </w:pPr>
          </w:p>
        </w:tc>
        <w:tc>
          <w:tcPr>
            <w:tcW w:w="4486" w:type="dxa"/>
            <w:vAlign w:val="center"/>
          </w:tcPr>
          <w:p>
            <w:pPr>
              <w:pStyle w:val="3"/>
              <w:keepNext w:val="0"/>
              <w:keepLines w:val="0"/>
              <w:pageBreakBefore w:val="0"/>
              <w:widowControl w:val="0"/>
              <w:kinsoku/>
              <w:wordWrap/>
              <w:overflowPunct/>
              <w:topLinePunct w:val="0"/>
              <w:autoSpaceDE/>
              <w:autoSpaceDN/>
              <w:bidi w:val="0"/>
              <w:adjustRightInd/>
              <w:snapToGrid/>
              <w:ind w:left="0"/>
              <w:jc w:val="center"/>
              <w:textAlignment w:val="auto"/>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eastAsia="zh-CN"/>
              </w:rPr>
              <w:t>危化品组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1" w:type="dxa"/>
            <w:vAlign w:val="center"/>
          </w:tcPr>
          <w:p>
            <w:pPr>
              <w:pStyle w:val="3"/>
              <w:keepNext w:val="0"/>
              <w:keepLines w:val="0"/>
              <w:pageBreakBefore w:val="0"/>
              <w:widowControl w:val="0"/>
              <w:numPr>
                <w:ilvl w:val="0"/>
                <w:numId w:val="4"/>
              </w:numPr>
              <w:kinsoku/>
              <w:wordWrap/>
              <w:overflowPunct/>
              <w:topLinePunct w:val="0"/>
              <w:autoSpaceDE/>
              <w:autoSpaceDN/>
              <w:bidi w:val="0"/>
              <w:adjustRightInd/>
              <w:snapToGrid/>
              <w:ind w:left="425" w:leftChars="0" w:hanging="425" w:firstLineChars="0"/>
              <w:jc w:val="center"/>
              <w:textAlignment w:val="auto"/>
              <w:rPr>
                <w:rFonts w:hint="eastAsia" w:ascii="仿宋_GB2312" w:hAnsi="仿宋_GB2312" w:eastAsia="仿宋_GB2312" w:cs="仿宋_GB2312"/>
                <w:sz w:val="32"/>
                <w:szCs w:val="32"/>
                <w:vertAlign w:val="baseline"/>
                <w:lang w:eastAsia="zh-CN"/>
              </w:rPr>
            </w:pPr>
          </w:p>
        </w:tc>
        <w:tc>
          <w:tcPr>
            <w:tcW w:w="3433" w:type="dxa"/>
            <w:vMerge w:val="continue"/>
            <w:vAlign w:val="center"/>
          </w:tcPr>
          <w:p>
            <w:pPr>
              <w:pStyle w:val="3"/>
              <w:keepNext w:val="0"/>
              <w:keepLines w:val="0"/>
              <w:pageBreakBefore w:val="0"/>
              <w:widowControl w:val="0"/>
              <w:kinsoku/>
              <w:wordWrap/>
              <w:overflowPunct/>
              <w:topLinePunct w:val="0"/>
              <w:autoSpaceDE/>
              <w:autoSpaceDN/>
              <w:bidi w:val="0"/>
              <w:adjustRightInd/>
              <w:snapToGrid/>
              <w:ind w:left="0"/>
              <w:jc w:val="center"/>
              <w:textAlignment w:val="auto"/>
              <w:rPr>
                <w:rFonts w:hint="eastAsia" w:ascii="仿宋_GB2312" w:hAnsi="仿宋_GB2312" w:eastAsia="仿宋_GB2312" w:cs="仿宋_GB2312"/>
                <w:sz w:val="32"/>
                <w:szCs w:val="32"/>
                <w:vertAlign w:val="baseline"/>
                <w:lang w:eastAsia="zh-CN"/>
              </w:rPr>
            </w:pPr>
          </w:p>
        </w:tc>
        <w:tc>
          <w:tcPr>
            <w:tcW w:w="4486" w:type="dxa"/>
            <w:vAlign w:val="center"/>
          </w:tcPr>
          <w:p>
            <w:pPr>
              <w:pStyle w:val="3"/>
              <w:keepNext w:val="0"/>
              <w:keepLines w:val="0"/>
              <w:pageBreakBefore w:val="0"/>
              <w:widowControl w:val="0"/>
              <w:kinsoku/>
              <w:wordWrap/>
              <w:overflowPunct/>
              <w:topLinePunct w:val="0"/>
              <w:autoSpaceDE/>
              <w:autoSpaceDN/>
              <w:bidi w:val="0"/>
              <w:adjustRightInd/>
              <w:snapToGrid/>
              <w:ind w:left="0"/>
              <w:jc w:val="center"/>
              <w:textAlignment w:val="auto"/>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eastAsia="zh-CN"/>
              </w:rPr>
              <w:t>交通运输组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1" w:type="dxa"/>
            <w:vAlign w:val="center"/>
          </w:tcPr>
          <w:p>
            <w:pPr>
              <w:pStyle w:val="3"/>
              <w:keepNext w:val="0"/>
              <w:keepLines w:val="0"/>
              <w:pageBreakBefore w:val="0"/>
              <w:widowControl w:val="0"/>
              <w:numPr>
                <w:ilvl w:val="0"/>
                <w:numId w:val="4"/>
              </w:numPr>
              <w:kinsoku/>
              <w:wordWrap/>
              <w:overflowPunct/>
              <w:topLinePunct w:val="0"/>
              <w:autoSpaceDE/>
              <w:autoSpaceDN/>
              <w:bidi w:val="0"/>
              <w:adjustRightInd/>
              <w:snapToGrid/>
              <w:ind w:left="425" w:leftChars="0" w:hanging="425" w:firstLineChars="0"/>
              <w:jc w:val="center"/>
              <w:textAlignment w:val="auto"/>
              <w:rPr>
                <w:rFonts w:hint="eastAsia" w:ascii="仿宋_GB2312" w:hAnsi="仿宋_GB2312" w:eastAsia="仿宋_GB2312" w:cs="仿宋_GB2312"/>
                <w:sz w:val="32"/>
                <w:szCs w:val="32"/>
                <w:vertAlign w:val="baseline"/>
                <w:lang w:eastAsia="zh-CN"/>
              </w:rPr>
            </w:pPr>
          </w:p>
        </w:tc>
        <w:tc>
          <w:tcPr>
            <w:tcW w:w="3433" w:type="dxa"/>
            <w:vMerge w:val="continue"/>
            <w:vAlign w:val="center"/>
          </w:tcPr>
          <w:p>
            <w:pPr>
              <w:pStyle w:val="3"/>
              <w:keepNext w:val="0"/>
              <w:keepLines w:val="0"/>
              <w:pageBreakBefore w:val="0"/>
              <w:widowControl w:val="0"/>
              <w:kinsoku/>
              <w:wordWrap/>
              <w:overflowPunct/>
              <w:topLinePunct w:val="0"/>
              <w:autoSpaceDE/>
              <w:autoSpaceDN/>
              <w:bidi w:val="0"/>
              <w:adjustRightInd/>
              <w:snapToGrid/>
              <w:ind w:left="0"/>
              <w:jc w:val="center"/>
              <w:textAlignment w:val="auto"/>
              <w:rPr>
                <w:rFonts w:hint="eastAsia" w:ascii="仿宋_GB2312" w:hAnsi="仿宋_GB2312" w:eastAsia="仿宋_GB2312" w:cs="仿宋_GB2312"/>
                <w:sz w:val="32"/>
                <w:szCs w:val="32"/>
                <w:vertAlign w:val="baseline"/>
                <w:lang w:eastAsia="zh-CN"/>
              </w:rPr>
            </w:pPr>
          </w:p>
        </w:tc>
        <w:tc>
          <w:tcPr>
            <w:tcW w:w="4486" w:type="dxa"/>
            <w:vAlign w:val="center"/>
          </w:tcPr>
          <w:p>
            <w:pPr>
              <w:pStyle w:val="3"/>
              <w:keepNext w:val="0"/>
              <w:keepLines w:val="0"/>
              <w:pageBreakBefore w:val="0"/>
              <w:widowControl w:val="0"/>
              <w:kinsoku/>
              <w:wordWrap/>
              <w:overflowPunct/>
              <w:topLinePunct w:val="0"/>
              <w:autoSpaceDE/>
              <w:autoSpaceDN/>
              <w:bidi w:val="0"/>
              <w:adjustRightInd/>
              <w:snapToGrid/>
              <w:ind w:left="0"/>
              <w:jc w:val="center"/>
              <w:textAlignment w:val="auto"/>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eastAsia="zh-CN"/>
              </w:rPr>
              <w:t>城市消防组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1" w:type="dxa"/>
            <w:vAlign w:val="center"/>
          </w:tcPr>
          <w:p>
            <w:pPr>
              <w:pStyle w:val="3"/>
              <w:keepNext w:val="0"/>
              <w:keepLines w:val="0"/>
              <w:pageBreakBefore w:val="0"/>
              <w:widowControl w:val="0"/>
              <w:numPr>
                <w:ilvl w:val="0"/>
                <w:numId w:val="4"/>
              </w:numPr>
              <w:kinsoku/>
              <w:wordWrap/>
              <w:overflowPunct/>
              <w:topLinePunct w:val="0"/>
              <w:autoSpaceDE/>
              <w:autoSpaceDN/>
              <w:bidi w:val="0"/>
              <w:adjustRightInd/>
              <w:snapToGrid/>
              <w:ind w:left="425" w:leftChars="0" w:hanging="425" w:firstLineChars="0"/>
              <w:jc w:val="center"/>
              <w:textAlignment w:val="auto"/>
              <w:rPr>
                <w:rFonts w:hint="eastAsia" w:ascii="仿宋_GB2312" w:hAnsi="仿宋_GB2312" w:eastAsia="仿宋_GB2312" w:cs="仿宋_GB2312"/>
                <w:sz w:val="32"/>
                <w:szCs w:val="32"/>
                <w:vertAlign w:val="baseline"/>
                <w:lang w:eastAsia="zh-CN"/>
              </w:rPr>
            </w:pPr>
          </w:p>
        </w:tc>
        <w:tc>
          <w:tcPr>
            <w:tcW w:w="3433" w:type="dxa"/>
            <w:vMerge w:val="continue"/>
            <w:vAlign w:val="center"/>
          </w:tcPr>
          <w:p>
            <w:pPr>
              <w:pStyle w:val="3"/>
              <w:keepNext w:val="0"/>
              <w:keepLines w:val="0"/>
              <w:pageBreakBefore w:val="0"/>
              <w:widowControl w:val="0"/>
              <w:kinsoku/>
              <w:wordWrap/>
              <w:overflowPunct/>
              <w:topLinePunct w:val="0"/>
              <w:autoSpaceDE/>
              <w:autoSpaceDN/>
              <w:bidi w:val="0"/>
              <w:adjustRightInd/>
              <w:snapToGrid/>
              <w:ind w:left="0"/>
              <w:jc w:val="center"/>
              <w:textAlignment w:val="auto"/>
              <w:rPr>
                <w:rFonts w:hint="eastAsia" w:ascii="仿宋_GB2312" w:hAnsi="仿宋_GB2312" w:eastAsia="仿宋_GB2312" w:cs="仿宋_GB2312"/>
                <w:sz w:val="32"/>
                <w:szCs w:val="32"/>
                <w:vertAlign w:val="baseline"/>
                <w:lang w:eastAsia="zh-CN"/>
              </w:rPr>
            </w:pPr>
          </w:p>
        </w:tc>
        <w:tc>
          <w:tcPr>
            <w:tcW w:w="4486" w:type="dxa"/>
            <w:vAlign w:val="center"/>
          </w:tcPr>
          <w:p>
            <w:pPr>
              <w:pStyle w:val="3"/>
              <w:keepNext w:val="0"/>
              <w:keepLines w:val="0"/>
              <w:pageBreakBefore w:val="0"/>
              <w:widowControl w:val="0"/>
              <w:kinsoku/>
              <w:wordWrap/>
              <w:overflowPunct/>
              <w:topLinePunct w:val="0"/>
              <w:autoSpaceDE/>
              <w:autoSpaceDN/>
              <w:bidi w:val="0"/>
              <w:adjustRightInd/>
              <w:snapToGrid/>
              <w:ind w:left="0"/>
              <w:jc w:val="center"/>
              <w:textAlignment w:val="auto"/>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eastAsia="zh-CN"/>
              </w:rPr>
              <w:t>建筑和市政工程组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1" w:type="dxa"/>
            <w:vAlign w:val="center"/>
          </w:tcPr>
          <w:p>
            <w:pPr>
              <w:pStyle w:val="3"/>
              <w:keepNext w:val="0"/>
              <w:keepLines w:val="0"/>
              <w:pageBreakBefore w:val="0"/>
              <w:widowControl w:val="0"/>
              <w:numPr>
                <w:ilvl w:val="0"/>
                <w:numId w:val="4"/>
              </w:numPr>
              <w:kinsoku/>
              <w:wordWrap/>
              <w:overflowPunct/>
              <w:topLinePunct w:val="0"/>
              <w:autoSpaceDE/>
              <w:autoSpaceDN/>
              <w:bidi w:val="0"/>
              <w:adjustRightInd/>
              <w:snapToGrid/>
              <w:ind w:left="425" w:leftChars="0" w:hanging="425" w:firstLineChars="0"/>
              <w:jc w:val="center"/>
              <w:textAlignment w:val="auto"/>
              <w:rPr>
                <w:rFonts w:hint="eastAsia" w:ascii="仿宋_GB2312" w:hAnsi="仿宋_GB2312" w:eastAsia="仿宋_GB2312" w:cs="仿宋_GB2312"/>
                <w:sz w:val="32"/>
                <w:szCs w:val="32"/>
                <w:vertAlign w:val="baseline"/>
                <w:lang w:eastAsia="zh-CN"/>
              </w:rPr>
            </w:pPr>
          </w:p>
        </w:tc>
        <w:tc>
          <w:tcPr>
            <w:tcW w:w="3433" w:type="dxa"/>
            <w:vMerge w:val="continue"/>
            <w:vAlign w:val="center"/>
          </w:tcPr>
          <w:p>
            <w:pPr>
              <w:pStyle w:val="3"/>
              <w:keepNext w:val="0"/>
              <w:keepLines w:val="0"/>
              <w:pageBreakBefore w:val="0"/>
              <w:widowControl w:val="0"/>
              <w:kinsoku/>
              <w:wordWrap/>
              <w:overflowPunct/>
              <w:topLinePunct w:val="0"/>
              <w:autoSpaceDE/>
              <w:autoSpaceDN/>
              <w:bidi w:val="0"/>
              <w:adjustRightInd/>
              <w:snapToGrid/>
              <w:ind w:left="0"/>
              <w:jc w:val="center"/>
              <w:textAlignment w:val="auto"/>
              <w:rPr>
                <w:rFonts w:hint="eastAsia" w:ascii="仿宋_GB2312" w:hAnsi="仿宋_GB2312" w:eastAsia="仿宋_GB2312" w:cs="仿宋_GB2312"/>
                <w:sz w:val="32"/>
                <w:szCs w:val="32"/>
                <w:vertAlign w:val="baseline"/>
                <w:lang w:eastAsia="zh-CN"/>
              </w:rPr>
            </w:pPr>
          </w:p>
        </w:tc>
        <w:tc>
          <w:tcPr>
            <w:tcW w:w="4486" w:type="dxa"/>
            <w:vAlign w:val="center"/>
          </w:tcPr>
          <w:p>
            <w:pPr>
              <w:pStyle w:val="3"/>
              <w:keepNext w:val="0"/>
              <w:keepLines w:val="0"/>
              <w:pageBreakBefore w:val="0"/>
              <w:widowControl w:val="0"/>
              <w:kinsoku/>
              <w:wordWrap/>
              <w:overflowPunct/>
              <w:topLinePunct w:val="0"/>
              <w:autoSpaceDE/>
              <w:autoSpaceDN/>
              <w:bidi w:val="0"/>
              <w:adjustRightInd/>
              <w:snapToGrid/>
              <w:ind w:left="0"/>
              <w:jc w:val="center"/>
              <w:textAlignment w:val="auto"/>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eastAsia="zh-CN"/>
              </w:rPr>
              <w:t>燃气组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1" w:type="dxa"/>
            <w:vAlign w:val="center"/>
          </w:tcPr>
          <w:p>
            <w:pPr>
              <w:pStyle w:val="3"/>
              <w:keepNext w:val="0"/>
              <w:keepLines w:val="0"/>
              <w:pageBreakBefore w:val="0"/>
              <w:widowControl w:val="0"/>
              <w:numPr>
                <w:ilvl w:val="0"/>
                <w:numId w:val="4"/>
              </w:numPr>
              <w:kinsoku/>
              <w:wordWrap/>
              <w:overflowPunct/>
              <w:topLinePunct w:val="0"/>
              <w:autoSpaceDE/>
              <w:autoSpaceDN/>
              <w:bidi w:val="0"/>
              <w:adjustRightInd/>
              <w:snapToGrid/>
              <w:ind w:left="425" w:leftChars="0" w:hanging="425" w:firstLineChars="0"/>
              <w:jc w:val="center"/>
              <w:textAlignment w:val="auto"/>
              <w:rPr>
                <w:rFonts w:hint="eastAsia" w:ascii="仿宋_GB2312" w:hAnsi="仿宋_GB2312" w:eastAsia="仿宋_GB2312" w:cs="仿宋_GB2312"/>
                <w:sz w:val="32"/>
                <w:szCs w:val="32"/>
                <w:vertAlign w:val="baseline"/>
                <w:lang w:eastAsia="zh-CN"/>
              </w:rPr>
            </w:pPr>
          </w:p>
        </w:tc>
        <w:tc>
          <w:tcPr>
            <w:tcW w:w="3433" w:type="dxa"/>
            <w:vMerge w:val="continue"/>
            <w:vAlign w:val="center"/>
          </w:tcPr>
          <w:p>
            <w:pPr>
              <w:pStyle w:val="3"/>
              <w:keepNext w:val="0"/>
              <w:keepLines w:val="0"/>
              <w:pageBreakBefore w:val="0"/>
              <w:widowControl w:val="0"/>
              <w:kinsoku/>
              <w:wordWrap/>
              <w:overflowPunct/>
              <w:topLinePunct w:val="0"/>
              <w:autoSpaceDE/>
              <w:autoSpaceDN/>
              <w:bidi w:val="0"/>
              <w:adjustRightInd/>
              <w:snapToGrid/>
              <w:ind w:left="0"/>
              <w:jc w:val="center"/>
              <w:textAlignment w:val="auto"/>
              <w:rPr>
                <w:rFonts w:hint="eastAsia" w:ascii="仿宋_GB2312" w:hAnsi="仿宋_GB2312" w:eastAsia="仿宋_GB2312" w:cs="仿宋_GB2312"/>
                <w:sz w:val="32"/>
                <w:szCs w:val="32"/>
                <w:vertAlign w:val="baseline"/>
                <w:lang w:eastAsia="zh-CN"/>
              </w:rPr>
            </w:pPr>
          </w:p>
        </w:tc>
        <w:tc>
          <w:tcPr>
            <w:tcW w:w="4486" w:type="dxa"/>
            <w:vAlign w:val="center"/>
          </w:tcPr>
          <w:p>
            <w:pPr>
              <w:pStyle w:val="3"/>
              <w:keepNext w:val="0"/>
              <w:keepLines w:val="0"/>
              <w:pageBreakBefore w:val="0"/>
              <w:widowControl w:val="0"/>
              <w:kinsoku/>
              <w:wordWrap/>
              <w:overflowPunct/>
              <w:topLinePunct w:val="0"/>
              <w:autoSpaceDE/>
              <w:autoSpaceDN/>
              <w:bidi w:val="0"/>
              <w:adjustRightInd/>
              <w:snapToGrid/>
              <w:ind w:left="0"/>
              <w:jc w:val="center"/>
              <w:textAlignment w:val="auto"/>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eastAsia="zh-CN"/>
              </w:rPr>
              <w:t>特种设备组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1" w:type="dxa"/>
            <w:vAlign w:val="center"/>
          </w:tcPr>
          <w:p>
            <w:pPr>
              <w:pStyle w:val="3"/>
              <w:keepNext w:val="0"/>
              <w:keepLines w:val="0"/>
              <w:pageBreakBefore w:val="0"/>
              <w:widowControl w:val="0"/>
              <w:numPr>
                <w:ilvl w:val="0"/>
                <w:numId w:val="4"/>
              </w:numPr>
              <w:kinsoku/>
              <w:wordWrap/>
              <w:overflowPunct/>
              <w:topLinePunct w:val="0"/>
              <w:autoSpaceDE/>
              <w:autoSpaceDN/>
              <w:bidi w:val="0"/>
              <w:adjustRightInd/>
              <w:snapToGrid/>
              <w:ind w:left="425" w:leftChars="0" w:hanging="425" w:firstLineChars="0"/>
              <w:jc w:val="center"/>
              <w:textAlignment w:val="auto"/>
              <w:rPr>
                <w:rFonts w:hint="eastAsia" w:ascii="仿宋_GB2312" w:hAnsi="仿宋_GB2312" w:eastAsia="仿宋_GB2312" w:cs="仿宋_GB2312"/>
                <w:sz w:val="32"/>
                <w:szCs w:val="32"/>
                <w:vertAlign w:val="baseline"/>
                <w:lang w:eastAsia="zh-CN"/>
              </w:rPr>
            </w:pPr>
          </w:p>
        </w:tc>
        <w:tc>
          <w:tcPr>
            <w:tcW w:w="3433" w:type="dxa"/>
            <w:vMerge w:val="continue"/>
            <w:vAlign w:val="center"/>
          </w:tcPr>
          <w:p>
            <w:pPr>
              <w:pStyle w:val="3"/>
              <w:keepNext w:val="0"/>
              <w:keepLines w:val="0"/>
              <w:pageBreakBefore w:val="0"/>
              <w:widowControl w:val="0"/>
              <w:kinsoku/>
              <w:wordWrap/>
              <w:overflowPunct/>
              <w:topLinePunct w:val="0"/>
              <w:autoSpaceDE/>
              <w:autoSpaceDN/>
              <w:bidi w:val="0"/>
              <w:adjustRightInd/>
              <w:snapToGrid/>
              <w:ind w:left="0"/>
              <w:jc w:val="center"/>
              <w:textAlignment w:val="auto"/>
              <w:rPr>
                <w:rFonts w:hint="eastAsia" w:ascii="仿宋_GB2312" w:hAnsi="仿宋_GB2312" w:eastAsia="仿宋_GB2312" w:cs="仿宋_GB2312"/>
                <w:sz w:val="32"/>
                <w:szCs w:val="32"/>
                <w:vertAlign w:val="baseline"/>
                <w:lang w:eastAsia="zh-CN"/>
              </w:rPr>
            </w:pPr>
          </w:p>
        </w:tc>
        <w:tc>
          <w:tcPr>
            <w:tcW w:w="4486" w:type="dxa"/>
            <w:vAlign w:val="center"/>
          </w:tcPr>
          <w:p>
            <w:pPr>
              <w:pStyle w:val="3"/>
              <w:keepNext w:val="0"/>
              <w:keepLines w:val="0"/>
              <w:pageBreakBefore w:val="0"/>
              <w:widowControl w:val="0"/>
              <w:kinsoku/>
              <w:wordWrap/>
              <w:overflowPunct/>
              <w:topLinePunct w:val="0"/>
              <w:autoSpaceDE/>
              <w:autoSpaceDN/>
              <w:bidi w:val="0"/>
              <w:adjustRightInd/>
              <w:snapToGrid/>
              <w:ind w:left="0"/>
              <w:jc w:val="center"/>
              <w:textAlignment w:val="auto"/>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eastAsia="zh-CN"/>
              </w:rPr>
              <w:t>新兴产业组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1" w:type="dxa"/>
            <w:vAlign w:val="center"/>
          </w:tcPr>
          <w:p>
            <w:pPr>
              <w:pStyle w:val="3"/>
              <w:keepNext w:val="0"/>
              <w:keepLines w:val="0"/>
              <w:pageBreakBefore w:val="0"/>
              <w:widowControl w:val="0"/>
              <w:numPr>
                <w:ilvl w:val="0"/>
                <w:numId w:val="4"/>
              </w:numPr>
              <w:kinsoku/>
              <w:wordWrap/>
              <w:overflowPunct/>
              <w:topLinePunct w:val="0"/>
              <w:autoSpaceDE/>
              <w:autoSpaceDN/>
              <w:bidi w:val="0"/>
              <w:adjustRightInd/>
              <w:snapToGrid/>
              <w:ind w:left="425" w:leftChars="0" w:hanging="425" w:firstLineChars="0"/>
              <w:jc w:val="center"/>
              <w:textAlignment w:val="auto"/>
              <w:rPr>
                <w:rFonts w:hint="eastAsia" w:ascii="仿宋_GB2312" w:hAnsi="仿宋_GB2312" w:eastAsia="仿宋_GB2312" w:cs="仿宋_GB2312"/>
                <w:sz w:val="32"/>
                <w:szCs w:val="32"/>
                <w:vertAlign w:val="baseline"/>
                <w:lang w:eastAsia="zh-CN"/>
              </w:rPr>
            </w:pPr>
          </w:p>
        </w:tc>
        <w:tc>
          <w:tcPr>
            <w:tcW w:w="3433" w:type="dxa"/>
            <w:vMerge w:val="continue"/>
            <w:vAlign w:val="center"/>
          </w:tcPr>
          <w:p>
            <w:pPr>
              <w:pStyle w:val="3"/>
              <w:keepNext w:val="0"/>
              <w:keepLines w:val="0"/>
              <w:pageBreakBefore w:val="0"/>
              <w:widowControl w:val="0"/>
              <w:kinsoku/>
              <w:wordWrap/>
              <w:overflowPunct/>
              <w:topLinePunct w:val="0"/>
              <w:autoSpaceDE/>
              <w:autoSpaceDN/>
              <w:bidi w:val="0"/>
              <w:adjustRightInd/>
              <w:snapToGrid/>
              <w:ind w:left="0"/>
              <w:jc w:val="center"/>
              <w:textAlignment w:val="auto"/>
              <w:rPr>
                <w:rFonts w:hint="eastAsia" w:ascii="仿宋_GB2312" w:hAnsi="仿宋_GB2312" w:eastAsia="仿宋_GB2312" w:cs="仿宋_GB2312"/>
                <w:sz w:val="32"/>
                <w:szCs w:val="32"/>
                <w:vertAlign w:val="baseline"/>
                <w:lang w:eastAsia="zh-CN"/>
              </w:rPr>
            </w:pPr>
          </w:p>
        </w:tc>
        <w:tc>
          <w:tcPr>
            <w:tcW w:w="4486" w:type="dxa"/>
            <w:vAlign w:val="center"/>
          </w:tcPr>
          <w:p>
            <w:pPr>
              <w:pStyle w:val="3"/>
              <w:keepNext w:val="0"/>
              <w:keepLines w:val="0"/>
              <w:pageBreakBefore w:val="0"/>
              <w:widowControl w:val="0"/>
              <w:kinsoku/>
              <w:wordWrap/>
              <w:overflowPunct/>
              <w:topLinePunct w:val="0"/>
              <w:autoSpaceDE/>
              <w:autoSpaceDN/>
              <w:bidi w:val="0"/>
              <w:adjustRightInd/>
              <w:snapToGrid/>
              <w:ind w:left="0"/>
              <w:jc w:val="center"/>
              <w:textAlignment w:val="auto"/>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eastAsia="zh-CN"/>
              </w:rPr>
              <w:t>事故调查组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1" w:type="dxa"/>
            <w:vAlign w:val="center"/>
          </w:tcPr>
          <w:p>
            <w:pPr>
              <w:pStyle w:val="3"/>
              <w:keepNext w:val="0"/>
              <w:keepLines w:val="0"/>
              <w:pageBreakBefore w:val="0"/>
              <w:widowControl w:val="0"/>
              <w:numPr>
                <w:ilvl w:val="0"/>
                <w:numId w:val="4"/>
              </w:numPr>
              <w:kinsoku/>
              <w:wordWrap/>
              <w:overflowPunct/>
              <w:topLinePunct w:val="0"/>
              <w:autoSpaceDE/>
              <w:autoSpaceDN/>
              <w:bidi w:val="0"/>
              <w:adjustRightInd/>
              <w:snapToGrid/>
              <w:ind w:left="425" w:leftChars="0" w:hanging="425" w:firstLineChars="0"/>
              <w:jc w:val="center"/>
              <w:textAlignment w:val="auto"/>
              <w:rPr>
                <w:rFonts w:hint="eastAsia" w:ascii="仿宋_GB2312" w:hAnsi="仿宋_GB2312" w:eastAsia="仿宋_GB2312" w:cs="仿宋_GB2312"/>
                <w:sz w:val="32"/>
                <w:szCs w:val="32"/>
                <w:vertAlign w:val="baseline"/>
                <w:lang w:eastAsia="zh-CN"/>
              </w:rPr>
            </w:pPr>
          </w:p>
        </w:tc>
        <w:tc>
          <w:tcPr>
            <w:tcW w:w="3433" w:type="dxa"/>
            <w:vMerge w:val="restart"/>
            <w:vAlign w:val="center"/>
          </w:tcPr>
          <w:p>
            <w:pPr>
              <w:pStyle w:val="3"/>
              <w:keepNext w:val="0"/>
              <w:keepLines w:val="0"/>
              <w:pageBreakBefore w:val="0"/>
              <w:widowControl w:val="0"/>
              <w:kinsoku/>
              <w:wordWrap/>
              <w:overflowPunct/>
              <w:topLinePunct w:val="0"/>
              <w:autoSpaceDE/>
              <w:autoSpaceDN/>
              <w:bidi w:val="0"/>
              <w:adjustRightInd/>
              <w:snapToGrid/>
              <w:ind w:left="0"/>
              <w:jc w:val="center"/>
              <w:textAlignment w:val="auto"/>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2.自然灾害</w:t>
            </w:r>
          </w:p>
        </w:tc>
        <w:tc>
          <w:tcPr>
            <w:tcW w:w="4486" w:type="dxa"/>
            <w:vAlign w:val="center"/>
          </w:tcPr>
          <w:p>
            <w:pPr>
              <w:pStyle w:val="3"/>
              <w:keepNext w:val="0"/>
              <w:keepLines w:val="0"/>
              <w:pageBreakBefore w:val="0"/>
              <w:widowControl w:val="0"/>
              <w:kinsoku/>
              <w:wordWrap/>
              <w:overflowPunct/>
              <w:topLinePunct w:val="0"/>
              <w:autoSpaceDE/>
              <w:autoSpaceDN/>
              <w:bidi w:val="0"/>
              <w:adjustRightInd/>
              <w:snapToGrid/>
              <w:ind w:left="0"/>
              <w:jc w:val="center"/>
              <w:textAlignment w:val="auto"/>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eastAsia="zh-CN"/>
              </w:rPr>
              <w:t>气象灾害组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1" w:type="dxa"/>
            <w:vAlign w:val="center"/>
          </w:tcPr>
          <w:p>
            <w:pPr>
              <w:pStyle w:val="3"/>
              <w:keepNext w:val="0"/>
              <w:keepLines w:val="0"/>
              <w:pageBreakBefore w:val="0"/>
              <w:widowControl w:val="0"/>
              <w:numPr>
                <w:ilvl w:val="0"/>
                <w:numId w:val="4"/>
              </w:numPr>
              <w:kinsoku/>
              <w:wordWrap/>
              <w:overflowPunct/>
              <w:topLinePunct w:val="0"/>
              <w:autoSpaceDE/>
              <w:autoSpaceDN/>
              <w:bidi w:val="0"/>
              <w:adjustRightInd/>
              <w:snapToGrid/>
              <w:ind w:left="425" w:leftChars="0" w:hanging="425" w:firstLineChars="0"/>
              <w:jc w:val="center"/>
              <w:textAlignment w:val="auto"/>
              <w:rPr>
                <w:rFonts w:hint="eastAsia" w:ascii="仿宋_GB2312" w:hAnsi="仿宋_GB2312" w:eastAsia="仿宋_GB2312" w:cs="仿宋_GB2312"/>
                <w:sz w:val="32"/>
                <w:szCs w:val="32"/>
                <w:vertAlign w:val="baseline"/>
                <w:lang w:eastAsia="zh-CN"/>
              </w:rPr>
            </w:pPr>
          </w:p>
        </w:tc>
        <w:tc>
          <w:tcPr>
            <w:tcW w:w="3433" w:type="dxa"/>
            <w:vMerge w:val="continue"/>
            <w:vAlign w:val="center"/>
          </w:tcPr>
          <w:p>
            <w:pPr>
              <w:pStyle w:val="3"/>
              <w:keepNext w:val="0"/>
              <w:keepLines w:val="0"/>
              <w:pageBreakBefore w:val="0"/>
              <w:widowControl w:val="0"/>
              <w:kinsoku/>
              <w:wordWrap/>
              <w:overflowPunct/>
              <w:topLinePunct w:val="0"/>
              <w:autoSpaceDE/>
              <w:autoSpaceDN/>
              <w:bidi w:val="0"/>
              <w:adjustRightInd/>
              <w:snapToGrid/>
              <w:ind w:left="0"/>
              <w:jc w:val="center"/>
              <w:textAlignment w:val="auto"/>
              <w:rPr>
                <w:rFonts w:hint="eastAsia" w:ascii="仿宋_GB2312" w:hAnsi="仿宋_GB2312" w:eastAsia="仿宋_GB2312" w:cs="仿宋_GB2312"/>
                <w:sz w:val="32"/>
                <w:szCs w:val="32"/>
                <w:vertAlign w:val="baseline"/>
                <w:lang w:eastAsia="zh-CN"/>
              </w:rPr>
            </w:pPr>
          </w:p>
        </w:tc>
        <w:tc>
          <w:tcPr>
            <w:tcW w:w="4486" w:type="dxa"/>
            <w:vAlign w:val="center"/>
          </w:tcPr>
          <w:p>
            <w:pPr>
              <w:pStyle w:val="3"/>
              <w:keepNext w:val="0"/>
              <w:keepLines w:val="0"/>
              <w:pageBreakBefore w:val="0"/>
              <w:widowControl w:val="0"/>
              <w:kinsoku/>
              <w:wordWrap/>
              <w:overflowPunct/>
              <w:topLinePunct w:val="0"/>
              <w:autoSpaceDE/>
              <w:autoSpaceDN/>
              <w:bidi w:val="0"/>
              <w:adjustRightInd/>
              <w:snapToGrid/>
              <w:ind w:left="0"/>
              <w:jc w:val="center"/>
              <w:textAlignment w:val="auto"/>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eastAsia="zh-CN"/>
              </w:rPr>
              <w:t>洪涝灾害组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1" w:type="dxa"/>
            <w:vAlign w:val="center"/>
          </w:tcPr>
          <w:p>
            <w:pPr>
              <w:pStyle w:val="3"/>
              <w:keepNext w:val="0"/>
              <w:keepLines w:val="0"/>
              <w:pageBreakBefore w:val="0"/>
              <w:widowControl w:val="0"/>
              <w:numPr>
                <w:ilvl w:val="0"/>
                <w:numId w:val="4"/>
              </w:numPr>
              <w:kinsoku/>
              <w:wordWrap/>
              <w:overflowPunct/>
              <w:topLinePunct w:val="0"/>
              <w:autoSpaceDE/>
              <w:autoSpaceDN/>
              <w:bidi w:val="0"/>
              <w:adjustRightInd/>
              <w:snapToGrid/>
              <w:ind w:left="425" w:leftChars="0" w:hanging="425" w:firstLineChars="0"/>
              <w:jc w:val="center"/>
              <w:textAlignment w:val="auto"/>
              <w:rPr>
                <w:rFonts w:hint="eastAsia" w:ascii="仿宋_GB2312" w:hAnsi="仿宋_GB2312" w:eastAsia="仿宋_GB2312" w:cs="仿宋_GB2312"/>
                <w:sz w:val="32"/>
                <w:szCs w:val="32"/>
                <w:vertAlign w:val="baseline"/>
                <w:lang w:eastAsia="zh-CN"/>
              </w:rPr>
            </w:pPr>
          </w:p>
        </w:tc>
        <w:tc>
          <w:tcPr>
            <w:tcW w:w="3433" w:type="dxa"/>
            <w:vMerge w:val="continue"/>
            <w:vAlign w:val="center"/>
          </w:tcPr>
          <w:p>
            <w:pPr>
              <w:pStyle w:val="3"/>
              <w:keepNext w:val="0"/>
              <w:keepLines w:val="0"/>
              <w:pageBreakBefore w:val="0"/>
              <w:widowControl w:val="0"/>
              <w:kinsoku/>
              <w:wordWrap/>
              <w:overflowPunct/>
              <w:topLinePunct w:val="0"/>
              <w:autoSpaceDE/>
              <w:autoSpaceDN/>
              <w:bidi w:val="0"/>
              <w:adjustRightInd/>
              <w:snapToGrid/>
              <w:ind w:left="0"/>
              <w:jc w:val="center"/>
              <w:textAlignment w:val="auto"/>
              <w:rPr>
                <w:rFonts w:hint="eastAsia" w:ascii="仿宋_GB2312" w:hAnsi="仿宋_GB2312" w:eastAsia="仿宋_GB2312" w:cs="仿宋_GB2312"/>
                <w:sz w:val="32"/>
                <w:szCs w:val="32"/>
                <w:vertAlign w:val="baseline"/>
                <w:lang w:eastAsia="zh-CN"/>
              </w:rPr>
            </w:pPr>
          </w:p>
        </w:tc>
        <w:tc>
          <w:tcPr>
            <w:tcW w:w="4486" w:type="dxa"/>
            <w:vAlign w:val="center"/>
          </w:tcPr>
          <w:p>
            <w:pPr>
              <w:pStyle w:val="3"/>
              <w:keepNext w:val="0"/>
              <w:keepLines w:val="0"/>
              <w:pageBreakBefore w:val="0"/>
              <w:widowControl w:val="0"/>
              <w:kinsoku/>
              <w:wordWrap/>
              <w:overflowPunct/>
              <w:topLinePunct w:val="0"/>
              <w:autoSpaceDE/>
              <w:autoSpaceDN/>
              <w:bidi w:val="0"/>
              <w:adjustRightInd/>
              <w:snapToGrid/>
              <w:ind w:left="0"/>
              <w:jc w:val="center"/>
              <w:textAlignment w:val="auto"/>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eastAsia="zh-CN"/>
              </w:rPr>
              <w:t>地质灾害组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1" w:type="dxa"/>
            <w:vAlign w:val="center"/>
          </w:tcPr>
          <w:p>
            <w:pPr>
              <w:pStyle w:val="3"/>
              <w:keepNext w:val="0"/>
              <w:keepLines w:val="0"/>
              <w:pageBreakBefore w:val="0"/>
              <w:widowControl w:val="0"/>
              <w:numPr>
                <w:ilvl w:val="0"/>
                <w:numId w:val="4"/>
              </w:numPr>
              <w:kinsoku/>
              <w:wordWrap/>
              <w:overflowPunct/>
              <w:topLinePunct w:val="0"/>
              <w:autoSpaceDE/>
              <w:autoSpaceDN/>
              <w:bidi w:val="0"/>
              <w:adjustRightInd/>
              <w:snapToGrid/>
              <w:ind w:left="425" w:leftChars="0" w:hanging="425" w:firstLineChars="0"/>
              <w:jc w:val="center"/>
              <w:textAlignment w:val="auto"/>
              <w:rPr>
                <w:rFonts w:hint="eastAsia" w:ascii="仿宋_GB2312" w:hAnsi="仿宋_GB2312" w:eastAsia="仿宋_GB2312" w:cs="仿宋_GB2312"/>
                <w:sz w:val="32"/>
                <w:szCs w:val="32"/>
                <w:vertAlign w:val="baseline"/>
                <w:lang w:eastAsia="zh-CN"/>
              </w:rPr>
            </w:pPr>
          </w:p>
        </w:tc>
        <w:tc>
          <w:tcPr>
            <w:tcW w:w="3433" w:type="dxa"/>
            <w:vMerge w:val="continue"/>
            <w:vAlign w:val="center"/>
          </w:tcPr>
          <w:p>
            <w:pPr>
              <w:pStyle w:val="3"/>
              <w:keepNext w:val="0"/>
              <w:keepLines w:val="0"/>
              <w:pageBreakBefore w:val="0"/>
              <w:widowControl w:val="0"/>
              <w:kinsoku/>
              <w:wordWrap/>
              <w:overflowPunct/>
              <w:topLinePunct w:val="0"/>
              <w:autoSpaceDE/>
              <w:autoSpaceDN/>
              <w:bidi w:val="0"/>
              <w:adjustRightInd/>
              <w:snapToGrid/>
              <w:ind w:left="0"/>
              <w:jc w:val="center"/>
              <w:textAlignment w:val="auto"/>
              <w:rPr>
                <w:rFonts w:hint="eastAsia" w:ascii="仿宋_GB2312" w:hAnsi="仿宋_GB2312" w:eastAsia="仿宋_GB2312" w:cs="仿宋_GB2312"/>
                <w:sz w:val="32"/>
                <w:szCs w:val="32"/>
                <w:vertAlign w:val="baseline"/>
                <w:lang w:eastAsia="zh-CN"/>
              </w:rPr>
            </w:pPr>
          </w:p>
        </w:tc>
        <w:tc>
          <w:tcPr>
            <w:tcW w:w="4486" w:type="dxa"/>
            <w:vAlign w:val="center"/>
          </w:tcPr>
          <w:p>
            <w:pPr>
              <w:pStyle w:val="3"/>
              <w:keepNext w:val="0"/>
              <w:keepLines w:val="0"/>
              <w:pageBreakBefore w:val="0"/>
              <w:widowControl w:val="0"/>
              <w:kinsoku/>
              <w:wordWrap/>
              <w:overflowPunct/>
              <w:topLinePunct w:val="0"/>
              <w:autoSpaceDE/>
              <w:autoSpaceDN/>
              <w:bidi w:val="0"/>
              <w:adjustRightInd/>
              <w:snapToGrid/>
              <w:ind w:left="0"/>
              <w:jc w:val="center"/>
              <w:textAlignment w:val="auto"/>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eastAsia="zh-CN"/>
              </w:rPr>
              <w:t>森林消防组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1" w:type="dxa"/>
            <w:vAlign w:val="center"/>
          </w:tcPr>
          <w:p>
            <w:pPr>
              <w:pStyle w:val="3"/>
              <w:keepNext w:val="0"/>
              <w:keepLines w:val="0"/>
              <w:pageBreakBefore w:val="0"/>
              <w:widowControl w:val="0"/>
              <w:numPr>
                <w:ilvl w:val="0"/>
                <w:numId w:val="4"/>
              </w:numPr>
              <w:kinsoku/>
              <w:wordWrap/>
              <w:overflowPunct/>
              <w:topLinePunct w:val="0"/>
              <w:autoSpaceDE/>
              <w:autoSpaceDN/>
              <w:bidi w:val="0"/>
              <w:adjustRightInd/>
              <w:snapToGrid/>
              <w:ind w:left="425" w:leftChars="0" w:hanging="425" w:firstLineChars="0"/>
              <w:jc w:val="center"/>
              <w:textAlignment w:val="auto"/>
              <w:rPr>
                <w:rFonts w:hint="eastAsia" w:ascii="仿宋_GB2312" w:hAnsi="仿宋_GB2312" w:eastAsia="仿宋_GB2312" w:cs="仿宋_GB2312"/>
                <w:sz w:val="32"/>
                <w:szCs w:val="32"/>
                <w:vertAlign w:val="baseline"/>
                <w:lang w:eastAsia="zh-CN"/>
              </w:rPr>
            </w:pPr>
          </w:p>
        </w:tc>
        <w:tc>
          <w:tcPr>
            <w:tcW w:w="3433" w:type="dxa"/>
            <w:vMerge w:val="continue"/>
            <w:vAlign w:val="center"/>
          </w:tcPr>
          <w:p>
            <w:pPr>
              <w:pStyle w:val="3"/>
              <w:keepNext w:val="0"/>
              <w:keepLines w:val="0"/>
              <w:pageBreakBefore w:val="0"/>
              <w:widowControl w:val="0"/>
              <w:kinsoku/>
              <w:wordWrap/>
              <w:overflowPunct/>
              <w:topLinePunct w:val="0"/>
              <w:autoSpaceDE/>
              <w:autoSpaceDN/>
              <w:bidi w:val="0"/>
              <w:adjustRightInd/>
              <w:snapToGrid/>
              <w:ind w:left="0"/>
              <w:jc w:val="center"/>
              <w:textAlignment w:val="auto"/>
              <w:rPr>
                <w:rFonts w:hint="eastAsia" w:ascii="仿宋_GB2312" w:hAnsi="仿宋_GB2312" w:eastAsia="仿宋_GB2312" w:cs="仿宋_GB2312"/>
                <w:sz w:val="32"/>
                <w:szCs w:val="32"/>
                <w:vertAlign w:val="baseline"/>
                <w:lang w:eastAsia="zh-CN"/>
              </w:rPr>
            </w:pPr>
          </w:p>
        </w:tc>
        <w:tc>
          <w:tcPr>
            <w:tcW w:w="4486" w:type="dxa"/>
            <w:vAlign w:val="center"/>
          </w:tcPr>
          <w:p>
            <w:pPr>
              <w:pStyle w:val="3"/>
              <w:keepNext w:val="0"/>
              <w:keepLines w:val="0"/>
              <w:pageBreakBefore w:val="0"/>
              <w:widowControl w:val="0"/>
              <w:kinsoku/>
              <w:wordWrap/>
              <w:overflowPunct/>
              <w:topLinePunct w:val="0"/>
              <w:autoSpaceDE/>
              <w:autoSpaceDN/>
              <w:bidi w:val="0"/>
              <w:adjustRightInd/>
              <w:snapToGrid/>
              <w:ind w:left="0"/>
              <w:jc w:val="center"/>
              <w:textAlignment w:val="auto"/>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eastAsia="zh-CN"/>
              </w:rPr>
              <w:t>地震监测组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1" w:type="dxa"/>
            <w:vAlign w:val="center"/>
          </w:tcPr>
          <w:p>
            <w:pPr>
              <w:pStyle w:val="3"/>
              <w:keepNext w:val="0"/>
              <w:keepLines w:val="0"/>
              <w:pageBreakBefore w:val="0"/>
              <w:widowControl w:val="0"/>
              <w:numPr>
                <w:ilvl w:val="0"/>
                <w:numId w:val="4"/>
              </w:numPr>
              <w:kinsoku/>
              <w:wordWrap/>
              <w:overflowPunct/>
              <w:topLinePunct w:val="0"/>
              <w:autoSpaceDE/>
              <w:autoSpaceDN/>
              <w:bidi w:val="0"/>
              <w:adjustRightInd/>
              <w:snapToGrid/>
              <w:ind w:left="425" w:leftChars="0" w:hanging="425" w:firstLineChars="0"/>
              <w:jc w:val="center"/>
              <w:textAlignment w:val="auto"/>
              <w:rPr>
                <w:rFonts w:hint="eastAsia" w:ascii="仿宋_GB2312" w:hAnsi="仿宋_GB2312" w:eastAsia="仿宋_GB2312" w:cs="仿宋_GB2312"/>
                <w:sz w:val="32"/>
                <w:szCs w:val="32"/>
                <w:vertAlign w:val="baseline"/>
                <w:lang w:eastAsia="zh-CN"/>
              </w:rPr>
            </w:pPr>
          </w:p>
        </w:tc>
        <w:tc>
          <w:tcPr>
            <w:tcW w:w="3433" w:type="dxa"/>
            <w:vMerge w:val="continue"/>
            <w:vAlign w:val="center"/>
          </w:tcPr>
          <w:p>
            <w:pPr>
              <w:pStyle w:val="3"/>
              <w:keepNext w:val="0"/>
              <w:keepLines w:val="0"/>
              <w:pageBreakBefore w:val="0"/>
              <w:widowControl w:val="0"/>
              <w:kinsoku/>
              <w:wordWrap/>
              <w:overflowPunct/>
              <w:topLinePunct w:val="0"/>
              <w:autoSpaceDE/>
              <w:autoSpaceDN/>
              <w:bidi w:val="0"/>
              <w:adjustRightInd/>
              <w:snapToGrid/>
              <w:ind w:left="0"/>
              <w:jc w:val="center"/>
              <w:textAlignment w:val="auto"/>
              <w:rPr>
                <w:rFonts w:hint="eastAsia" w:ascii="仿宋_GB2312" w:hAnsi="仿宋_GB2312" w:eastAsia="仿宋_GB2312" w:cs="仿宋_GB2312"/>
                <w:sz w:val="32"/>
                <w:szCs w:val="32"/>
                <w:vertAlign w:val="baseline"/>
                <w:lang w:eastAsia="zh-CN"/>
              </w:rPr>
            </w:pPr>
          </w:p>
        </w:tc>
        <w:tc>
          <w:tcPr>
            <w:tcW w:w="4486" w:type="dxa"/>
            <w:vAlign w:val="center"/>
          </w:tcPr>
          <w:p>
            <w:pPr>
              <w:pStyle w:val="3"/>
              <w:keepNext w:val="0"/>
              <w:keepLines w:val="0"/>
              <w:pageBreakBefore w:val="0"/>
              <w:widowControl w:val="0"/>
              <w:kinsoku/>
              <w:wordWrap/>
              <w:overflowPunct/>
              <w:topLinePunct w:val="0"/>
              <w:autoSpaceDE/>
              <w:autoSpaceDN/>
              <w:bidi w:val="0"/>
              <w:adjustRightInd/>
              <w:snapToGrid/>
              <w:ind w:left="0"/>
              <w:jc w:val="center"/>
              <w:textAlignment w:val="auto"/>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eastAsia="zh-CN"/>
              </w:rPr>
              <w:t>生物灾害组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1" w:type="dxa"/>
            <w:vAlign w:val="center"/>
          </w:tcPr>
          <w:p>
            <w:pPr>
              <w:pStyle w:val="3"/>
              <w:keepNext w:val="0"/>
              <w:keepLines w:val="0"/>
              <w:pageBreakBefore w:val="0"/>
              <w:widowControl w:val="0"/>
              <w:numPr>
                <w:ilvl w:val="0"/>
                <w:numId w:val="4"/>
              </w:numPr>
              <w:kinsoku/>
              <w:wordWrap/>
              <w:overflowPunct/>
              <w:topLinePunct w:val="0"/>
              <w:autoSpaceDE/>
              <w:autoSpaceDN/>
              <w:bidi w:val="0"/>
              <w:adjustRightInd/>
              <w:snapToGrid/>
              <w:ind w:left="425" w:leftChars="0" w:hanging="425" w:firstLineChars="0"/>
              <w:jc w:val="center"/>
              <w:textAlignment w:val="auto"/>
              <w:rPr>
                <w:rFonts w:hint="eastAsia" w:ascii="仿宋_GB2312" w:hAnsi="仿宋_GB2312" w:eastAsia="仿宋_GB2312" w:cs="仿宋_GB2312"/>
                <w:sz w:val="32"/>
                <w:szCs w:val="32"/>
                <w:vertAlign w:val="baseline"/>
                <w:lang w:eastAsia="zh-CN"/>
              </w:rPr>
            </w:pPr>
          </w:p>
        </w:tc>
        <w:tc>
          <w:tcPr>
            <w:tcW w:w="3433" w:type="dxa"/>
            <w:vMerge w:val="continue"/>
            <w:vAlign w:val="center"/>
          </w:tcPr>
          <w:p>
            <w:pPr>
              <w:pStyle w:val="3"/>
              <w:keepNext w:val="0"/>
              <w:keepLines w:val="0"/>
              <w:pageBreakBefore w:val="0"/>
              <w:widowControl w:val="0"/>
              <w:kinsoku/>
              <w:wordWrap/>
              <w:overflowPunct/>
              <w:topLinePunct w:val="0"/>
              <w:autoSpaceDE/>
              <w:autoSpaceDN/>
              <w:bidi w:val="0"/>
              <w:adjustRightInd/>
              <w:snapToGrid/>
              <w:ind w:left="0"/>
              <w:jc w:val="center"/>
              <w:textAlignment w:val="auto"/>
              <w:rPr>
                <w:rFonts w:hint="eastAsia" w:ascii="仿宋_GB2312" w:hAnsi="仿宋_GB2312" w:eastAsia="仿宋_GB2312" w:cs="仿宋_GB2312"/>
                <w:sz w:val="32"/>
                <w:szCs w:val="32"/>
                <w:vertAlign w:val="baseline"/>
                <w:lang w:eastAsia="zh-CN"/>
              </w:rPr>
            </w:pPr>
          </w:p>
        </w:tc>
        <w:tc>
          <w:tcPr>
            <w:tcW w:w="4486" w:type="dxa"/>
            <w:vAlign w:val="center"/>
          </w:tcPr>
          <w:p>
            <w:pPr>
              <w:pStyle w:val="3"/>
              <w:keepNext w:val="0"/>
              <w:keepLines w:val="0"/>
              <w:pageBreakBefore w:val="0"/>
              <w:widowControl w:val="0"/>
              <w:kinsoku/>
              <w:wordWrap/>
              <w:overflowPunct/>
              <w:topLinePunct w:val="0"/>
              <w:autoSpaceDE/>
              <w:autoSpaceDN/>
              <w:bidi w:val="0"/>
              <w:adjustRightInd/>
              <w:snapToGrid/>
              <w:ind w:left="0"/>
              <w:jc w:val="center"/>
              <w:textAlignment w:val="auto"/>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eastAsia="zh-CN"/>
              </w:rPr>
              <w:t>灾害调查组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1" w:type="dxa"/>
            <w:vAlign w:val="center"/>
          </w:tcPr>
          <w:p>
            <w:pPr>
              <w:pStyle w:val="3"/>
              <w:keepNext w:val="0"/>
              <w:keepLines w:val="0"/>
              <w:pageBreakBefore w:val="0"/>
              <w:widowControl w:val="0"/>
              <w:numPr>
                <w:ilvl w:val="0"/>
                <w:numId w:val="4"/>
              </w:numPr>
              <w:kinsoku/>
              <w:wordWrap/>
              <w:overflowPunct/>
              <w:topLinePunct w:val="0"/>
              <w:autoSpaceDE/>
              <w:autoSpaceDN/>
              <w:bidi w:val="0"/>
              <w:adjustRightInd/>
              <w:snapToGrid/>
              <w:ind w:left="425" w:leftChars="0" w:hanging="425" w:firstLineChars="0"/>
              <w:jc w:val="center"/>
              <w:textAlignment w:val="auto"/>
              <w:rPr>
                <w:rFonts w:hint="eastAsia" w:ascii="仿宋_GB2312" w:hAnsi="仿宋_GB2312" w:eastAsia="仿宋_GB2312" w:cs="仿宋_GB2312"/>
                <w:sz w:val="32"/>
                <w:szCs w:val="32"/>
                <w:vertAlign w:val="baseline"/>
                <w:lang w:eastAsia="zh-CN"/>
              </w:rPr>
            </w:pPr>
          </w:p>
        </w:tc>
        <w:tc>
          <w:tcPr>
            <w:tcW w:w="3433" w:type="dxa"/>
            <w:vMerge w:val="restart"/>
            <w:vAlign w:val="center"/>
          </w:tcPr>
          <w:p>
            <w:pPr>
              <w:pStyle w:val="3"/>
              <w:keepNext w:val="0"/>
              <w:keepLines w:val="0"/>
              <w:pageBreakBefore w:val="0"/>
              <w:widowControl w:val="0"/>
              <w:kinsoku/>
              <w:wordWrap/>
              <w:overflowPunct/>
              <w:topLinePunct w:val="0"/>
              <w:autoSpaceDE/>
              <w:autoSpaceDN/>
              <w:bidi w:val="0"/>
              <w:adjustRightInd/>
              <w:snapToGrid/>
              <w:ind w:left="0"/>
              <w:jc w:val="center"/>
              <w:textAlignment w:val="auto"/>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3.公共安全</w:t>
            </w:r>
          </w:p>
        </w:tc>
        <w:tc>
          <w:tcPr>
            <w:tcW w:w="4486" w:type="dxa"/>
            <w:vAlign w:val="center"/>
          </w:tcPr>
          <w:p>
            <w:pPr>
              <w:pStyle w:val="3"/>
              <w:keepNext w:val="0"/>
              <w:keepLines w:val="0"/>
              <w:pageBreakBefore w:val="0"/>
              <w:widowControl w:val="0"/>
              <w:kinsoku/>
              <w:wordWrap/>
              <w:overflowPunct/>
              <w:topLinePunct w:val="0"/>
              <w:autoSpaceDE/>
              <w:autoSpaceDN/>
              <w:bidi w:val="0"/>
              <w:adjustRightInd/>
              <w:snapToGrid/>
              <w:ind w:left="0"/>
              <w:jc w:val="center"/>
              <w:textAlignment w:val="auto"/>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eastAsia="zh-CN"/>
              </w:rPr>
              <w:t>传染病疫情组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1" w:type="dxa"/>
            <w:vAlign w:val="center"/>
          </w:tcPr>
          <w:p>
            <w:pPr>
              <w:pStyle w:val="3"/>
              <w:keepNext w:val="0"/>
              <w:keepLines w:val="0"/>
              <w:pageBreakBefore w:val="0"/>
              <w:widowControl w:val="0"/>
              <w:numPr>
                <w:ilvl w:val="0"/>
                <w:numId w:val="4"/>
              </w:numPr>
              <w:kinsoku/>
              <w:wordWrap/>
              <w:overflowPunct/>
              <w:topLinePunct w:val="0"/>
              <w:autoSpaceDE/>
              <w:autoSpaceDN/>
              <w:bidi w:val="0"/>
              <w:adjustRightInd/>
              <w:snapToGrid/>
              <w:ind w:left="425" w:leftChars="0" w:hanging="425" w:firstLineChars="0"/>
              <w:jc w:val="center"/>
              <w:textAlignment w:val="auto"/>
              <w:rPr>
                <w:rFonts w:hint="eastAsia" w:ascii="仿宋_GB2312" w:hAnsi="仿宋_GB2312" w:eastAsia="仿宋_GB2312" w:cs="仿宋_GB2312"/>
                <w:sz w:val="32"/>
                <w:szCs w:val="32"/>
                <w:vertAlign w:val="baseline"/>
                <w:lang w:eastAsia="zh-CN"/>
              </w:rPr>
            </w:pPr>
          </w:p>
        </w:tc>
        <w:tc>
          <w:tcPr>
            <w:tcW w:w="3433" w:type="dxa"/>
            <w:vMerge w:val="continue"/>
            <w:vAlign w:val="center"/>
          </w:tcPr>
          <w:p>
            <w:pPr>
              <w:pStyle w:val="3"/>
              <w:keepNext w:val="0"/>
              <w:keepLines w:val="0"/>
              <w:pageBreakBefore w:val="0"/>
              <w:widowControl w:val="0"/>
              <w:kinsoku/>
              <w:wordWrap/>
              <w:overflowPunct/>
              <w:topLinePunct w:val="0"/>
              <w:autoSpaceDE/>
              <w:autoSpaceDN/>
              <w:bidi w:val="0"/>
              <w:adjustRightInd/>
              <w:snapToGrid/>
              <w:ind w:left="0"/>
              <w:jc w:val="center"/>
              <w:textAlignment w:val="auto"/>
              <w:rPr>
                <w:rFonts w:hint="eastAsia" w:ascii="仿宋_GB2312" w:hAnsi="仿宋_GB2312" w:eastAsia="仿宋_GB2312" w:cs="仿宋_GB2312"/>
                <w:sz w:val="32"/>
                <w:szCs w:val="32"/>
                <w:vertAlign w:val="baseline"/>
                <w:lang w:eastAsia="zh-CN"/>
              </w:rPr>
            </w:pPr>
          </w:p>
        </w:tc>
        <w:tc>
          <w:tcPr>
            <w:tcW w:w="4486" w:type="dxa"/>
            <w:vAlign w:val="center"/>
          </w:tcPr>
          <w:p>
            <w:pPr>
              <w:pStyle w:val="3"/>
              <w:keepNext w:val="0"/>
              <w:keepLines w:val="0"/>
              <w:pageBreakBefore w:val="0"/>
              <w:widowControl w:val="0"/>
              <w:kinsoku/>
              <w:wordWrap/>
              <w:overflowPunct/>
              <w:topLinePunct w:val="0"/>
              <w:autoSpaceDE/>
              <w:autoSpaceDN/>
              <w:bidi w:val="0"/>
              <w:adjustRightInd/>
              <w:snapToGrid/>
              <w:ind w:left="0"/>
              <w:jc w:val="center"/>
              <w:textAlignment w:val="auto"/>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eastAsia="zh-CN"/>
              </w:rPr>
              <w:t>食品安全组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1" w:type="dxa"/>
            <w:vAlign w:val="center"/>
          </w:tcPr>
          <w:p>
            <w:pPr>
              <w:pStyle w:val="3"/>
              <w:keepNext w:val="0"/>
              <w:keepLines w:val="0"/>
              <w:pageBreakBefore w:val="0"/>
              <w:widowControl w:val="0"/>
              <w:numPr>
                <w:ilvl w:val="0"/>
                <w:numId w:val="4"/>
              </w:numPr>
              <w:kinsoku/>
              <w:wordWrap/>
              <w:overflowPunct/>
              <w:topLinePunct w:val="0"/>
              <w:autoSpaceDE/>
              <w:autoSpaceDN/>
              <w:bidi w:val="0"/>
              <w:adjustRightInd/>
              <w:snapToGrid/>
              <w:ind w:left="425" w:leftChars="0" w:hanging="425" w:firstLineChars="0"/>
              <w:jc w:val="center"/>
              <w:textAlignment w:val="auto"/>
              <w:rPr>
                <w:rFonts w:hint="eastAsia" w:ascii="仿宋_GB2312" w:hAnsi="仿宋_GB2312" w:eastAsia="仿宋_GB2312" w:cs="仿宋_GB2312"/>
                <w:sz w:val="32"/>
                <w:szCs w:val="32"/>
                <w:vertAlign w:val="baseline"/>
                <w:lang w:eastAsia="zh-CN"/>
              </w:rPr>
            </w:pPr>
          </w:p>
        </w:tc>
        <w:tc>
          <w:tcPr>
            <w:tcW w:w="3433" w:type="dxa"/>
            <w:vMerge w:val="continue"/>
            <w:vAlign w:val="center"/>
          </w:tcPr>
          <w:p>
            <w:pPr>
              <w:pStyle w:val="3"/>
              <w:keepNext w:val="0"/>
              <w:keepLines w:val="0"/>
              <w:pageBreakBefore w:val="0"/>
              <w:widowControl w:val="0"/>
              <w:kinsoku/>
              <w:wordWrap/>
              <w:overflowPunct/>
              <w:topLinePunct w:val="0"/>
              <w:autoSpaceDE/>
              <w:autoSpaceDN/>
              <w:bidi w:val="0"/>
              <w:adjustRightInd/>
              <w:snapToGrid/>
              <w:ind w:left="0"/>
              <w:jc w:val="center"/>
              <w:textAlignment w:val="auto"/>
              <w:rPr>
                <w:rFonts w:hint="eastAsia" w:ascii="仿宋_GB2312" w:hAnsi="仿宋_GB2312" w:eastAsia="仿宋_GB2312" w:cs="仿宋_GB2312"/>
                <w:sz w:val="32"/>
                <w:szCs w:val="32"/>
                <w:vertAlign w:val="baseline"/>
                <w:lang w:eastAsia="zh-CN"/>
              </w:rPr>
            </w:pPr>
          </w:p>
        </w:tc>
        <w:tc>
          <w:tcPr>
            <w:tcW w:w="4486" w:type="dxa"/>
            <w:vAlign w:val="center"/>
          </w:tcPr>
          <w:p>
            <w:pPr>
              <w:pStyle w:val="3"/>
              <w:keepNext w:val="0"/>
              <w:keepLines w:val="0"/>
              <w:pageBreakBefore w:val="0"/>
              <w:widowControl w:val="0"/>
              <w:kinsoku/>
              <w:wordWrap/>
              <w:overflowPunct/>
              <w:topLinePunct w:val="0"/>
              <w:autoSpaceDE/>
              <w:autoSpaceDN/>
              <w:bidi w:val="0"/>
              <w:adjustRightInd/>
              <w:snapToGrid/>
              <w:ind w:left="0"/>
              <w:jc w:val="center"/>
              <w:textAlignment w:val="auto"/>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eastAsia="zh-CN"/>
              </w:rPr>
              <w:t>职业健康组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1" w:type="dxa"/>
            <w:vAlign w:val="center"/>
          </w:tcPr>
          <w:p>
            <w:pPr>
              <w:pStyle w:val="3"/>
              <w:keepNext w:val="0"/>
              <w:keepLines w:val="0"/>
              <w:pageBreakBefore w:val="0"/>
              <w:widowControl w:val="0"/>
              <w:numPr>
                <w:ilvl w:val="0"/>
                <w:numId w:val="4"/>
              </w:numPr>
              <w:kinsoku/>
              <w:wordWrap/>
              <w:overflowPunct/>
              <w:topLinePunct w:val="0"/>
              <w:autoSpaceDE/>
              <w:autoSpaceDN/>
              <w:bidi w:val="0"/>
              <w:adjustRightInd/>
              <w:snapToGrid/>
              <w:ind w:left="425" w:leftChars="0" w:hanging="425" w:firstLineChars="0"/>
              <w:jc w:val="center"/>
              <w:textAlignment w:val="auto"/>
              <w:rPr>
                <w:rFonts w:hint="eastAsia" w:ascii="仿宋_GB2312" w:hAnsi="仿宋_GB2312" w:eastAsia="仿宋_GB2312" w:cs="仿宋_GB2312"/>
                <w:sz w:val="32"/>
                <w:szCs w:val="32"/>
                <w:vertAlign w:val="baseline"/>
                <w:lang w:eastAsia="zh-CN"/>
              </w:rPr>
            </w:pPr>
          </w:p>
        </w:tc>
        <w:tc>
          <w:tcPr>
            <w:tcW w:w="3433" w:type="dxa"/>
            <w:vMerge w:val="continue"/>
            <w:vAlign w:val="center"/>
          </w:tcPr>
          <w:p>
            <w:pPr>
              <w:pStyle w:val="3"/>
              <w:keepNext w:val="0"/>
              <w:keepLines w:val="0"/>
              <w:pageBreakBefore w:val="0"/>
              <w:widowControl w:val="0"/>
              <w:kinsoku/>
              <w:wordWrap/>
              <w:overflowPunct/>
              <w:topLinePunct w:val="0"/>
              <w:autoSpaceDE/>
              <w:autoSpaceDN/>
              <w:bidi w:val="0"/>
              <w:adjustRightInd/>
              <w:snapToGrid/>
              <w:ind w:left="0"/>
              <w:jc w:val="center"/>
              <w:textAlignment w:val="auto"/>
              <w:rPr>
                <w:rFonts w:hint="eastAsia" w:ascii="仿宋_GB2312" w:hAnsi="仿宋_GB2312" w:eastAsia="仿宋_GB2312" w:cs="仿宋_GB2312"/>
                <w:sz w:val="32"/>
                <w:szCs w:val="32"/>
                <w:vertAlign w:val="baseline"/>
                <w:lang w:eastAsia="zh-CN"/>
              </w:rPr>
            </w:pPr>
          </w:p>
        </w:tc>
        <w:tc>
          <w:tcPr>
            <w:tcW w:w="4486" w:type="dxa"/>
            <w:vAlign w:val="center"/>
          </w:tcPr>
          <w:p>
            <w:pPr>
              <w:pStyle w:val="3"/>
              <w:keepNext w:val="0"/>
              <w:keepLines w:val="0"/>
              <w:pageBreakBefore w:val="0"/>
              <w:widowControl w:val="0"/>
              <w:kinsoku/>
              <w:wordWrap/>
              <w:overflowPunct/>
              <w:topLinePunct w:val="0"/>
              <w:autoSpaceDE/>
              <w:autoSpaceDN/>
              <w:bidi w:val="0"/>
              <w:adjustRightInd/>
              <w:snapToGrid/>
              <w:ind w:left="0"/>
              <w:jc w:val="center"/>
              <w:textAlignment w:val="auto"/>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eastAsia="zh-CN"/>
              </w:rPr>
              <w:t>环境保护组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1" w:type="dxa"/>
            <w:vAlign w:val="center"/>
          </w:tcPr>
          <w:p>
            <w:pPr>
              <w:pStyle w:val="3"/>
              <w:keepNext w:val="0"/>
              <w:keepLines w:val="0"/>
              <w:pageBreakBefore w:val="0"/>
              <w:widowControl w:val="0"/>
              <w:numPr>
                <w:ilvl w:val="0"/>
                <w:numId w:val="4"/>
              </w:numPr>
              <w:kinsoku/>
              <w:wordWrap/>
              <w:overflowPunct/>
              <w:topLinePunct w:val="0"/>
              <w:autoSpaceDE/>
              <w:autoSpaceDN/>
              <w:bidi w:val="0"/>
              <w:adjustRightInd/>
              <w:snapToGrid/>
              <w:ind w:left="425" w:leftChars="0" w:hanging="425" w:firstLineChars="0"/>
              <w:jc w:val="center"/>
              <w:textAlignment w:val="auto"/>
              <w:rPr>
                <w:rFonts w:hint="eastAsia" w:ascii="仿宋_GB2312" w:hAnsi="仿宋_GB2312" w:eastAsia="仿宋_GB2312" w:cs="仿宋_GB2312"/>
                <w:sz w:val="32"/>
                <w:szCs w:val="32"/>
                <w:vertAlign w:val="baseline"/>
                <w:lang w:eastAsia="zh-CN"/>
              </w:rPr>
            </w:pPr>
          </w:p>
        </w:tc>
        <w:tc>
          <w:tcPr>
            <w:tcW w:w="3433" w:type="dxa"/>
            <w:vMerge w:val="restart"/>
            <w:vAlign w:val="center"/>
          </w:tcPr>
          <w:p>
            <w:pPr>
              <w:pStyle w:val="3"/>
              <w:keepNext w:val="0"/>
              <w:keepLines w:val="0"/>
              <w:pageBreakBefore w:val="0"/>
              <w:widowControl w:val="0"/>
              <w:kinsoku/>
              <w:wordWrap/>
              <w:overflowPunct/>
              <w:topLinePunct w:val="0"/>
              <w:autoSpaceDE/>
              <w:autoSpaceDN/>
              <w:bidi w:val="0"/>
              <w:adjustRightInd/>
              <w:snapToGrid/>
              <w:ind w:left="0"/>
              <w:jc w:val="center"/>
              <w:textAlignment w:val="auto"/>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4.社会安全</w:t>
            </w:r>
          </w:p>
        </w:tc>
        <w:tc>
          <w:tcPr>
            <w:tcW w:w="4486" w:type="dxa"/>
            <w:vAlign w:val="center"/>
          </w:tcPr>
          <w:p>
            <w:pPr>
              <w:pStyle w:val="3"/>
              <w:keepNext w:val="0"/>
              <w:keepLines w:val="0"/>
              <w:pageBreakBefore w:val="0"/>
              <w:widowControl w:val="0"/>
              <w:kinsoku/>
              <w:wordWrap/>
              <w:overflowPunct/>
              <w:topLinePunct w:val="0"/>
              <w:autoSpaceDE/>
              <w:autoSpaceDN/>
              <w:bidi w:val="0"/>
              <w:adjustRightInd/>
              <w:snapToGrid/>
              <w:ind w:left="0"/>
              <w:jc w:val="center"/>
              <w:textAlignment w:val="auto"/>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eastAsia="zh-CN"/>
              </w:rPr>
              <w:t>反恐事件组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1" w:type="dxa"/>
            <w:vAlign w:val="center"/>
          </w:tcPr>
          <w:p>
            <w:pPr>
              <w:pStyle w:val="3"/>
              <w:keepNext w:val="0"/>
              <w:keepLines w:val="0"/>
              <w:pageBreakBefore w:val="0"/>
              <w:widowControl w:val="0"/>
              <w:numPr>
                <w:ilvl w:val="0"/>
                <w:numId w:val="4"/>
              </w:numPr>
              <w:kinsoku/>
              <w:wordWrap/>
              <w:overflowPunct/>
              <w:topLinePunct w:val="0"/>
              <w:autoSpaceDE/>
              <w:autoSpaceDN/>
              <w:bidi w:val="0"/>
              <w:adjustRightInd/>
              <w:snapToGrid/>
              <w:ind w:left="425" w:leftChars="0" w:hanging="425" w:firstLineChars="0"/>
              <w:jc w:val="center"/>
              <w:textAlignment w:val="auto"/>
              <w:rPr>
                <w:rFonts w:hint="eastAsia" w:ascii="仿宋_GB2312" w:hAnsi="仿宋_GB2312" w:eastAsia="仿宋_GB2312" w:cs="仿宋_GB2312"/>
                <w:sz w:val="32"/>
                <w:szCs w:val="32"/>
                <w:vertAlign w:val="baseline"/>
                <w:lang w:eastAsia="zh-CN"/>
              </w:rPr>
            </w:pPr>
          </w:p>
        </w:tc>
        <w:tc>
          <w:tcPr>
            <w:tcW w:w="3433" w:type="dxa"/>
            <w:vMerge w:val="continue"/>
            <w:vAlign w:val="center"/>
          </w:tcPr>
          <w:p>
            <w:pPr>
              <w:pStyle w:val="3"/>
              <w:keepNext w:val="0"/>
              <w:keepLines w:val="0"/>
              <w:pageBreakBefore w:val="0"/>
              <w:widowControl w:val="0"/>
              <w:kinsoku/>
              <w:wordWrap/>
              <w:overflowPunct/>
              <w:topLinePunct w:val="0"/>
              <w:autoSpaceDE/>
              <w:autoSpaceDN/>
              <w:bidi w:val="0"/>
              <w:adjustRightInd/>
              <w:snapToGrid/>
              <w:ind w:left="0"/>
              <w:jc w:val="center"/>
              <w:textAlignment w:val="auto"/>
              <w:rPr>
                <w:rFonts w:hint="eastAsia" w:ascii="仿宋_GB2312" w:hAnsi="仿宋_GB2312" w:eastAsia="仿宋_GB2312" w:cs="仿宋_GB2312"/>
                <w:sz w:val="32"/>
                <w:szCs w:val="32"/>
                <w:vertAlign w:val="baseline"/>
                <w:lang w:eastAsia="zh-CN"/>
              </w:rPr>
            </w:pPr>
          </w:p>
        </w:tc>
        <w:tc>
          <w:tcPr>
            <w:tcW w:w="4486" w:type="dxa"/>
            <w:vAlign w:val="center"/>
          </w:tcPr>
          <w:p>
            <w:pPr>
              <w:pStyle w:val="3"/>
              <w:keepNext w:val="0"/>
              <w:keepLines w:val="0"/>
              <w:pageBreakBefore w:val="0"/>
              <w:widowControl w:val="0"/>
              <w:kinsoku/>
              <w:wordWrap/>
              <w:overflowPunct/>
              <w:topLinePunct w:val="0"/>
              <w:autoSpaceDE/>
              <w:autoSpaceDN/>
              <w:bidi w:val="0"/>
              <w:adjustRightInd/>
              <w:snapToGrid/>
              <w:ind w:left="0"/>
              <w:jc w:val="center"/>
              <w:textAlignment w:val="auto"/>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eastAsia="zh-CN"/>
              </w:rPr>
              <w:t>群体性事件组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1" w:type="dxa"/>
            <w:vAlign w:val="center"/>
          </w:tcPr>
          <w:p>
            <w:pPr>
              <w:pStyle w:val="3"/>
              <w:keepNext w:val="0"/>
              <w:keepLines w:val="0"/>
              <w:pageBreakBefore w:val="0"/>
              <w:widowControl w:val="0"/>
              <w:numPr>
                <w:ilvl w:val="0"/>
                <w:numId w:val="4"/>
              </w:numPr>
              <w:kinsoku/>
              <w:wordWrap/>
              <w:overflowPunct/>
              <w:topLinePunct w:val="0"/>
              <w:autoSpaceDE/>
              <w:autoSpaceDN/>
              <w:bidi w:val="0"/>
              <w:adjustRightInd/>
              <w:snapToGrid/>
              <w:ind w:left="425" w:leftChars="0" w:hanging="425" w:firstLineChars="0"/>
              <w:jc w:val="center"/>
              <w:textAlignment w:val="auto"/>
              <w:rPr>
                <w:rFonts w:hint="eastAsia" w:ascii="仿宋_GB2312" w:hAnsi="仿宋_GB2312" w:eastAsia="仿宋_GB2312" w:cs="仿宋_GB2312"/>
                <w:sz w:val="32"/>
                <w:szCs w:val="32"/>
                <w:vertAlign w:val="baseline"/>
                <w:lang w:eastAsia="zh-CN"/>
              </w:rPr>
            </w:pPr>
          </w:p>
        </w:tc>
        <w:tc>
          <w:tcPr>
            <w:tcW w:w="3433" w:type="dxa"/>
            <w:vMerge w:val="continue"/>
            <w:vAlign w:val="center"/>
          </w:tcPr>
          <w:p>
            <w:pPr>
              <w:pStyle w:val="3"/>
              <w:keepNext w:val="0"/>
              <w:keepLines w:val="0"/>
              <w:pageBreakBefore w:val="0"/>
              <w:widowControl w:val="0"/>
              <w:kinsoku/>
              <w:wordWrap/>
              <w:overflowPunct/>
              <w:topLinePunct w:val="0"/>
              <w:autoSpaceDE/>
              <w:autoSpaceDN/>
              <w:bidi w:val="0"/>
              <w:adjustRightInd/>
              <w:snapToGrid/>
              <w:ind w:left="0"/>
              <w:jc w:val="center"/>
              <w:textAlignment w:val="auto"/>
              <w:rPr>
                <w:rFonts w:hint="eastAsia" w:ascii="仿宋_GB2312" w:hAnsi="仿宋_GB2312" w:eastAsia="仿宋_GB2312" w:cs="仿宋_GB2312"/>
                <w:sz w:val="32"/>
                <w:szCs w:val="32"/>
                <w:vertAlign w:val="baseline"/>
                <w:lang w:eastAsia="zh-CN"/>
              </w:rPr>
            </w:pPr>
          </w:p>
        </w:tc>
        <w:tc>
          <w:tcPr>
            <w:tcW w:w="4486" w:type="dxa"/>
            <w:vAlign w:val="center"/>
          </w:tcPr>
          <w:p>
            <w:pPr>
              <w:pStyle w:val="3"/>
              <w:keepNext w:val="0"/>
              <w:keepLines w:val="0"/>
              <w:pageBreakBefore w:val="0"/>
              <w:widowControl w:val="0"/>
              <w:kinsoku/>
              <w:wordWrap/>
              <w:overflowPunct/>
              <w:topLinePunct w:val="0"/>
              <w:autoSpaceDE/>
              <w:autoSpaceDN/>
              <w:bidi w:val="0"/>
              <w:adjustRightInd/>
              <w:snapToGrid/>
              <w:ind w:left="0"/>
              <w:jc w:val="center"/>
              <w:textAlignment w:val="auto"/>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eastAsia="zh-CN"/>
              </w:rPr>
              <w:t>经济安全组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1" w:type="dxa"/>
            <w:vAlign w:val="center"/>
          </w:tcPr>
          <w:p>
            <w:pPr>
              <w:pStyle w:val="3"/>
              <w:keepNext w:val="0"/>
              <w:keepLines w:val="0"/>
              <w:pageBreakBefore w:val="0"/>
              <w:widowControl w:val="0"/>
              <w:numPr>
                <w:ilvl w:val="0"/>
                <w:numId w:val="4"/>
              </w:numPr>
              <w:kinsoku/>
              <w:wordWrap/>
              <w:overflowPunct/>
              <w:topLinePunct w:val="0"/>
              <w:autoSpaceDE/>
              <w:autoSpaceDN/>
              <w:bidi w:val="0"/>
              <w:adjustRightInd/>
              <w:snapToGrid/>
              <w:ind w:left="425" w:leftChars="0" w:hanging="425" w:firstLineChars="0"/>
              <w:jc w:val="center"/>
              <w:textAlignment w:val="auto"/>
              <w:rPr>
                <w:rFonts w:hint="eastAsia" w:ascii="仿宋_GB2312" w:hAnsi="仿宋_GB2312" w:eastAsia="仿宋_GB2312" w:cs="仿宋_GB2312"/>
                <w:sz w:val="32"/>
                <w:szCs w:val="32"/>
                <w:vertAlign w:val="baseline"/>
                <w:lang w:eastAsia="zh-CN"/>
              </w:rPr>
            </w:pPr>
          </w:p>
        </w:tc>
        <w:tc>
          <w:tcPr>
            <w:tcW w:w="3433" w:type="dxa"/>
            <w:vMerge w:val="continue"/>
            <w:vAlign w:val="center"/>
          </w:tcPr>
          <w:p>
            <w:pPr>
              <w:pStyle w:val="3"/>
              <w:keepNext w:val="0"/>
              <w:keepLines w:val="0"/>
              <w:pageBreakBefore w:val="0"/>
              <w:widowControl w:val="0"/>
              <w:kinsoku/>
              <w:wordWrap/>
              <w:overflowPunct/>
              <w:topLinePunct w:val="0"/>
              <w:autoSpaceDE/>
              <w:autoSpaceDN/>
              <w:bidi w:val="0"/>
              <w:adjustRightInd/>
              <w:snapToGrid/>
              <w:ind w:left="0"/>
              <w:jc w:val="center"/>
              <w:textAlignment w:val="auto"/>
              <w:rPr>
                <w:rFonts w:hint="eastAsia" w:ascii="仿宋_GB2312" w:hAnsi="仿宋_GB2312" w:eastAsia="仿宋_GB2312" w:cs="仿宋_GB2312"/>
                <w:sz w:val="32"/>
                <w:szCs w:val="32"/>
                <w:vertAlign w:val="baseline"/>
                <w:lang w:eastAsia="zh-CN"/>
              </w:rPr>
            </w:pPr>
          </w:p>
        </w:tc>
        <w:tc>
          <w:tcPr>
            <w:tcW w:w="4486" w:type="dxa"/>
            <w:vAlign w:val="center"/>
          </w:tcPr>
          <w:p>
            <w:pPr>
              <w:pStyle w:val="3"/>
              <w:keepNext w:val="0"/>
              <w:keepLines w:val="0"/>
              <w:pageBreakBefore w:val="0"/>
              <w:widowControl w:val="0"/>
              <w:kinsoku/>
              <w:wordWrap/>
              <w:overflowPunct/>
              <w:topLinePunct w:val="0"/>
              <w:autoSpaceDE/>
              <w:autoSpaceDN/>
              <w:bidi w:val="0"/>
              <w:adjustRightInd/>
              <w:snapToGrid/>
              <w:ind w:left="0"/>
              <w:jc w:val="center"/>
              <w:textAlignment w:val="auto"/>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eastAsia="zh-CN"/>
              </w:rPr>
              <w:t>交通安全组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1" w:type="dxa"/>
            <w:vAlign w:val="center"/>
          </w:tcPr>
          <w:p>
            <w:pPr>
              <w:pStyle w:val="3"/>
              <w:keepNext w:val="0"/>
              <w:keepLines w:val="0"/>
              <w:pageBreakBefore w:val="0"/>
              <w:widowControl w:val="0"/>
              <w:numPr>
                <w:ilvl w:val="0"/>
                <w:numId w:val="4"/>
              </w:numPr>
              <w:kinsoku/>
              <w:wordWrap/>
              <w:overflowPunct/>
              <w:topLinePunct w:val="0"/>
              <w:autoSpaceDE/>
              <w:autoSpaceDN/>
              <w:bidi w:val="0"/>
              <w:adjustRightInd/>
              <w:snapToGrid/>
              <w:ind w:left="425" w:leftChars="0" w:hanging="425" w:firstLineChars="0"/>
              <w:jc w:val="center"/>
              <w:textAlignment w:val="auto"/>
              <w:rPr>
                <w:rFonts w:hint="eastAsia" w:ascii="仿宋_GB2312" w:hAnsi="仿宋_GB2312" w:eastAsia="仿宋_GB2312" w:cs="仿宋_GB2312"/>
                <w:sz w:val="32"/>
                <w:szCs w:val="32"/>
                <w:vertAlign w:val="baseline"/>
                <w:lang w:eastAsia="zh-CN"/>
              </w:rPr>
            </w:pPr>
          </w:p>
        </w:tc>
        <w:tc>
          <w:tcPr>
            <w:tcW w:w="3433" w:type="dxa"/>
            <w:vMerge w:val="continue"/>
            <w:vAlign w:val="center"/>
          </w:tcPr>
          <w:p>
            <w:pPr>
              <w:pStyle w:val="3"/>
              <w:keepNext w:val="0"/>
              <w:keepLines w:val="0"/>
              <w:pageBreakBefore w:val="0"/>
              <w:widowControl w:val="0"/>
              <w:kinsoku/>
              <w:wordWrap/>
              <w:overflowPunct/>
              <w:topLinePunct w:val="0"/>
              <w:autoSpaceDE/>
              <w:autoSpaceDN/>
              <w:bidi w:val="0"/>
              <w:adjustRightInd/>
              <w:snapToGrid/>
              <w:ind w:left="0"/>
              <w:jc w:val="center"/>
              <w:textAlignment w:val="auto"/>
              <w:rPr>
                <w:rFonts w:hint="eastAsia" w:ascii="仿宋_GB2312" w:hAnsi="仿宋_GB2312" w:eastAsia="仿宋_GB2312" w:cs="仿宋_GB2312"/>
                <w:sz w:val="32"/>
                <w:szCs w:val="32"/>
                <w:vertAlign w:val="baseline"/>
                <w:lang w:eastAsia="zh-CN"/>
              </w:rPr>
            </w:pPr>
          </w:p>
        </w:tc>
        <w:tc>
          <w:tcPr>
            <w:tcW w:w="4486" w:type="dxa"/>
            <w:vAlign w:val="center"/>
          </w:tcPr>
          <w:p>
            <w:pPr>
              <w:pStyle w:val="3"/>
              <w:keepNext w:val="0"/>
              <w:keepLines w:val="0"/>
              <w:pageBreakBefore w:val="0"/>
              <w:widowControl w:val="0"/>
              <w:kinsoku/>
              <w:wordWrap/>
              <w:overflowPunct/>
              <w:topLinePunct w:val="0"/>
              <w:autoSpaceDE/>
              <w:autoSpaceDN/>
              <w:bidi w:val="0"/>
              <w:adjustRightInd/>
              <w:snapToGrid/>
              <w:ind w:left="0"/>
              <w:jc w:val="center"/>
              <w:textAlignment w:val="auto"/>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eastAsia="zh-CN"/>
              </w:rPr>
              <w:t>涉外突发事件组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1" w:type="dxa"/>
            <w:vAlign w:val="center"/>
          </w:tcPr>
          <w:p>
            <w:pPr>
              <w:pStyle w:val="3"/>
              <w:keepNext w:val="0"/>
              <w:keepLines w:val="0"/>
              <w:pageBreakBefore w:val="0"/>
              <w:widowControl w:val="0"/>
              <w:numPr>
                <w:ilvl w:val="0"/>
                <w:numId w:val="4"/>
              </w:numPr>
              <w:kinsoku/>
              <w:wordWrap/>
              <w:overflowPunct/>
              <w:topLinePunct w:val="0"/>
              <w:autoSpaceDE/>
              <w:autoSpaceDN/>
              <w:bidi w:val="0"/>
              <w:adjustRightInd/>
              <w:snapToGrid/>
              <w:ind w:left="425" w:leftChars="0" w:hanging="425" w:firstLineChars="0"/>
              <w:jc w:val="center"/>
              <w:textAlignment w:val="auto"/>
              <w:rPr>
                <w:rFonts w:hint="eastAsia" w:ascii="仿宋_GB2312" w:hAnsi="仿宋_GB2312" w:eastAsia="仿宋_GB2312" w:cs="仿宋_GB2312"/>
                <w:sz w:val="32"/>
                <w:szCs w:val="32"/>
                <w:vertAlign w:val="baseline"/>
                <w:lang w:eastAsia="zh-CN"/>
              </w:rPr>
            </w:pPr>
          </w:p>
        </w:tc>
        <w:tc>
          <w:tcPr>
            <w:tcW w:w="3433" w:type="dxa"/>
            <w:vMerge w:val="restart"/>
            <w:vAlign w:val="center"/>
          </w:tcPr>
          <w:p>
            <w:pPr>
              <w:pStyle w:val="3"/>
              <w:keepNext w:val="0"/>
              <w:keepLines w:val="0"/>
              <w:pageBreakBefore w:val="0"/>
              <w:widowControl w:val="0"/>
              <w:kinsoku/>
              <w:wordWrap/>
              <w:overflowPunct/>
              <w:topLinePunct w:val="0"/>
              <w:autoSpaceDE/>
              <w:autoSpaceDN/>
              <w:bidi w:val="0"/>
              <w:adjustRightInd/>
              <w:snapToGrid/>
              <w:ind w:left="0"/>
              <w:jc w:val="center"/>
              <w:textAlignment w:val="auto"/>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5.综合管理</w:t>
            </w:r>
          </w:p>
        </w:tc>
        <w:tc>
          <w:tcPr>
            <w:tcW w:w="4486" w:type="dxa"/>
            <w:vAlign w:val="center"/>
          </w:tcPr>
          <w:p>
            <w:pPr>
              <w:pStyle w:val="3"/>
              <w:keepNext w:val="0"/>
              <w:keepLines w:val="0"/>
              <w:pageBreakBefore w:val="0"/>
              <w:widowControl w:val="0"/>
              <w:kinsoku/>
              <w:wordWrap/>
              <w:overflowPunct/>
              <w:topLinePunct w:val="0"/>
              <w:autoSpaceDE/>
              <w:autoSpaceDN/>
              <w:bidi w:val="0"/>
              <w:adjustRightInd/>
              <w:snapToGrid/>
              <w:ind w:left="0"/>
              <w:jc w:val="center"/>
              <w:textAlignment w:val="auto"/>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eastAsia="zh-CN"/>
              </w:rPr>
              <w:t>政策标准组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1" w:type="dxa"/>
            <w:vAlign w:val="center"/>
          </w:tcPr>
          <w:p>
            <w:pPr>
              <w:pStyle w:val="3"/>
              <w:keepNext w:val="0"/>
              <w:keepLines w:val="0"/>
              <w:pageBreakBefore w:val="0"/>
              <w:widowControl w:val="0"/>
              <w:numPr>
                <w:ilvl w:val="0"/>
                <w:numId w:val="4"/>
              </w:numPr>
              <w:kinsoku/>
              <w:wordWrap/>
              <w:overflowPunct/>
              <w:topLinePunct w:val="0"/>
              <w:autoSpaceDE/>
              <w:autoSpaceDN/>
              <w:bidi w:val="0"/>
              <w:adjustRightInd/>
              <w:snapToGrid/>
              <w:ind w:left="425" w:leftChars="0" w:hanging="425" w:firstLineChars="0"/>
              <w:jc w:val="center"/>
              <w:textAlignment w:val="auto"/>
              <w:rPr>
                <w:rFonts w:hint="eastAsia" w:ascii="仿宋_GB2312" w:hAnsi="仿宋_GB2312" w:eastAsia="仿宋_GB2312" w:cs="仿宋_GB2312"/>
                <w:sz w:val="32"/>
                <w:szCs w:val="32"/>
                <w:vertAlign w:val="baseline"/>
                <w:lang w:eastAsia="zh-CN"/>
              </w:rPr>
            </w:pPr>
          </w:p>
        </w:tc>
        <w:tc>
          <w:tcPr>
            <w:tcW w:w="3433" w:type="dxa"/>
            <w:vMerge w:val="continue"/>
            <w:vAlign w:val="center"/>
          </w:tcPr>
          <w:p>
            <w:pPr>
              <w:pStyle w:val="3"/>
              <w:keepNext w:val="0"/>
              <w:keepLines w:val="0"/>
              <w:pageBreakBefore w:val="0"/>
              <w:widowControl w:val="0"/>
              <w:kinsoku/>
              <w:wordWrap/>
              <w:overflowPunct/>
              <w:topLinePunct w:val="0"/>
              <w:autoSpaceDE/>
              <w:autoSpaceDN/>
              <w:bidi w:val="0"/>
              <w:adjustRightInd/>
              <w:snapToGrid/>
              <w:ind w:left="0"/>
              <w:jc w:val="center"/>
              <w:textAlignment w:val="auto"/>
              <w:rPr>
                <w:rFonts w:hint="eastAsia" w:ascii="仿宋_GB2312" w:hAnsi="仿宋_GB2312" w:eastAsia="仿宋_GB2312" w:cs="仿宋_GB2312"/>
                <w:sz w:val="32"/>
                <w:szCs w:val="32"/>
                <w:vertAlign w:val="baseline"/>
                <w:lang w:eastAsia="zh-CN"/>
              </w:rPr>
            </w:pPr>
          </w:p>
        </w:tc>
        <w:tc>
          <w:tcPr>
            <w:tcW w:w="4486" w:type="dxa"/>
            <w:vAlign w:val="center"/>
          </w:tcPr>
          <w:p>
            <w:pPr>
              <w:pStyle w:val="3"/>
              <w:keepNext w:val="0"/>
              <w:keepLines w:val="0"/>
              <w:pageBreakBefore w:val="0"/>
              <w:widowControl w:val="0"/>
              <w:kinsoku/>
              <w:wordWrap/>
              <w:overflowPunct/>
              <w:topLinePunct w:val="0"/>
              <w:autoSpaceDE/>
              <w:autoSpaceDN/>
              <w:bidi w:val="0"/>
              <w:adjustRightInd/>
              <w:snapToGrid/>
              <w:ind w:left="0"/>
              <w:jc w:val="center"/>
              <w:textAlignment w:val="auto"/>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eastAsia="zh-CN"/>
              </w:rPr>
              <w:t>应急救援组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1" w:type="dxa"/>
            <w:vAlign w:val="center"/>
          </w:tcPr>
          <w:p>
            <w:pPr>
              <w:pStyle w:val="3"/>
              <w:keepNext w:val="0"/>
              <w:keepLines w:val="0"/>
              <w:pageBreakBefore w:val="0"/>
              <w:widowControl w:val="0"/>
              <w:numPr>
                <w:ilvl w:val="0"/>
                <w:numId w:val="4"/>
              </w:numPr>
              <w:kinsoku/>
              <w:wordWrap/>
              <w:overflowPunct/>
              <w:topLinePunct w:val="0"/>
              <w:autoSpaceDE/>
              <w:autoSpaceDN/>
              <w:bidi w:val="0"/>
              <w:adjustRightInd/>
              <w:snapToGrid/>
              <w:ind w:left="425" w:leftChars="0" w:hanging="425" w:firstLineChars="0"/>
              <w:jc w:val="center"/>
              <w:textAlignment w:val="auto"/>
              <w:rPr>
                <w:rFonts w:hint="eastAsia" w:ascii="仿宋_GB2312" w:hAnsi="仿宋_GB2312" w:eastAsia="仿宋_GB2312" w:cs="仿宋_GB2312"/>
                <w:sz w:val="32"/>
                <w:szCs w:val="32"/>
                <w:vertAlign w:val="baseline"/>
                <w:lang w:eastAsia="zh-CN"/>
              </w:rPr>
            </w:pPr>
          </w:p>
        </w:tc>
        <w:tc>
          <w:tcPr>
            <w:tcW w:w="3433" w:type="dxa"/>
            <w:vMerge w:val="continue"/>
            <w:vAlign w:val="center"/>
          </w:tcPr>
          <w:p>
            <w:pPr>
              <w:pStyle w:val="3"/>
              <w:keepNext w:val="0"/>
              <w:keepLines w:val="0"/>
              <w:pageBreakBefore w:val="0"/>
              <w:widowControl w:val="0"/>
              <w:kinsoku/>
              <w:wordWrap/>
              <w:overflowPunct/>
              <w:topLinePunct w:val="0"/>
              <w:autoSpaceDE/>
              <w:autoSpaceDN/>
              <w:bidi w:val="0"/>
              <w:adjustRightInd/>
              <w:snapToGrid/>
              <w:ind w:left="0"/>
              <w:jc w:val="center"/>
              <w:textAlignment w:val="auto"/>
              <w:rPr>
                <w:rFonts w:hint="eastAsia" w:ascii="仿宋_GB2312" w:hAnsi="仿宋_GB2312" w:eastAsia="仿宋_GB2312" w:cs="仿宋_GB2312"/>
                <w:sz w:val="32"/>
                <w:szCs w:val="32"/>
                <w:vertAlign w:val="baseline"/>
                <w:lang w:eastAsia="zh-CN"/>
              </w:rPr>
            </w:pPr>
          </w:p>
        </w:tc>
        <w:tc>
          <w:tcPr>
            <w:tcW w:w="4486" w:type="dxa"/>
            <w:vAlign w:val="center"/>
          </w:tcPr>
          <w:p>
            <w:pPr>
              <w:pStyle w:val="3"/>
              <w:keepNext w:val="0"/>
              <w:keepLines w:val="0"/>
              <w:pageBreakBefore w:val="0"/>
              <w:widowControl w:val="0"/>
              <w:kinsoku/>
              <w:wordWrap/>
              <w:overflowPunct/>
              <w:topLinePunct w:val="0"/>
              <w:autoSpaceDE/>
              <w:autoSpaceDN/>
              <w:bidi w:val="0"/>
              <w:adjustRightInd/>
              <w:snapToGrid/>
              <w:ind w:left="0"/>
              <w:jc w:val="center"/>
              <w:textAlignment w:val="auto"/>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eastAsia="zh-CN"/>
              </w:rPr>
              <w:t>信息科技组</w:t>
            </w:r>
          </w:p>
        </w:tc>
      </w:tr>
    </w:tbl>
    <w:p>
      <w:pPr>
        <w:pStyle w:val="3"/>
        <w:keepNext w:val="0"/>
        <w:keepLines w:val="0"/>
        <w:pageBreakBefore w:val="0"/>
        <w:widowControl w:val="0"/>
        <w:kinsoku/>
        <w:wordWrap/>
        <w:overflowPunct/>
        <w:topLinePunct w:val="0"/>
        <w:autoSpaceDE/>
        <w:autoSpaceDN/>
        <w:bidi w:val="0"/>
        <w:adjustRightInd/>
        <w:snapToGrid/>
        <w:ind w:left="0"/>
        <w:textAlignment w:val="auto"/>
        <w:rPr>
          <w:rFonts w:hint="eastAsia" w:ascii="仿宋_GB2312" w:hAnsi="仿宋_GB2312" w:eastAsia="仿宋_GB2312" w:cs="仿宋_GB2312"/>
          <w:sz w:val="32"/>
          <w:szCs w:val="32"/>
          <w:lang w:eastAsia="zh-CN"/>
        </w:rPr>
      </w:pPr>
    </w:p>
    <w:p>
      <w:pPr>
        <w:pStyle w:val="3"/>
        <w:keepNext w:val="0"/>
        <w:keepLines w:val="0"/>
        <w:pageBreakBefore w:val="0"/>
        <w:widowControl w:val="0"/>
        <w:kinsoku/>
        <w:wordWrap/>
        <w:overflowPunct/>
        <w:topLinePunct w:val="0"/>
        <w:autoSpaceDE/>
        <w:autoSpaceDN/>
        <w:bidi w:val="0"/>
        <w:adjustRightInd/>
        <w:snapToGrid/>
        <w:ind w:left="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概述：以上分类包括</w:t>
      </w:r>
      <w:r>
        <w:rPr>
          <w:rFonts w:hint="eastAsia" w:ascii="仿宋_GB2312" w:hAnsi="仿宋_GB2312" w:eastAsia="仿宋_GB2312" w:cs="仿宋_GB2312"/>
          <w:sz w:val="32"/>
          <w:szCs w:val="32"/>
          <w:lang w:val="en-US" w:eastAsia="zh-CN"/>
        </w:rPr>
        <w:t>5个领域，28个组别。</w:t>
      </w:r>
    </w:p>
    <w:sectPr>
      <w:footerReference r:id="rId3" w:type="default"/>
      <w:pgSz w:w="11906" w:h="16838"/>
      <w:pgMar w:top="2098" w:right="1474" w:bottom="1984" w:left="1587"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posOffset>4778375</wp:posOffset>
              </wp:positionH>
              <wp:positionV relativeFrom="paragraph">
                <wp:posOffset>-9525</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left:376.25pt;margin-top:-0.75pt;height:144pt;width:144pt;mso-position-horizontal-relative:margin;mso-wrap-style:none;z-index:251658240;mso-width-relative:page;mso-height-relative:page;" filled="f" stroked="f" coordsize="21600,21600" o:gfxdata="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WAAAAZHJzL1BLAQIU&#10;ABQAAAAIAIdO4kCBiRar2AAAAAsBAAAPAAAAAAAAAAEAIAAAADgAAABkcnMvZG93bnJldi54bWxQ&#10;SwECFAAUAAAACACHTuJAJhrSbhoCAAApBAAADgAAAAAAAAABACAAAAA9AQAAZHJzL2Uyb0RvYy54&#10;bWxQSwUGAAAAAAYABgBZAQAAyQUAAAAA&#10;">
              <v:fill on="f" focussize="0,0"/>
              <v:stroke on="f" weight="0.5pt"/>
              <v:imagedata o:title=""/>
              <o:lock v:ext="edit" aspectratio="f"/>
              <v:textbox inset="0mm,0mm,0mm,0mm" style="mso-fit-shape-to-text:t;">
                <w:txbxContent>
                  <w:p>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ADE697"/>
    <w:multiLevelType w:val="singleLevel"/>
    <w:tmpl w:val="BFADE697"/>
    <w:lvl w:ilvl="0" w:tentative="0">
      <w:start w:val="1"/>
      <w:numFmt w:val="chineseCounting"/>
      <w:suff w:val="nothing"/>
      <w:lvlText w:val="%1、"/>
      <w:lvlJc w:val="left"/>
      <w:rPr>
        <w:rFonts w:hint="eastAsia"/>
      </w:rPr>
    </w:lvl>
  </w:abstractNum>
  <w:abstractNum w:abstractNumId="1">
    <w:nsid w:val="BFEB71C2"/>
    <w:multiLevelType w:val="singleLevel"/>
    <w:tmpl w:val="BFEB71C2"/>
    <w:lvl w:ilvl="0" w:tentative="0">
      <w:start w:val="1"/>
      <w:numFmt w:val="chineseCounting"/>
      <w:suff w:val="space"/>
      <w:lvlText w:val="第%1章"/>
      <w:lvlJc w:val="left"/>
      <w:rPr>
        <w:rFonts w:hint="eastAsia"/>
      </w:rPr>
    </w:lvl>
  </w:abstractNum>
  <w:abstractNum w:abstractNumId="2">
    <w:nsid w:val="FABE8DF9"/>
    <w:multiLevelType w:val="singleLevel"/>
    <w:tmpl w:val="FABE8DF9"/>
    <w:lvl w:ilvl="0" w:tentative="0">
      <w:start w:val="4"/>
      <w:numFmt w:val="chineseCounting"/>
      <w:suff w:val="nothing"/>
      <w:lvlText w:val="（%1）"/>
      <w:lvlJc w:val="left"/>
      <w:rPr>
        <w:rFonts w:hint="eastAsia"/>
      </w:rPr>
    </w:lvl>
  </w:abstractNum>
  <w:abstractNum w:abstractNumId="3">
    <w:nsid w:val="7DED7A9F"/>
    <w:multiLevelType w:val="singleLevel"/>
    <w:tmpl w:val="7DED7A9F"/>
    <w:lvl w:ilvl="0" w:tentative="0">
      <w:start w:val="1"/>
      <w:numFmt w:val="decimal"/>
      <w:lvlText w:val="%1"/>
      <w:lvlJc w:val="left"/>
      <w:pPr>
        <w:tabs>
          <w:tab w:val="left" w:pos="420"/>
        </w:tabs>
        <w:ind w:left="425" w:leftChars="0" w:hanging="425" w:firstLineChars="0"/>
      </w:pPr>
      <w:rPr>
        <w:rFonts w:hint="default" w:ascii="仿宋_GB2312" w:hAnsi="仿宋_GB2312" w:cs="仿宋_GB2312"/>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5BB08AC"/>
    <w:rsid w:val="2BBF5A2A"/>
    <w:rsid w:val="35BB08AC"/>
    <w:rsid w:val="3BF3CB04"/>
    <w:rsid w:val="5ED28BD7"/>
    <w:rsid w:val="6CFD6942"/>
    <w:rsid w:val="7BFA34ED"/>
    <w:rsid w:val="7FFF3BAD"/>
    <w:rsid w:val="86F9FF7A"/>
    <w:rsid w:val="BFE547E6"/>
    <w:rsid w:val="C7F780CC"/>
    <w:rsid w:val="DFDFA452"/>
    <w:rsid w:val="E94A492D"/>
    <w:rsid w:val="F7CFB2DE"/>
    <w:rsid w:val="FE663A19"/>
    <w:rsid w:val="FEFE1DD5"/>
    <w:rsid w:val="FFFFB0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iPriority="99"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Plain Text"/>
    <w:basedOn w:val="1"/>
    <w:next w:val="3"/>
    <w:qFormat/>
    <w:uiPriority w:val="0"/>
    <w:rPr>
      <w:rFonts w:ascii="宋体" w:hAnsi="Courier New"/>
    </w:rPr>
  </w:style>
  <w:style w:type="paragraph" w:styleId="3">
    <w:name w:val="index 8"/>
    <w:basedOn w:val="1"/>
    <w:next w:val="1"/>
    <w:unhideWhenUsed/>
    <w:qFormat/>
    <w:uiPriority w:val="99"/>
    <w:pPr>
      <w:ind w:left="294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55</TotalTime>
  <ScaleCrop>false</ScaleCrop>
  <LinksUpToDate>false</LinksUpToDate>
  <CharactersWithSpaces>0</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2022-07-31T06:43:00Z</dcterms:created>
  <dc:creator>露露</dc:creator>
  <cp:lastModifiedBy>陈满满</cp:lastModifiedBy>
  <cp:lastPrinted>2023-03-06T17:34:46Z</cp:lastPrinted>
  <dcterms:modified xsi:type="dcterms:W3CDTF">2023-03-07T16:07:37Z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ies>
</file>