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outlineLvl w:val="9"/>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pacing w:line="560" w:lineRule="exact"/>
        <w:jc w:val="left"/>
        <w:textAlignment w:val="auto"/>
        <w:outlineLvl w:val="9"/>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pacing w:line="560" w:lineRule="exact"/>
        <w:jc w:val="left"/>
        <w:textAlignment w:val="auto"/>
        <w:outlineLvl w:val="9"/>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黑体" w:eastAsia="黑体"/>
          <w:b/>
          <w:sz w:val="52"/>
          <w:szCs w:val="52"/>
        </w:rPr>
      </w:pPr>
      <w:bookmarkStart w:id="0" w:name="_Toc10059"/>
      <w:r>
        <w:rPr>
          <w:rFonts w:hint="eastAsia" w:ascii="黑体" w:eastAsia="黑体"/>
          <w:b/>
          <w:sz w:val="52"/>
          <w:szCs w:val="52"/>
        </w:rPr>
        <w:t>深圳市深汕特别合作区支持商贸</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黑体" w:eastAsia="黑体"/>
          <w:b/>
          <w:sz w:val="52"/>
          <w:szCs w:val="52"/>
        </w:rPr>
      </w:pPr>
      <w:r>
        <w:rPr>
          <w:rFonts w:hint="eastAsia" w:ascii="黑体" w:eastAsia="黑体"/>
          <w:b/>
          <w:sz w:val="52"/>
          <w:szCs w:val="52"/>
        </w:rPr>
        <w:t>服务业高质量发展若干措施</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eastAsia="黑体"/>
          <w:b/>
          <w:sz w:val="52"/>
          <w:szCs w:val="52"/>
        </w:rPr>
      </w:pPr>
      <w:r>
        <w:rPr>
          <w:rFonts w:hint="eastAsia" w:ascii="黑体" w:eastAsia="黑体"/>
          <w:b/>
          <w:sz w:val="52"/>
          <w:szCs w:val="52"/>
          <w:lang w:val="en-US" w:eastAsia="zh-CN"/>
        </w:rPr>
        <w:t>2023年</w:t>
      </w:r>
      <w:r>
        <w:rPr>
          <w:rFonts w:hint="eastAsia" w:ascii="黑体" w:eastAsia="黑体"/>
          <w:b/>
          <w:sz w:val="52"/>
          <w:szCs w:val="52"/>
        </w:rPr>
        <w:t>申报指南</w:t>
      </w:r>
      <w:bookmarkEnd w:id="0"/>
    </w:p>
    <w:p>
      <w:pPr>
        <w:keepNext w:val="0"/>
        <w:keepLines w:val="0"/>
        <w:pageBreakBefore w:val="0"/>
        <w:widowControl w:val="0"/>
        <w:kinsoku/>
        <w:wordWrap/>
        <w:overflowPunct/>
        <w:topLinePunct w:val="0"/>
        <w:bidi w:val="0"/>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ascii="黑体" w:eastAsia="黑体"/>
          <w:sz w:val="52"/>
          <w:szCs w:val="52"/>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ascii="宋体" w:hAnsi="宋体" w:eastAsia="仿宋_GB2312" w:cs="黑体"/>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ascii="宋体" w:hAnsi="宋体" w:eastAsia="仿宋_GB2312" w:cs="黑体"/>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ascii="宋体" w:hAnsi="宋体" w:eastAsia="仿宋_GB2312" w:cs="黑体"/>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ascii="宋体" w:hAnsi="宋体" w:eastAsia="仿宋_GB2312" w:cs="黑体"/>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ascii="宋体" w:hAnsi="宋体" w:eastAsia="仿宋_GB2312" w:cs="黑体"/>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ascii="宋体" w:hAnsi="宋体" w:eastAsia="仿宋_GB2312" w:cs="黑体"/>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ascii="宋体" w:hAnsi="宋体" w:eastAsia="仿宋_GB2312" w:cs="黑体"/>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ascii="宋体" w:hAnsi="宋体" w:eastAsia="仿宋_GB2312" w:cs="黑体"/>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ascii="宋体" w:hAnsi="宋体" w:eastAsia="仿宋_GB2312" w:cs="黑体"/>
          <w: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黑体" w:hAnsi="黑体" w:eastAsia="黑体" w:cs="仿宋_GB2312"/>
          <w:bCs/>
          <w:sz w:val="32"/>
          <w:szCs w:val="32"/>
        </w:rPr>
      </w:pPr>
      <w:bookmarkStart w:id="1" w:name="_Toc1798"/>
      <w:r>
        <w:rPr>
          <w:rFonts w:hint="eastAsia" w:ascii="黑体" w:hAnsi="黑体" w:eastAsia="黑体" w:cs="仿宋_GB2312"/>
          <w:bCs/>
          <w:sz w:val="32"/>
          <w:szCs w:val="32"/>
        </w:rPr>
        <w:t>深圳市深汕特别</w:t>
      </w:r>
      <w:r>
        <w:rPr>
          <w:rFonts w:hint="eastAsia" w:ascii="黑体" w:hAnsi="黑体" w:eastAsia="黑体" w:cs="仿宋_GB2312"/>
          <w:bCs/>
          <w:sz w:val="32"/>
          <w:szCs w:val="32"/>
          <w:lang w:eastAsia="zh-CN"/>
        </w:rPr>
        <w:t>合作区</w:t>
      </w:r>
      <w:r>
        <w:rPr>
          <w:rFonts w:hint="eastAsia" w:ascii="黑体" w:hAnsi="黑体" w:eastAsia="黑体" w:cs="仿宋_GB2312"/>
          <w:bCs/>
          <w:sz w:val="32"/>
          <w:szCs w:val="32"/>
        </w:rPr>
        <w:t>科技创新和经济服务局</w:t>
      </w:r>
      <w:bookmarkEnd w:id="1"/>
    </w:p>
    <w:p>
      <w:pPr>
        <w:pStyle w:val="1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left="0" w:leftChars="0" w:firstLine="0" w:firstLineChars="0"/>
        <w:jc w:val="center"/>
        <w:textAlignment w:val="auto"/>
        <w:outlineLvl w:val="9"/>
        <w:rPr>
          <w:rFonts w:hint="eastAsia" w:ascii="黑体" w:hAnsi="黑体" w:eastAsia="黑体" w:cs="仿宋_GB2312"/>
          <w:b w:val="0"/>
          <w:bCs/>
          <w:kern w:val="2"/>
          <w:sz w:val="32"/>
          <w:szCs w:val="32"/>
        </w:rPr>
      </w:pPr>
      <w:r>
        <w:rPr>
          <w:rFonts w:hint="eastAsia" w:ascii="黑体" w:hAnsi="黑体" w:eastAsia="黑体" w:cs="仿宋_GB2312"/>
          <w:b w:val="0"/>
          <w:bCs/>
          <w:kern w:val="2"/>
          <w:sz w:val="32"/>
          <w:szCs w:val="32"/>
        </w:rPr>
        <w:t>二〇二</w:t>
      </w:r>
      <w:r>
        <w:rPr>
          <w:rFonts w:hint="eastAsia" w:ascii="黑体" w:hAnsi="黑体" w:eastAsia="黑体" w:cs="仿宋_GB2312"/>
          <w:b w:val="0"/>
          <w:bCs/>
          <w:kern w:val="2"/>
          <w:sz w:val="32"/>
          <w:szCs w:val="32"/>
          <w:lang w:val="en-US" w:eastAsia="zh-CN"/>
        </w:rPr>
        <w:t>三</w:t>
      </w:r>
      <w:r>
        <w:rPr>
          <w:rFonts w:hint="eastAsia" w:ascii="黑体" w:hAnsi="黑体" w:eastAsia="黑体" w:cs="仿宋_GB2312"/>
          <w:b w:val="0"/>
          <w:bCs/>
          <w:kern w:val="2"/>
          <w:sz w:val="32"/>
          <w:szCs w:val="32"/>
        </w:rPr>
        <w:t>年</w:t>
      </w:r>
      <w:r>
        <w:rPr>
          <w:rFonts w:hint="eastAsia" w:ascii="黑体" w:hAnsi="黑体" w:eastAsia="黑体" w:cs="仿宋_GB2312"/>
          <w:b w:val="0"/>
          <w:bCs/>
          <w:kern w:val="2"/>
          <w:sz w:val="32"/>
          <w:szCs w:val="32"/>
          <w:lang w:val="en-US" w:eastAsia="zh-CN"/>
        </w:rPr>
        <w:t>X</w:t>
      </w:r>
      <w:r>
        <w:rPr>
          <w:rFonts w:hint="eastAsia" w:ascii="黑体" w:hAnsi="黑体" w:eastAsia="黑体" w:cs="仿宋_GB2312"/>
          <w:b w:val="0"/>
          <w:bCs/>
          <w:kern w:val="2"/>
          <w:sz w:val="32"/>
          <w:szCs w:val="32"/>
        </w:rPr>
        <w:t>月</w:t>
      </w:r>
    </w:p>
    <w:p>
      <w:pPr>
        <w:keepNext w:val="0"/>
        <w:keepLines w:val="0"/>
        <w:pageBreakBefore w:val="0"/>
        <w:kinsoku/>
        <w:wordWrap/>
        <w:overflowPunct/>
        <w:topLinePunct w:val="0"/>
        <w:autoSpaceDE/>
        <w:autoSpaceDN/>
        <w:bidi w:val="0"/>
        <w:adjustRightInd/>
        <w:spacing w:line="560" w:lineRule="exact"/>
        <w:textAlignment w:val="auto"/>
        <w:outlineLvl w:val="9"/>
      </w:pPr>
    </w:p>
    <w:p>
      <w:pPr>
        <w:spacing w:before="0" w:beforeLines="0" w:after="0" w:afterLines="0" w:line="560" w:lineRule="exact"/>
        <w:ind w:left="0" w:leftChars="0" w:right="0" w:rightChars="0" w:firstLine="0" w:firstLineChars="0"/>
        <w:jc w:val="center"/>
        <w:rPr>
          <w:rFonts w:ascii="宋体" w:hAnsi="宋体" w:eastAsia="宋体" w:cs="Times New Roman"/>
          <w:kern w:val="2"/>
          <w:sz w:val="21"/>
          <w:szCs w:val="24"/>
          <w:lang w:val="en-US" w:eastAsia="zh-CN" w:bidi="ar-SA"/>
        </w:rPr>
        <w:sectPr>
          <w:pgSz w:w="11906" w:h="16838"/>
          <w:pgMar w:top="2098" w:right="1474" w:bottom="1984" w:left="1587" w:header="851" w:footer="992" w:gutter="0"/>
          <w:pgNumType w:fmt="decimal" w:start="1"/>
          <w:cols w:space="425" w:num="1"/>
          <w:docGrid w:type="lines" w:linePitch="312" w:charSpace="0"/>
        </w:sectPr>
      </w:pPr>
    </w:p>
    <w:sdt>
      <w:sdtPr>
        <w:rPr>
          <w:rFonts w:ascii="宋体" w:hAnsi="宋体" w:eastAsia="宋体" w:cs="Times New Roman"/>
          <w:b/>
          <w:bCs/>
          <w:kern w:val="2"/>
          <w:sz w:val="21"/>
          <w:szCs w:val="24"/>
          <w:lang w:val="en-US" w:eastAsia="zh-CN" w:bidi="ar-SA"/>
        </w:rPr>
        <w:id w:val="147480254"/>
        <w15:color w:val="DBDBDB"/>
        <w:docPartObj>
          <w:docPartGallery w:val="Table of Contents"/>
          <w:docPartUnique/>
        </w:docPartObj>
      </w:sdtPr>
      <w:sdtEndPr>
        <w:rPr>
          <w:rFonts w:ascii="宋体" w:hAnsi="宋体"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44"/>
              <w:szCs w:val="44"/>
            </w:rPr>
          </w:pPr>
          <w:bookmarkStart w:id="2" w:name="_Toc8136"/>
          <w:bookmarkStart w:id="3" w:name="_Toc8514"/>
          <w:r>
            <w:rPr>
              <w:rFonts w:hint="eastAsia" w:ascii="方正小标宋简体" w:hAnsi="方正小标宋简体" w:eastAsia="方正小标宋简体" w:cs="方正小标宋简体"/>
              <w:b w:val="0"/>
              <w:bCs w:val="0"/>
              <w:sz w:val="44"/>
              <w:szCs w:val="44"/>
            </w:rPr>
            <w:t>目录</w:t>
          </w:r>
        </w:p>
        <w:p>
          <w:pPr>
            <w:pStyle w:val="5"/>
            <w:rPr>
              <w:rFonts w:hint="eastAsia" w:ascii="仿宋_GB2312" w:hAnsi="仿宋_GB2312" w:eastAsia="仿宋_GB2312" w:cs="仿宋_GB2312"/>
              <w:sz w:val="32"/>
              <w:szCs w:val="32"/>
            </w:rPr>
          </w:pPr>
        </w:p>
        <w:p>
          <w:pPr>
            <w:pStyle w:val="8"/>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"1-2" \h \u </w:instrText>
          </w:r>
          <w:r>
            <w:rPr>
              <w:rFonts w:hint="eastAsia" w:ascii="黑体" w:hAnsi="黑体" w:eastAsia="黑体" w:cs="黑体"/>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_Toc20342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一、资助内容</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_Toc20342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_Toc28863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二、资助</w:t>
          </w:r>
          <w:r>
            <w:rPr>
              <w:rFonts w:hint="eastAsia" w:ascii="黑体" w:hAnsi="黑体" w:eastAsia="黑体" w:cs="黑体"/>
              <w:sz w:val="32"/>
              <w:szCs w:val="32"/>
            </w:rPr>
            <w:t>依据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_Toc28863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_Toc2023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三、支持数量和方式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_Toc2023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_Toc18071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四、申报条件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_Toc18071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_Toc3373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五、申报指引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_Toc3373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_Toc25656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（一）第一条 鼓励商贸服务业升规纳统申报指引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_Toc25656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_Toc6374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（二）第二条 培育商贸服务业发展壮大申报指引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_Toc6374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_Toc10492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（三）第三条 支持商贸企业开展促消费活动申报指引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_Toc10492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_Toc25137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（四）第四条 支持商业综合体建设申报指引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_Toc25137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_Toc4220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六、申报材料编制要求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_Toc4220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_Toc10055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七、申报时间</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_Toc10055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_Toc27793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八、受理单位</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_Toc27793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_Toc15840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九、申报审批程序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_Toc15840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86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_Toc21574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十、注意事项</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_Toc21574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r>
            <w:rPr>
              <w:rFonts w:hint="eastAsia" w:ascii="黑体" w:hAnsi="黑体" w:eastAsia="黑体" w:cs="黑体"/>
              <w:sz w:val="32"/>
              <w:szCs w:val="32"/>
            </w:rPr>
            <w:fldChar w:fldCharType="end"/>
          </w:r>
        </w:p>
      </w:sdtContent>
    </w:sdt>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color w:val="auto"/>
          <w:lang w:eastAsia="zh-CN"/>
        </w:rPr>
        <w:sectPr>
          <w:footerReference r:id="rId3" w:type="default"/>
          <w:pgSz w:w="11906" w:h="16838"/>
          <w:pgMar w:top="1440" w:right="1519" w:bottom="1440" w:left="1519" w:header="851" w:footer="992" w:gutter="0"/>
          <w:pgNumType w:fmt="decimal" w:start="1"/>
          <w:cols w:space="425" w:num="1"/>
          <w:docGrid w:type="lines" w:linePitch="312" w:charSpace="0"/>
        </w:sectPr>
      </w:pPr>
      <w:bookmarkStart w:id="4" w:name="_Toc20342"/>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color w:val="auto"/>
          <w:lang w:eastAsia="zh-CN"/>
        </w:rPr>
      </w:pPr>
      <w:r>
        <w:rPr>
          <w:rFonts w:hint="eastAsia"/>
          <w:color w:val="auto"/>
          <w:lang w:eastAsia="zh-CN"/>
        </w:rPr>
        <w:t>一、资助内容</w:t>
      </w:r>
      <w:bookmarkEnd w:id="4"/>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辖区商贸服务类项目扶持。</w:t>
      </w:r>
    </w:p>
    <w:p>
      <w:pPr>
        <w:pStyle w:val="2"/>
        <w:keepNext w:val="0"/>
        <w:keepLines w:val="0"/>
        <w:pageBreakBefore w:val="0"/>
        <w:kinsoku/>
        <w:wordWrap/>
        <w:overflowPunct/>
        <w:topLinePunct w:val="0"/>
        <w:bidi w:val="0"/>
        <w:snapToGrid/>
        <w:spacing w:line="560" w:lineRule="exact"/>
        <w:ind w:firstLine="640" w:firstLineChars="200"/>
        <w:textAlignment w:val="auto"/>
        <w:rPr>
          <w:rStyle w:val="20"/>
        </w:rPr>
      </w:pPr>
      <w:bookmarkStart w:id="5" w:name="_Toc28863"/>
      <w:r>
        <w:rPr>
          <w:rStyle w:val="20"/>
          <w:rFonts w:hint="eastAsia"/>
          <w:lang w:val="en-US" w:eastAsia="zh-CN"/>
        </w:rPr>
        <w:t>二、资助</w:t>
      </w:r>
      <w:r>
        <w:rPr>
          <w:rStyle w:val="20"/>
        </w:rPr>
        <w:t>依据</w:t>
      </w:r>
      <w:bookmarkEnd w:id="2"/>
      <w:bookmarkEnd w:id="5"/>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rPr>
        <w:t>《深圳市深汕特别合作区</w:t>
      </w:r>
      <w:r>
        <w:rPr>
          <w:rFonts w:hint="eastAsia" w:ascii="仿宋_GB2312" w:hAnsi="仿宋_GB2312" w:eastAsia="仿宋_GB2312" w:cs="仿宋_GB2312"/>
          <w:sz w:val="32"/>
          <w:szCs w:val="32"/>
          <w:shd w:val="clear" w:color="auto" w:fill="FFFFFF"/>
          <w:lang w:val="en-US" w:eastAsia="zh-CN"/>
        </w:rPr>
        <w:t>支持</w:t>
      </w:r>
      <w:r>
        <w:rPr>
          <w:rFonts w:hint="eastAsia" w:ascii="仿宋_GB2312" w:hAnsi="仿宋_GB2312" w:eastAsia="仿宋_GB2312" w:cs="仿宋_GB2312"/>
          <w:sz w:val="32"/>
          <w:szCs w:val="32"/>
          <w:shd w:val="clear" w:color="auto" w:fill="FFFFFF"/>
        </w:rPr>
        <w:t>商贸服务业高质量发展若干措施》</w:t>
      </w:r>
      <w:r>
        <w:rPr>
          <w:rFonts w:hint="eastAsia" w:ascii="仿宋_GB2312" w:hAnsi="仿宋_GB2312" w:eastAsia="仿宋_GB2312" w:cs="仿宋_GB2312"/>
          <w:kern w:val="2"/>
          <w:sz w:val="32"/>
          <w:szCs w:val="32"/>
          <w:shd w:val="clear" w:color="auto" w:fill="FFFFFF"/>
          <w:lang w:val="en-US" w:eastAsia="zh-CN" w:bidi="ar-SA"/>
        </w:rPr>
        <w:t>（深汕科创经服规〔2022〕2号）（以下简称《措施》）</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（二）《深圳市深汕特别合作区经济发展专项资金管理办法》（深汕办〔2021〕22号）（以下简称《办法》）。</w:t>
      </w:r>
    </w:p>
    <w:bookmarkEnd w:id="3"/>
    <w:p>
      <w:pPr>
        <w:pStyle w:val="2"/>
        <w:keepNext w:val="0"/>
        <w:keepLines w:val="0"/>
        <w:pageBreakBefore w:val="0"/>
        <w:kinsoku/>
        <w:wordWrap/>
        <w:overflowPunct/>
        <w:topLinePunct w:val="0"/>
        <w:bidi w:val="0"/>
        <w:snapToGrid/>
        <w:spacing w:line="560" w:lineRule="exact"/>
        <w:ind w:firstLine="640" w:firstLineChars="200"/>
        <w:textAlignment w:val="auto"/>
        <w:rPr>
          <w:rFonts w:hint="default"/>
          <w:lang w:val="en-US" w:eastAsia="zh-CN"/>
        </w:rPr>
      </w:pPr>
      <w:bookmarkStart w:id="6" w:name="_Toc2023"/>
      <w:bookmarkStart w:id="7" w:name="_Toc17043"/>
      <w:r>
        <w:rPr>
          <w:rFonts w:hint="eastAsia"/>
          <w:lang w:val="en-US" w:eastAsia="zh-CN"/>
        </w:rPr>
        <w:t>三、支持数量和方式</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（一）支持数量。有数量限制，专项资金实行总额控制，若申报当年符合条件的资助资金总额超过安排预算总额，则对资助项目进行等比例核减，申报单位应无条件同意调整结果。</w:t>
      </w:r>
    </w:p>
    <w:p>
      <w:pPr>
        <w:pStyle w:val="5"/>
        <w:keepNext w:val="0"/>
        <w:keepLines w:val="0"/>
        <w:pageBreakBefore w:val="0"/>
        <w:kinsoku/>
        <w:wordWrap/>
        <w:overflowPunct/>
        <w:topLinePunct w:val="0"/>
        <w:bidi w:val="0"/>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8" w:name="_Toc22931"/>
      <w:r>
        <w:rPr>
          <w:rFonts w:hint="eastAsia" w:ascii="仿宋_GB2312" w:hAnsi="仿宋_GB2312" w:eastAsia="仿宋_GB2312" w:cs="仿宋_GB2312"/>
          <w:sz w:val="32"/>
          <w:szCs w:val="32"/>
          <w:lang w:val="en-US" w:eastAsia="zh-CN"/>
        </w:rPr>
        <w:t>（二）资助方式。事后资助、自愿申报、资助单位审定。</w:t>
      </w:r>
      <w:bookmarkEnd w:id="8"/>
    </w:p>
    <w:p>
      <w:pPr>
        <w:ind w:firstLine="640" w:firstLineChars="200"/>
        <w:rPr>
          <w:rFonts w:hint="default"/>
          <w:lang w:val="en-US" w:eastAsia="zh-CN"/>
        </w:rPr>
      </w:pPr>
      <w:r>
        <w:rPr>
          <w:rFonts w:hint="eastAsia" w:ascii="仿宋_GB2312" w:hAnsi="仿宋_GB2312" w:eastAsia="仿宋_GB2312" w:cs="仿宋_GB2312"/>
          <w:sz w:val="32"/>
          <w:szCs w:val="32"/>
          <w:lang w:val="en-US" w:eastAsia="zh-CN"/>
        </w:rPr>
        <w:t>（三）本措施单个申报主体的资助金额不受《</w:t>
      </w:r>
      <w:r>
        <w:rPr>
          <w:rFonts w:hint="eastAsia" w:ascii="仿宋_GB2312" w:hAnsi="仿宋_GB2312" w:eastAsia="仿宋_GB2312" w:cs="仿宋_GB2312"/>
          <w:kern w:val="2"/>
          <w:sz w:val="32"/>
          <w:szCs w:val="32"/>
          <w:shd w:val="clear" w:color="auto" w:fill="FFFFFF"/>
          <w:lang w:val="en-US" w:eastAsia="zh-CN" w:bidi="ar-SA"/>
        </w:rPr>
        <w:t>办法</w:t>
      </w:r>
      <w:r>
        <w:rPr>
          <w:rFonts w:hint="eastAsia" w:ascii="仿宋_GB2312" w:hAnsi="仿宋_GB2312" w:eastAsia="仿宋_GB2312" w:cs="仿宋_GB2312"/>
          <w:sz w:val="32"/>
          <w:szCs w:val="32"/>
          <w:lang w:val="en-US" w:eastAsia="zh-CN"/>
        </w:rPr>
        <w:t>》规定的“区级地方财力贡献”限制。</w:t>
      </w:r>
    </w:p>
    <w:p>
      <w:pPr>
        <w:pStyle w:val="2"/>
        <w:pageBreakBefore w:val="0"/>
        <w:kinsoku/>
        <w:wordWrap/>
        <w:overflowPunct/>
        <w:topLinePunct w:val="0"/>
        <w:bidi w:val="0"/>
        <w:snapToGrid/>
        <w:spacing w:line="560" w:lineRule="exact"/>
        <w:textAlignment w:val="auto"/>
        <w:rPr>
          <w:rFonts w:hint="eastAsia"/>
          <w:lang w:val="en-US" w:eastAsia="zh-CN"/>
        </w:rPr>
      </w:pPr>
      <w:bookmarkStart w:id="9" w:name="_Toc18071"/>
      <w:bookmarkStart w:id="10" w:name="_Toc16103"/>
      <w:bookmarkStart w:id="11" w:name="_Toc28513"/>
      <w:r>
        <w:rPr>
          <w:rFonts w:hint="eastAsia"/>
          <w:lang w:val="en-US" w:eastAsia="zh-CN"/>
        </w:rPr>
        <w:t>四、申报条件</w:t>
      </w:r>
      <w:bookmarkEnd w:id="9"/>
      <w:bookmarkEnd w:id="10"/>
      <w:bookmarkEnd w:id="11"/>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1"/>
        <w:rPr>
          <w:rFonts w:hint="eastAsia" w:ascii="仿宋_GB2312" w:hAnsi="仿宋_GB2312" w:eastAsia="仿宋_GB2312" w:cs="仿宋_GB2312"/>
          <w:b w:val="0"/>
          <w:bCs w:val="0"/>
          <w:sz w:val="32"/>
          <w:szCs w:val="32"/>
          <w:shd w:val="clear" w:color="auto" w:fill="FFFFFF"/>
        </w:rPr>
      </w:pPr>
      <w:bookmarkStart w:id="12" w:name="_Toc8999"/>
      <w:r>
        <w:rPr>
          <w:rFonts w:hint="eastAsia" w:ascii="仿宋_GB2312" w:hAnsi="仿宋_GB2312" w:eastAsia="仿宋_GB2312" w:cs="仿宋_GB2312"/>
          <w:b w:val="0"/>
          <w:bCs w:val="0"/>
          <w:sz w:val="32"/>
          <w:szCs w:val="32"/>
          <w:shd w:val="clear" w:color="auto" w:fill="FFFFFF"/>
          <w:lang w:eastAsia="zh-CN"/>
        </w:rPr>
        <w:t>（一）</w:t>
      </w:r>
      <w:r>
        <w:rPr>
          <w:rFonts w:hint="eastAsia" w:ascii="仿宋_GB2312" w:hAnsi="仿宋_GB2312" w:eastAsia="仿宋_GB2312" w:cs="仿宋_GB2312"/>
          <w:b/>
          <w:bCs/>
          <w:sz w:val="32"/>
          <w:szCs w:val="32"/>
          <w:shd w:val="clear" w:color="auto" w:fill="FFFFFF"/>
        </w:rPr>
        <w:t>申报企业</w:t>
      </w:r>
      <w:r>
        <w:rPr>
          <w:rFonts w:hint="eastAsia" w:ascii="仿宋_GB2312" w:hAnsi="仿宋_GB2312" w:eastAsia="仿宋_GB2312" w:cs="仿宋_GB2312"/>
          <w:b w:val="0"/>
          <w:bCs w:val="0"/>
          <w:sz w:val="32"/>
          <w:szCs w:val="32"/>
          <w:shd w:val="clear" w:color="auto" w:fill="FFFFFF"/>
        </w:rPr>
        <w:t>必须符合以下条件：</w:t>
      </w:r>
      <w:bookmarkEnd w:id="12"/>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注册地、统计地及纳税地均在深汕特别合作区</w:t>
      </w:r>
      <w:r>
        <w:rPr>
          <w:rFonts w:hint="eastAsia" w:ascii="仿宋_GB2312" w:hAnsi="仿宋_GB2312" w:eastAsia="仿宋_GB2312" w:cs="仿宋_GB2312"/>
          <w:sz w:val="32"/>
          <w:szCs w:val="32"/>
          <w:shd w:val="clear" w:color="auto" w:fill="FFFFFF"/>
          <w:lang w:eastAsia="zh-CN"/>
        </w:rPr>
        <w:t>，并正常开展经营活动，独立核算、自主经营、自负盈亏</w:t>
      </w:r>
      <w:r>
        <w:rPr>
          <w:rFonts w:hint="eastAsia" w:ascii="仿宋_GB2312" w:hAnsi="仿宋_GB2312" w:eastAsia="仿宋_GB2312" w:cs="仿宋_GB2312"/>
          <w:sz w:val="32"/>
          <w:szCs w:val="32"/>
          <w:shd w:val="clear" w:color="auto" w:fill="FFFFFF"/>
        </w:rPr>
        <w:t>的</w:t>
      </w:r>
      <w:r>
        <w:rPr>
          <w:rFonts w:hint="eastAsia" w:ascii="仿宋_GB2312" w:hAnsi="仿宋_GB2312" w:eastAsia="仿宋_GB2312" w:cs="仿宋_GB2312"/>
          <w:sz w:val="32"/>
          <w:szCs w:val="32"/>
          <w:shd w:val="clear" w:color="auto" w:fill="FFFFFF"/>
          <w:lang w:eastAsia="zh-CN"/>
        </w:rPr>
        <w:t>独立法人</w:t>
      </w:r>
      <w:r>
        <w:rPr>
          <w:rFonts w:ascii="仿宋_GB2312" w:hAnsi="仿宋_GB2312" w:eastAsia="仿宋_GB2312" w:cs="仿宋_GB2312"/>
          <w:sz w:val="32"/>
          <w:szCs w:val="32"/>
          <w:shd w:val="clear" w:color="auto" w:fill="FFFFFF"/>
        </w:rPr>
        <w:t>。</w:t>
      </w:r>
    </w:p>
    <w:p>
      <w:pPr>
        <w:pStyle w:val="19"/>
        <w:keepNext w:val="0"/>
        <w:keepLines w:val="0"/>
        <w:pageBreakBefore w:val="0"/>
        <w:kinsoku/>
        <w:wordWrap/>
        <w:overflowPunct/>
        <w:topLinePunct w:val="0"/>
        <w:bidi w:val="0"/>
        <w:adjustRightInd w:val="0"/>
        <w:snapToGrid/>
        <w:spacing w:line="560" w:lineRule="exact"/>
        <w:ind w:firstLine="640" w:firstLineChars="200"/>
        <w:jc w:val="both"/>
        <w:textAlignment w:val="auto"/>
        <w:outlineLvl w:val="9"/>
        <w:rPr>
          <w:rFonts w:hint="eastAsia" w:ascii="仿宋_GB2312" w:eastAsia="仿宋_GB2312"/>
          <w:color w:val="auto"/>
          <w:sz w:val="32"/>
          <w:szCs w:val="23"/>
        </w:rPr>
      </w:pPr>
      <w:r>
        <w:rPr>
          <w:rFonts w:hint="eastAsia" w:ascii="仿宋_GB2312" w:eastAsia="仿宋_GB2312"/>
          <w:color w:val="auto"/>
          <w:sz w:val="32"/>
          <w:szCs w:val="23"/>
          <w:lang w:val="en-US" w:eastAsia="zh-CN"/>
        </w:rPr>
        <w:t>2.</w:t>
      </w:r>
      <w:r>
        <w:rPr>
          <w:rFonts w:hint="eastAsia" w:ascii="仿宋_GB2312" w:hAnsi="Times New Roman" w:eastAsia="仿宋_GB2312" w:cs="Times New Roman"/>
          <w:sz w:val="32"/>
          <w:szCs w:val="23"/>
          <w:lang w:eastAsia="zh-CN"/>
        </w:rPr>
        <w:t>守法经营、诚实守信、</w:t>
      </w:r>
      <w:r>
        <w:rPr>
          <w:rFonts w:hint="eastAsia" w:ascii="仿宋_GB2312" w:eastAsia="仿宋_GB2312"/>
          <w:color w:val="auto"/>
          <w:sz w:val="32"/>
          <w:szCs w:val="23"/>
        </w:rPr>
        <w:t>有规范健全的财务会计制度。</w:t>
      </w:r>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eastAsia="仿宋_GB2312"/>
          <w:sz w:val="32"/>
          <w:szCs w:val="23"/>
        </w:rPr>
      </w:pPr>
      <w:r>
        <w:rPr>
          <w:rFonts w:hint="eastAsia" w:ascii="仿宋_GB2312" w:eastAsia="仿宋_GB2312"/>
          <w:sz w:val="32"/>
          <w:szCs w:val="23"/>
          <w:lang w:val="en-US" w:eastAsia="zh-CN"/>
        </w:rPr>
        <w:t>3.</w:t>
      </w:r>
      <w:r>
        <w:rPr>
          <w:rFonts w:hint="eastAsia" w:ascii="仿宋_GB2312" w:eastAsia="仿宋_GB2312"/>
          <w:sz w:val="32"/>
          <w:szCs w:val="23"/>
          <w:lang w:eastAsia="zh-CN"/>
        </w:rPr>
        <w:t>履行统计数据申报义务</w:t>
      </w:r>
      <w:r>
        <w:rPr>
          <w:rFonts w:hint="eastAsia" w:ascii="仿宋_GB2312" w:eastAsia="仿宋_GB2312"/>
          <w:sz w:val="32"/>
          <w:szCs w:val="23"/>
        </w:rPr>
        <w:t>。</w:t>
      </w:r>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1"/>
        <w:rPr>
          <w:rFonts w:hint="eastAsia" w:ascii="仿宋_GB2312" w:eastAsia="仿宋_GB2312"/>
          <w:b/>
          <w:bCs/>
          <w:sz w:val="32"/>
          <w:szCs w:val="23"/>
          <w:lang w:eastAsia="zh-CN"/>
        </w:rPr>
      </w:pPr>
      <w:bookmarkStart w:id="13" w:name="_Toc1426"/>
      <w:r>
        <w:rPr>
          <w:rFonts w:hint="eastAsia" w:ascii="仿宋_GB2312" w:eastAsia="仿宋_GB2312"/>
          <w:b w:val="0"/>
          <w:bCs w:val="0"/>
          <w:sz w:val="32"/>
          <w:szCs w:val="23"/>
          <w:lang w:eastAsia="zh-CN"/>
        </w:rPr>
        <w:t>（二）</w:t>
      </w:r>
      <w:r>
        <w:rPr>
          <w:rFonts w:hint="eastAsia" w:ascii="仿宋_GB2312" w:eastAsia="仿宋_GB2312"/>
          <w:b/>
          <w:bCs/>
          <w:sz w:val="32"/>
          <w:szCs w:val="23"/>
          <w:lang w:eastAsia="zh-CN"/>
        </w:rPr>
        <w:t>申报个人</w:t>
      </w:r>
      <w:r>
        <w:rPr>
          <w:rFonts w:hint="eastAsia" w:ascii="仿宋_GB2312" w:eastAsia="仿宋_GB2312"/>
          <w:b w:val="0"/>
          <w:bCs w:val="0"/>
          <w:sz w:val="32"/>
          <w:szCs w:val="23"/>
          <w:lang w:eastAsia="zh-CN"/>
        </w:rPr>
        <w:t>必须符合以下条件：</w:t>
      </w:r>
      <w:bookmarkEnd w:id="13"/>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eastAsia="仿宋_GB2312"/>
          <w:sz w:val="32"/>
          <w:szCs w:val="23"/>
          <w:lang w:eastAsia="zh-CN"/>
        </w:rPr>
      </w:pPr>
      <w:r>
        <w:rPr>
          <w:rFonts w:hint="eastAsia" w:ascii="仿宋_GB2312" w:eastAsia="仿宋_GB2312"/>
          <w:sz w:val="32"/>
          <w:szCs w:val="23"/>
          <w:lang w:val="en-US" w:eastAsia="zh-CN"/>
        </w:rPr>
        <w:t>1.</w:t>
      </w:r>
      <w:r>
        <w:rPr>
          <w:rFonts w:hint="eastAsia" w:ascii="仿宋_GB2312" w:eastAsia="仿宋_GB2312"/>
          <w:sz w:val="32"/>
          <w:szCs w:val="23"/>
          <w:lang w:eastAsia="zh-CN"/>
        </w:rPr>
        <w:t>遵纪守法，近两年无犯罪记录。</w:t>
      </w:r>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eastAsia="仿宋_GB2312"/>
          <w:sz w:val="32"/>
          <w:szCs w:val="23"/>
          <w:lang w:eastAsia="zh-CN"/>
        </w:rPr>
      </w:pPr>
      <w:r>
        <w:rPr>
          <w:rFonts w:hint="eastAsia" w:ascii="仿宋_GB2312" w:eastAsia="仿宋_GB2312"/>
          <w:sz w:val="32"/>
          <w:szCs w:val="23"/>
          <w:lang w:val="en-US" w:eastAsia="zh-CN"/>
        </w:rPr>
        <w:t>2.</w:t>
      </w:r>
      <w:r>
        <w:rPr>
          <w:rFonts w:hint="eastAsia" w:ascii="仿宋_GB2312" w:eastAsia="仿宋_GB2312"/>
          <w:sz w:val="32"/>
          <w:szCs w:val="23"/>
          <w:lang w:eastAsia="zh-CN"/>
        </w:rPr>
        <w:t>至申报时仍满足奖励措施中要求的申报条件。</w:t>
      </w:r>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2" w:firstLineChars="200"/>
        <w:jc w:val="both"/>
        <w:textAlignment w:val="auto"/>
        <w:outlineLvl w:val="9"/>
        <w:rPr>
          <w:rFonts w:hint="default" w:ascii="仿宋_GB2312" w:hAnsi="宋体" w:eastAsia="仿宋_GB2312" w:cs="宋体"/>
          <w:b/>
          <w:bCs/>
          <w:sz w:val="32"/>
          <w:szCs w:val="23"/>
          <w:lang w:val="en-US" w:eastAsia="zh-CN"/>
        </w:rPr>
      </w:pPr>
      <w:r>
        <w:rPr>
          <w:rFonts w:hint="eastAsia" w:ascii="仿宋_GB2312" w:eastAsia="仿宋_GB2312" w:cs="宋体"/>
          <w:b/>
          <w:bCs/>
          <w:sz w:val="32"/>
          <w:szCs w:val="23"/>
          <w:lang w:val="en-US" w:eastAsia="zh-CN"/>
        </w:rPr>
        <w:t>（三）</w:t>
      </w:r>
      <w:r>
        <w:rPr>
          <w:rFonts w:hint="eastAsia" w:ascii="仿宋_GB2312" w:hAnsi="宋体" w:eastAsia="仿宋_GB2312" w:cs="宋体"/>
          <w:b w:val="0"/>
          <w:bCs w:val="0"/>
          <w:sz w:val="32"/>
          <w:szCs w:val="23"/>
          <w:lang w:val="en-US" w:eastAsia="zh-CN"/>
        </w:rPr>
        <w:t>有以下情况之一的单位或个人,</w:t>
      </w:r>
      <w:r>
        <w:rPr>
          <w:rFonts w:hint="eastAsia" w:ascii="仿宋_GB2312" w:hAnsi="宋体" w:eastAsia="仿宋_GB2312" w:cs="宋体"/>
          <w:b/>
          <w:bCs/>
          <w:sz w:val="32"/>
          <w:szCs w:val="23"/>
          <w:lang w:val="en-US" w:eastAsia="zh-CN"/>
        </w:rPr>
        <w:t>不能获得专项资金资助</w:t>
      </w:r>
      <w:r>
        <w:rPr>
          <w:rFonts w:hint="eastAsia" w:ascii="仿宋_GB2312" w:eastAsia="仿宋_GB2312" w:cs="宋体"/>
          <w:b/>
          <w:bCs/>
          <w:sz w:val="32"/>
          <w:szCs w:val="23"/>
          <w:lang w:val="en-US" w:eastAsia="zh-CN"/>
        </w:rPr>
        <w:t>的情形</w:t>
      </w:r>
      <w:r>
        <w:rPr>
          <w:rFonts w:hint="eastAsia" w:ascii="仿宋_GB2312" w:hAnsi="宋体" w:eastAsia="仿宋_GB2312" w:cs="宋体"/>
          <w:b/>
          <w:bCs/>
          <w:sz w:val="32"/>
          <w:szCs w:val="23"/>
          <w:lang w:val="en-US" w:eastAsia="zh-CN"/>
        </w:rPr>
        <w:t>：</w:t>
      </w:r>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bookmarkStart w:id="14" w:name="_Toc14227"/>
      <w:r>
        <w:rPr>
          <w:rFonts w:hint="eastAsia" w:ascii="仿宋_GB2312" w:eastAsia="仿宋_GB2312" w:cs="宋体"/>
          <w:sz w:val="32"/>
          <w:szCs w:val="23"/>
          <w:lang w:val="en-US" w:eastAsia="zh-CN"/>
        </w:rPr>
        <w:t>1.</w:t>
      </w:r>
      <w:r>
        <w:rPr>
          <w:rFonts w:hint="eastAsia" w:ascii="仿宋_GB2312" w:hAnsi="宋体" w:eastAsia="仿宋_GB2312" w:cs="宋体"/>
          <w:sz w:val="32"/>
          <w:szCs w:val="23"/>
          <w:lang w:val="en-US" w:eastAsia="zh-CN"/>
        </w:rPr>
        <w:t>近两年有违法犯罪行为受到过刑事处罚的。</w:t>
      </w:r>
      <w:bookmarkEnd w:id="14"/>
      <w:r>
        <w:rPr>
          <w:rFonts w:hint="eastAsia" w:ascii="仿宋_GB2312" w:hAnsi="宋体" w:eastAsia="仿宋_GB2312" w:cs="宋体"/>
          <w:sz w:val="32"/>
          <w:szCs w:val="23"/>
          <w:lang w:val="en-US" w:eastAsia="zh-CN"/>
        </w:rPr>
        <w:t xml:space="preserve"> </w:t>
      </w:r>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r>
        <w:rPr>
          <w:rFonts w:hint="eastAsia" w:ascii="仿宋_GB2312" w:eastAsia="仿宋_GB2312" w:cs="宋体"/>
          <w:sz w:val="32"/>
          <w:szCs w:val="23"/>
          <w:lang w:val="en-US" w:eastAsia="zh-CN"/>
        </w:rPr>
        <w:t>2.</w:t>
      </w:r>
      <w:r>
        <w:rPr>
          <w:rFonts w:hint="eastAsia" w:ascii="仿宋_GB2312" w:hAnsi="宋体" w:eastAsia="仿宋_GB2312" w:cs="宋体"/>
          <w:sz w:val="32"/>
          <w:szCs w:val="23"/>
          <w:lang w:val="en-US" w:eastAsia="zh-CN"/>
        </w:rPr>
        <w:t>近两年在安全生产、消防、生态环境、劳动关系领域受到过没收违法所得、没收非法财物等行政处罚且经行政主管部门认定未按要求整改的;或</w:t>
      </w:r>
      <w:bookmarkStart w:id="50" w:name="_GoBack"/>
      <w:bookmarkEnd w:id="50"/>
      <w:r>
        <w:rPr>
          <w:rFonts w:hint="eastAsia" w:ascii="仿宋_GB2312" w:hAnsi="宋体" w:eastAsia="仿宋_GB2312" w:cs="宋体"/>
          <w:sz w:val="32"/>
          <w:szCs w:val="23"/>
          <w:lang w:val="en-US" w:eastAsia="zh-CN"/>
        </w:rPr>
        <w:t xml:space="preserve">在各相关领域受到责令停产停业,暂扣或吊销许可证、暂扣或吊销执照,行 政拘留等处罚的。 </w:t>
      </w:r>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r>
        <w:rPr>
          <w:rFonts w:hint="eastAsia" w:ascii="仿宋_GB2312" w:eastAsia="仿宋_GB2312" w:cs="宋体"/>
          <w:sz w:val="32"/>
          <w:szCs w:val="23"/>
          <w:lang w:val="en-US" w:eastAsia="zh-CN"/>
        </w:rPr>
        <w:t>3.</w:t>
      </w:r>
      <w:r>
        <w:rPr>
          <w:rFonts w:hint="eastAsia" w:ascii="仿宋_GB2312" w:hAnsi="宋体" w:eastAsia="仿宋_GB2312" w:cs="宋体"/>
          <w:sz w:val="32"/>
          <w:szCs w:val="23"/>
          <w:lang w:val="en-US" w:eastAsia="zh-CN"/>
        </w:rPr>
        <w:t xml:space="preserve">因违反海关法及有关法律、行政法规,构成走私行为, 受到刑事、行政处罚,或纳入海关失信企业名单的。因违反税收征管法及有关法律、行政法规,构成偷税、骗取出口退税等严重税收违法行为的。 </w:t>
      </w:r>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r>
        <w:rPr>
          <w:rFonts w:hint="eastAsia" w:ascii="仿宋_GB2312" w:eastAsia="仿宋_GB2312" w:cs="宋体"/>
          <w:sz w:val="32"/>
          <w:szCs w:val="23"/>
          <w:lang w:val="en-US" w:eastAsia="zh-CN"/>
        </w:rPr>
        <w:t>4.</w:t>
      </w:r>
      <w:r>
        <w:rPr>
          <w:rFonts w:hint="eastAsia" w:ascii="仿宋_GB2312" w:hAnsi="宋体" w:eastAsia="仿宋_GB2312" w:cs="宋体"/>
          <w:sz w:val="32"/>
          <w:szCs w:val="23"/>
          <w:lang w:val="en-US" w:eastAsia="zh-CN"/>
        </w:rPr>
        <w:t xml:space="preserve">在申报专项资金过程中弄虚作假,虚 报、谎报企业信息,或拒绝配合专项资金绩效评价和监督检查的。 </w:t>
      </w:r>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bookmarkStart w:id="15" w:name="_Toc6436"/>
      <w:r>
        <w:rPr>
          <w:rFonts w:hint="eastAsia" w:ascii="仿宋_GB2312" w:eastAsia="仿宋_GB2312" w:cs="宋体"/>
          <w:sz w:val="32"/>
          <w:szCs w:val="23"/>
          <w:lang w:val="en-US" w:eastAsia="zh-CN"/>
        </w:rPr>
        <w:t>5.</w:t>
      </w:r>
      <w:r>
        <w:rPr>
          <w:rFonts w:hint="eastAsia" w:ascii="仿宋_GB2312" w:hAnsi="宋体" w:eastAsia="仿宋_GB2312" w:cs="宋体"/>
          <w:sz w:val="32"/>
          <w:szCs w:val="23"/>
          <w:lang w:val="en-US" w:eastAsia="zh-CN"/>
        </w:rPr>
        <w:t>同一单位或个人就同一事项重复申报并获得资助的。</w:t>
      </w:r>
      <w:bookmarkEnd w:id="15"/>
      <w:r>
        <w:rPr>
          <w:rFonts w:hint="eastAsia" w:ascii="仿宋_GB2312" w:hAnsi="宋体" w:eastAsia="仿宋_GB2312" w:cs="宋体"/>
          <w:sz w:val="32"/>
          <w:szCs w:val="23"/>
          <w:lang w:val="en-US" w:eastAsia="zh-CN"/>
        </w:rPr>
        <w:t xml:space="preserve"> </w:t>
      </w:r>
    </w:p>
    <w:p>
      <w:pPr>
        <w:pStyle w:val="11"/>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r>
        <w:rPr>
          <w:rFonts w:hint="eastAsia" w:ascii="仿宋_GB2312" w:eastAsia="仿宋_GB2312" w:cs="宋体"/>
          <w:sz w:val="32"/>
          <w:szCs w:val="23"/>
          <w:lang w:val="en-US" w:eastAsia="zh-CN"/>
        </w:rPr>
        <w:t>6.</w:t>
      </w:r>
      <w:r>
        <w:rPr>
          <w:rFonts w:hint="eastAsia" w:ascii="仿宋_GB2312" w:hAnsi="宋体" w:eastAsia="仿宋_GB2312" w:cs="宋体"/>
          <w:sz w:val="32"/>
          <w:szCs w:val="23"/>
          <w:lang w:val="en-US" w:eastAsia="zh-CN"/>
        </w:rPr>
        <w:t xml:space="preserve">按照联合惩戒相关制度,申报主体被列为联合惩戒对象,且在国家、省、市、区相关黑名单、灰名单、严重违法失信主体等名单内的。司法、行政机关认定的其他严重违法失信行为。 </w:t>
      </w:r>
    </w:p>
    <w:p>
      <w:pPr>
        <w:pStyle w:val="2"/>
        <w:pageBreakBefore w:val="0"/>
        <w:kinsoku/>
        <w:wordWrap/>
        <w:overflowPunct/>
        <w:topLinePunct w:val="0"/>
        <w:bidi w:val="0"/>
        <w:snapToGrid/>
        <w:spacing w:line="560" w:lineRule="exact"/>
        <w:textAlignment w:val="auto"/>
        <w:rPr>
          <w:rFonts w:hint="default"/>
          <w:lang w:val="en-US" w:eastAsia="zh-CN"/>
        </w:rPr>
      </w:pPr>
      <w:bookmarkStart w:id="16" w:name="_Toc17695"/>
      <w:bookmarkStart w:id="17" w:name="_Toc23638"/>
      <w:bookmarkStart w:id="18" w:name="_Toc3373"/>
      <w:r>
        <w:rPr>
          <w:rFonts w:hint="eastAsia"/>
          <w:lang w:val="en-US" w:eastAsia="zh-CN"/>
        </w:rPr>
        <w:t>五、</w:t>
      </w:r>
      <w:bookmarkEnd w:id="16"/>
      <w:bookmarkEnd w:id="17"/>
      <w:r>
        <w:rPr>
          <w:rFonts w:hint="eastAsia"/>
          <w:lang w:val="en-US" w:eastAsia="zh-CN"/>
        </w:rPr>
        <w:t>申报指引</w:t>
      </w:r>
      <w:bookmarkEnd w:id="18"/>
    </w:p>
    <w:p>
      <w:pPr>
        <w:pStyle w:val="11"/>
        <w:pageBreakBefore w:val="0"/>
        <w:numPr>
          <w:ilvl w:val="0"/>
          <w:numId w:val="0"/>
        </w:numPr>
        <w:kinsoku/>
        <w:wordWrap/>
        <w:overflowPunct/>
        <w:topLinePunct w:val="0"/>
        <w:bidi w:val="0"/>
        <w:adjustRightInd w:val="0"/>
        <w:snapToGrid/>
        <w:spacing w:before="0" w:beforeAutospacing="0" w:after="0" w:afterAutospacing="0" w:line="560" w:lineRule="exact"/>
        <w:ind w:firstLine="642" w:firstLineChars="200"/>
        <w:jc w:val="both"/>
        <w:textAlignment w:val="auto"/>
        <w:outlineLvl w:val="1"/>
        <w:rPr>
          <w:rFonts w:hint="eastAsia" w:ascii="楷体_GB2312" w:hAnsi="楷体_GB2312" w:eastAsia="楷体_GB2312" w:cs="楷体_GB2312"/>
          <w:b/>
          <w:bCs/>
          <w:sz w:val="32"/>
          <w:szCs w:val="23"/>
          <w:lang w:val="en-US" w:eastAsia="zh-CN"/>
        </w:rPr>
      </w:pPr>
      <w:bookmarkStart w:id="19" w:name="_Toc25656"/>
      <w:r>
        <w:rPr>
          <w:rFonts w:hint="eastAsia" w:ascii="楷体_GB2312" w:hAnsi="楷体_GB2312" w:eastAsia="楷体_GB2312" w:cs="楷体_GB2312"/>
          <w:b/>
          <w:bCs/>
          <w:sz w:val="32"/>
          <w:szCs w:val="23"/>
          <w:lang w:val="en-US" w:eastAsia="zh-CN"/>
        </w:rPr>
        <w:t>（一）第一条 鼓励商贸服务业升规纳统申报指引</w:t>
      </w:r>
      <w:bookmarkEnd w:id="19"/>
    </w:p>
    <w:p>
      <w:pPr>
        <w:pStyle w:val="11"/>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1.政策原文</w:t>
      </w:r>
      <w:bookmarkStart w:id="20" w:name="_Toc29911"/>
      <w:bookmarkStart w:id="21" w:name="_Toc25223"/>
    </w:p>
    <w:tbl>
      <w:tblPr>
        <w:tblStyle w:val="14"/>
        <w:tblW w:w="0" w:type="auto"/>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一、</w:t>
            </w:r>
            <w:r>
              <w:rPr>
                <w:rFonts w:hint="default" w:ascii="仿宋_GB2312" w:hAnsi="仿宋_GB2312" w:eastAsia="仿宋_GB2312" w:cs="仿宋_GB2312"/>
                <w:b/>
                <w:bCs/>
                <w:color w:val="auto"/>
                <w:sz w:val="28"/>
                <w:szCs w:val="28"/>
                <w:highlight w:val="none"/>
                <w:lang w:val="en-US" w:eastAsia="zh-CN"/>
              </w:rPr>
              <w:t>鼓励商贸服务业升规纳统</w:t>
            </w:r>
          </w:p>
          <w:p>
            <w:pPr>
              <w:keepNext w:val="0"/>
              <w:keepLines w:val="0"/>
              <w:pageBreakBefore/>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i w:val="0"/>
                <w:iCs w:val="0"/>
                <w:kern w:val="0"/>
                <w:sz w:val="28"/>
                <w:szCs w:val="28"/>
                <w:highlight w:val="none"/>
                <w:lang w:val="en-US" w:eastAsia="zh-CN" w:bidi="ar-SA"/>
              </w:rPr>
            </w:pPr>
            <w:r>
              <w:rPr>
                <w:rFonts w:hint="eastAsia" w:ascii="仿宋_GB2312" w:hAnsi="仿宋_GB2312" w:eastAsia="仿宋_GB2312" w:cs="仿宋_GB2312"/>
                <w:i w:val="0"/>
                <w:iCs w:val="0"/>
                <w:kern w:val="0"/>
                <w:sz w:val="28"/>
                <w:szCs w:val="28"/>
                <w:highlight w:val="none"/>
                <w:lang w:val="en-US" w:eastAsia="zh-CN" w:bidi="ar-SA"/>
              </w:rPr>
              <w:t>（一）对首次纳入合作区统计数据库的限额以上批发、零售、住宿、餐饮单位，一次性奖励20万元。</w:t>
            </w:r>
          </w:p>
          <w:p>
            <w:pPr>
              <w:keepNext w:val="0"/>
              <w:keepLines w:val="0"/>
              <w:pageBreakBefore/>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i w:val="0"/>
                <w:iCs w:val="0"/>
                <w:kern w:val="0"/>
                <w:sz w:val="28"/>
                <w:szCs w:val="28"/>
                <w:highlight w:val="none"/>
                <w:lang w:val="en-US" w:eastAsia="zh-CN" w:bidi="ar-SA"/>
              </w:rPr>
            </w:pPr>
            <w:r>
              <w:rPr>
                <w:rFonts w:hint="eastAsia" w:ascii="仿宋_GB2312" w:hAnsi="仿宋_GB2312" w:eastAsia="仿宋_GB2312" w:cs="仿宋_GB2312"/>
                <w:i w:val="0"/>
                <w:iCs w:val="0"/>
                <w:kern w:val="0"/>
                <w:sz w:val="28"/>
                <w:szCs w:val="28"/>
                <w:highlight w:val="none"/>
                <w:lang w:val="en-US" w:eastAsia="zh-CN" w:bidi="ar-SA"/>
              </w:rPr>
              <w:t>（二）对首次纳入合作区统计数据库的规模以上租赁和商务服务业企业，互联网和相关服务、软件和信息技术服务业企业，居民服务、修理和其他服务业企业，科学研究和技术服务业，一次性奖励20万元。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i w:val="0"/>
                <w:iCs w:val="0"/>
                <w:kern w:val="0"/>
                <w:sz w:val="28"/>
                <w:szCs w:val="28"/>
                <w:highlight w:val="none"/>
                <w:lang w:val="en-US" w:eastAsia="zh-CN" w:bidi="ar-SA"/>
              </w:rPr>
              <w:t>（三）对填报国家统计局联网直报平台的报数人员，工作效率和质量较高的，评选出3名“深圳市深汕特别合作区最佳统计报数员”，并给予每人5000元的奖励。</w:t>
            </w:r>
          </w:p>
        </w:tc>
      </w:tr>
      <w:bookmarkEnd w:id="20"/>
      <w:bookmarkEnd w:id="21"/>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仿宋_GB2312"/>
          <w:lang w:val="en-US" w:eastAsia="zh-CN"/>
        </w:rPr>
      </w:pPr>
      <w:r>
        <w:rPr>
          <w:rFonts w:hint="eastAsia" w:ascii="仿宋_GB2312" w:hAnsi="仿宋_GB2312" w:eastAsia="仿宋_GB2312" w:cs="仿宋_GB2312"/>
          <w:kern w:val="0"/>
          <w:sz w:val="32"/>
          <w:szCs w:val="32"/>
          <w:lang w:val="en-US" w:eastAsia="zh-CN" w:bidi="ar-SA"/>
        </w:rPr>
        <w:t>（1）首次纳入深汕统计数据库：指2022年</w:t>
      </w:r>
      <w:r>
        <w:rPr>
          <w:rFonts w:hint="default" w:ascii="仿宋_GB2312" w:hAnsi="仿宋_GB2312" w:eastAsia="仿宋_GB2312" w:cs="仿宋_GB2312"/>
          <w:kern w:val="0"/>
          <w:sz w:val="32"/>
          <w:szCs w:val="32"/>
          <w:lang w:val="en" w:eastAsia="zh-CN" w:bidi="ar-SA"/>
        </w:rPr>
        <w:t>首次</w:t>
      </w:r>
      <w:r>
        <w:rPr>
          <w:rFonts w:hint="eastAsia" w:ascii="仿宋_GB2312" w:hAnsi="仿宋_GB2312" w:eastAsia="仿宋_GB2312" w:cs="仿宋_GB2312"/>
          <w:kern w:val="0"/>
          <w:sz w:val="32"/>
          <w:szCs w:val="32"/>
          <w:lang w:val="en-US" w:eastAsia="zh-CN" w:bidi="ar-SA"/>
        </w:rPr>
        <w:t>新增纳统</w:t>
      </w:r>
      <w:r>
        <w:rPr>
          <w:rFonts w:hint="default" w:ascii="仿宋_GB2312" w:hAnsi="仿宋_GB2312" w:eastAsia="仿宋_GB2312" w:cs="仿宋_GB2312"/>
          <w:kern w:val="0"/>
          <w:sz w:val="32"/>
          <w:szCs w:val="32"/>
          <w:lang w:val="en" w:eastAsia="zh-CN" w:bidi="ar-SA"/>
        </w:rPr>
        <w:t>的</w:t>
      </w:r>
      <w:r>
        <w:rPr>
          <w:rFonts w:hint="eastAsia" w:ascii="仿宋_GB2312" w:hAnsi="仿宋_GB2312" w:eastAsia="仿宋_GB2312" w:cs="仿宋_GB2312"/>
          <w:kern w:val="0"/>
          <w:sz w:val="32"/>
          <w:szCs w:val="32"/>
          <w:lang w:val="en-US" w:eastAsia="zh-CN" w:bidi="ar-SA"/>
        </w:rPr>
        <w:t>法人单位</w:t>
      </w:r>
      <w:r>
        <w:rPr>
          <w:rFonts w:hint="eastAsia" w:ascii="仿宋_GB2312" w:hAnsi="仿宋_GB2312" w:eastAsia="仿宋_GB2312" w:cs="仿宋_GB2312"/>
          <w:kern w:val="0"/>
          <w:sz w:val="32"/>
          <w:szCs w:val="32"/>
          <w:lang w:val="en-US" w:eastAsia="zh-CN"/>
        </w:rPr>
        <w:t>（含区外迁入）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包</w:t>
      </w:r>
      <w:r>
        <w:rPr>
          <w:rFonts w:hint="eastAsia" w:ascii="仿宋_GB2312" w:hAnsi="仿宋_GB2312" w:eastAsia="仿宋_GB2312" w:cs="仿宋_GB2312"/>
          <w:kern w:val="0"/>
          <w:sz w:val="32"/>
          <w:szCs w:val="32"/>
        </w:rPr>
        <w:t>含月度纳统</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年度纳统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bidi="ar-SA"/>
        </w:rPr>
        <w:t>不含转专业或从深汕统计数据库退库后重新纳统的情形</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i w:val="0"/>
          <w:iCs w:val="0"/>
          <w:caps w:val="0"/>
          <w:spacing w:val="0"/>
          <w:kern w:val="0"/>
          <w:sz w:val="32"/>
          <w:szCs w:val="32"/>
          <w:shd w:val="clear"/>
        </w:rPr>
        <w:t>最佳统计报数员</w:t>
      </w:r>
      <w:r>
        <w:rPr>
          <w:rFonts w:hint="eastAsia" w:ascii="仿宋_GB2312" w:hAnsi="仿宋_GB2312" w:eastAsia="仿宋_GB2312" w:cs="仿宋_GB2312"/>
          <w:i w:val="0"/>
          <w:iCs w:val="0"/>
          <w:caps w:val="0"/>
          <w:spacing w:val="0"/>
          <w:kern w:val="0"/>
          <w:sz w:val="32"/>
          <w:szCs w:val="32"/>
          <w:shd w:val="clear"/>
          <w:lang w:eastAsia="zh-CN"/>
        </w:rPr>
        <w:t>：</w:t>
      </w:r>
      <w:r>
        <w:rPr>
          <w:rFonts w:hint="eastAsia" w:ascii="仿宋_GB2312" w:hAnsi="仿宋_GB2312" w:eastAsia="仿宋_GB2312" w:cs="仿宋_GB2312"/>
          <w:i w:val="0"/>
          <w:iCs w:val="0"/>
          <w:caps w:val="0"/>
          <w:spacing w:val="0"/>
          <w:kern w:val="0"/>
          <w:sz w:val="32"/>
          <w:szCs w:val="32"/>
          <w:shd w:val="clear"/>
        </w:rPr>
        <w:t>各企业最多能推荐1名</w:t>
      </w:r>
      <w:r>
        <w:rPr>
          <w:rFonts w:hint="eastAsia" w:ascii="仿宋_GB2312" w:hAnsi="仿宋_GB2312" w:eastAsia="仿宋_GB2312" w:cs="仿宋_GB2312"/>
          <w:i w:val="0"/>
          <w:iCs w:val="0"/>
          <w:caps w:val="0"/>
          <w:spacing w:val="0"/>
          <w:kern w:val="0"/>
          <w:sz w:val="32"/>
          <w:szCs w:val="32"/>
          <w:shd w:val="clear"/>
          <w:lang w:eastAsia="zh-CN"/>
        </w:rPr>
        <w:t>本单位</w:t>
      </w:r>
      <w:r>
        <w:rPr>
          <w:rFonts w:hint="eastAsia" w:ascii="仿宋_GB2312" w:hAnsi="仿宋_GB2312" w:eastAsia="仿宋_GB2312" w:cs="仿宋_GB2312"/>
          <w:i w:val="0"/>
          <w:iCs w:val="0"/>
          <w:caps w:val="0"/>
          <w:spacing w:val="0"/>
          <w:kern w:val="0"/>
          <w:sz w:val="32"/>
          <w:szCs w:val="32"/>
          <w:shd w:val="clear"/>
        </w:rPr>
        <w:t>候选人</w:t>
      </w:r>
      <w:r>
        <w:rPr>
          <w:rFonts w:hint="eastAsia" w:ascii="仿宋_GB2312" w:hAnsi="仿宋_GB2312" w:eastAsia="仿宋_GB2312" w:cs="仿宋_GB2312"/>
          <w:i w:val="0"/>
          <w:iCs w:val="0"/>
          <w:caps w:val="0"/>
          <w:spacing w:val="0"/>
          <w:kern w:val="0"/>
          <w:sz w:val="32"/>
          <w:szCs w:val="32"/>
          <w:shd w:val="clear"/>
          <w:lang w:val="en-US" w:eastAsia="zh-CN"/>
        </w:rPr>
        <w:t>进行自查自评</w:t>
      </w:r>
      <w:r>
        <w:rPr>
          <w:rFonts w:hint="eastAsia" w:ascii="仿宋_GB2312" w:hAnsi="仿宋_GB2312" w:eastAsia="仿宋_GB2312" w:cs="仿宋_GB2312"/>
          <w:i w:val="0"/>
          <w:iCs w:val="0"/>
          <w:caps w:val="0"/>
          <w:spacing w:val="0"/>
          <w:kern w:val="0"/>
          <w:sz w:val="32"/>
          <w:szCs w:val="32"/>
          <w:shd w:val="clear"/>
        </w:rPr>
        <w:t>。</w:t>
      </w:r>
      <w:r>
        <w:rPr>
          <w:rFonts w:hint="eastAsia" w:ascii="仿宋_GB2312" w:hAnsi="仿宋_GB2312" w:eastAsia="仿宋_GB2312" w:cs="仿宋_GB2312"/>
          <w:i w:val="0"/>
          <w:iCs w:val="0"/>
          <w:caps w:val="0"/>
          <w:color w:val="auto"/>
          <w:spacing w:val="0"/>
          <w:kern w:val="0"/>
          <w:sz w:val="32"/>
          <w:szCs w:val="32"/>
          <w:shd w:val="clear"/>
          <w:lang w:val="en-US" w:eastAsia="zh-CN"/>
        </w:rPr>
        <w:t>评选结果我局将结合区</w:t>
      </w:r>
      <w:r>
        <w:rPr>
          <w:rFonts w:hint="eastAsia" w:ascii="仿宋_GB2312" w:hAnsi="仿宋_GB2312" w:eastAsia="仿宋_GB2312" w:cs="仿宋_GB2312"/>
          <w:color w:val="auto"/>
          <w:kern w:val="0"/>
          <w:sz w:val="32"/>
          <w:szCs w:val="32"/>
          <w:lang w:val="en-US" w:eastAsia="zh-CN" w:bidi="ar-SA"/>
        </w:rPr>
        <w:t>发改财政局（统计局）提供的推荐人选名单，以及企业统计报数员在</w:t>
      </w:r>
      <w:r>
        <w:rPr>
          <w:rFonts w:hint="eastAsia" w:ascii="仿宋_GB2312" w:hAnsi="仿宋_GB2312" w:eastAsia="仿宋_GB2312" w:cs="仿宋_GB2312"/>
          <w:color w:val="auto"/>
          <w:sz w:val="32"/>
          <w:szCs w:val="32"/>
          <w:highlight w:val="none"/>
          <w:lang w:val="en-US" w:eastAsia="zh-CN"/>
        </w:rPr>
        <w:t>日常相关工作中对主管部门及统计部门的配合程度（如</w:t>
      </w:r>
      <w:r>
        <w:rPr>
          <w:rFonts w:hint="eastAsia" w:ascii="仿宋_GB2312" w:hAnsi="仿宋_GB2312" w:eastAsia="仿宋_GB2312" w:cs="仿宋_GB2312"/>
          <w:color w:val="auto"/>
          <w:sz w:val="32"/>
          <w:szCs w:val="32"/>
          <w:highlight w:val="none"/>
          <w:lang w:eastAsia="zh-CN"/>
        </w:rPr>
        <w:t>报数质量、时效、积极性）等方面</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lang w:eastAsia="zh-CN"/>
        </w:rPr>
        <w:t>综合考量，</w:t>
      </w:r>
      <w:r>
        <w:rPr>
          <w:rFonts w:hint="eastAsia" w:ascii="仿宋_GB2312" w:hAnsi="仿宋_GB2312" w:eastAsia="仿宋_GB2312" w:cs="仿宋_GB2312"/>
          <w:i w:val="0"/>
          <w:iCs w:val="0"/>
          <w:caps w:val="0"/>
          <w:color w:val="auto"/>
          <w:spacing w:val="0"/>
          <w:kern w:val="0"/>
          <w:sz w:val="32"/>
          <w:szCs w:val="32"/>
          <w:shd w:val="clear"/>
          <w:lang w:val="en-US" w:eastAsia="zh-CN"/>
        </w:rPr>
        <w:t>最终评选出3名</w:t>
      </w:r>
      <w:r>
        <w:rPr>
          <w:rFonts w:hint="eastAsia" w:ascii="仿宋_GB2312" w:hAnsi="仿宋_GB2312" w:eastAsia="仿宋_GB2312" w:cs="仿宋_GB2312"/>
          <w:color w:val="auto"/>
          <w:sz w:val="32"/>
          <w:szCs w:val="32"/>
          <w:highlight w:val="none"/>
          <w:lang w:eastAsia="zh-CN"/>
        </w:rPr>
        <w:t>。区科创经服局最终将奖励资金拨付至相关企业，并由企业通过银行转账方式支付给获得奖励的个人，并留存拨付记录，获奖人员奖金涉税支出应依法处理，由个人承担。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申报材料</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bookmarkStart w:id="22" w:name="_Toc13108"/>
      <w:bookmarkStart w:id="23" w:name="_Toc657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1）；</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营业执照复印件（三证合一新版营业执照，未换领新版营业执照的，提交旧版营业执照、组织机构代码证、税务登记证）;</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法定代表人身份证复印件（法定代表人签字），或法人委托书原件及代理人身份证复印件（代理人签字）；</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税务主管部门出具的2022年度纳税证明；</w:t>
      </w:r>
    </w:p>
    <w:p>
      <w:pPr>
        <w:pStyle w:val="3"/>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24" w:name="_Toc2616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eastAsia" w:ascii="仿宋_GB2312" w:hAnsi="仿宋_GB2312" w:eastAsia="仿宋_GB2312" w:cs="仿宋_GB2312"/>
          <w:sz w:val="32"/>
          <w:szCs w:val="32"/>
          <w:lang w:eastAsia="zh-CN"/>
        </w:rPr>
        <w:t>；</w:t>
      </w:r>
      <w:bookmarkEnd w:id="24"/>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申报第（</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款资助</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lang w:val="en-US" w:eastAsia="zh-CN"/>
        </w:rPr>
        <w:t>还需提供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企业优秀报数员推荐表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（附件2）、身份证复印件、用工合同、个人无犯罪记录证明；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eastAsia="仿宋_GB2312"/>
          <w:sz w:val="32"/>
          <w:szCs w:val="23"/>
        </w:rPr>
        <w:t>审核部门要求的其他材料。</w:t>
      </w:r>
    </w:p>
    <w:p>
      <w:pPr>
        <w:pStyle w:val="11"/>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560" w:lineRule="exact"/>
        <w:ind w:firstLine="642" w:firstLineChars="200"/>
        <w:jc w:val="both"/>
        <w:textAlignment w:val="auto"/>
        <w:outlineLvl w:val="1"/>
        <w:rPr>
          <w:rFonts w:hint="eastAsia" w:ascii="楷体_GB2312" w:hAnsi="楷体_GB2312" w:eastAsia="楷体_GB2312" w:cs="楷体_GB2312"/>
          <w:b/>
          <w:bCs/>
          <w:sz w:val="32"/>
          <w:szCs w:val="23"/>
          <w:lang w:val="en-US" w:eastAsia="zh-CN"/>
        </w:rPr>
      </w:pPr>
      <w:bookmarkStart w:id="25" w:name="_Toc6374"/>
      <w:r>
        <w:rPr>
          <w:rFonts w:hint="eastAsia" w:ascii="楷体_GB2312" w:hAnsi="楷体_GB2312" w:eastAsia="楷体_GB2312" w:cs="楷体_GB2312"/>
          <w:b/>
          <w:bCs/>
          <w:sz w:val="32"/>
          <w:szCs w:val="23"/>
          <w:lang w:val="en-US" w:eastAsia="zh-CN"/>
        </w:rPr>
        <w:t>（二）第二条 培育商贸服务业发展壮大申报指引</w:t>
      </w:r>
      <w:bookmarkEnd w:id="25"/>
    </w:p>
    <w:p>
      <w:pPr>
        <w:pStyle w:val="11"/>
        <w:pageBreakBefore w:val="0"/>
        <w:numPr>
          <w:ilvl w:val="0"/>
          <w:numId w:val="0"/>
        </w:numPr>
        <w:kinsoku/>
        <w:wordWrap/>
        <w:overflowPunct/>
        <w:topLinePunct w:val="0"/>
        <w:bidi w:val="0"/>
        <w:adjustRightInd w:val="0"/>
        <w:snapToGrid/>
        <w:spacing w:before="0" w:beforeAutospacing="0" w:after="0" w:afterAutospacing="0" w:line="560" w:lineRule="exact"/>
        <w:ind w:firstLine="642" w:firstLineChars="200"/>
        <w:jc w:val="both"/>
        <w:textAlignment w:val="auto"/>
        <w:outlineLvl w:val="9"/>
        <w:rPr>
          <w:rFonts w:hint="eastAsia" w:ascii="楷体_GB2312" w:hAnsi="楷体_GB2312" w:eastAsia="楷体_GB2312" w:cs="楷体_GB2312"/>
          <w:b/>
          <w:bCs/>
          <w:sz w:val="32"/>
          <w:szCs w:val="23"/>
          <w:lang w:val="en-US" w:eastAsia="zh-CN"/>
        </w:rPr>
      </w:pPr>
      <w:r>
        <w:rPr>
          <w:rFonts w:hint="eastAsia" w:ascii="仿宋_GB2312" w:eastAsia="仿宋_GB2312" w:cs="宋体"/>
          <w:b/>
          <w:bCs/>
          <w:sz w:val="32"/>
          <w:szCs w:val="23"/>
          <w:lang w:val="en-US" w:eastAsia="zh-CN"/>
        </w:rPr>
        <w:t>1.</w:t>
      </w:r>
      <w:r>
        <w:rPr>
          <w:rFonts w:hint="eastAsia" w:ascii="仿宋_GB2312" w:hAnsi="宋体" w:eastAsia="仿宋_GB2312" w:cs="宋体"/>
          <w:b/>
          <w:bCs/>
          <w:sz w:val="32"/>
          <w:szCs w:val="23"/>
          <w:lang w:val="en-US" w:eastAsia="zh-CN"/>
        </w:rPr>
        <w:t>政策原文</w:t>
      </w:r>
    </w:p>
    <w:bookmarkEnd w:id="22"/>
    <w:bookmarkEnd w:id="23"/>
    <w:tbl>
      <w:tblPr>
        <w:tblStyle w:val="14"/>
        <w:tblW w:w="0" w:type="auto"/>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vAlign w:val="top"/>
          </w:tcPr>
          <w:p>
            <w:pPr>
              <w:pStyle w:val="9"/>
              <w:pageBreakBefore w:val="0"/>
              <w:numPr>
                <w:ilvl w:val="0"/>
                <w:numId w:val="0"/>
              </w:numPr>
              <w:kinsoku/>
              <w:wordWrap/>
              <w:overflowPunct/>
              <w:topLinePunct w:val="0"/>
              <w:bidi w:val="0"/>
              <w:snapToGrid/>
              <w:spacing w:line="560" w:lineRule="exact"/>
              <w:ind w:left="0" w:leftChars="0" w:firstLine="562" w:firstLineChars="200"/>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bCs/>
                <w:sz w:val="28"/>
                <w:szCs w:val="28"/>
                <w:lang w:val="en-US" w:eastAsia="zh-CN"/>
              </w:rPr>
              <w:t>二、培育商贸服务业发展壮大</w:t>
            </w:r>
          </w:p>
          <w:p>
            <w:pPr>
              <w:pStyle w:val="9"/>
              <w:pageBreakBefore w:val="0"/>
              <w:numPr>
                <w:ilvl w:val="0"/>
                <w:numId w:val="0"/>
              </w:numPr>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下述每条措施均按就高不就低的原则给予奖励。</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（四）对纳入合作区统计数据库的限额以上批发业单位，上年度营业额达到5000万元且同比增速为正的，给予一次性10万元奖励。上年度同比增速达到15%的，给予5万元奖励。</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（五）对纳入合作区统计数据库的限额以上零售业单位，上年度营业额达到1500万元且增速为正的，给予一次性10万元奖励。上年度同比增速达10%的，给予5万元奖励。</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（六）对纳入合作区统计数据库的限额以上住宿业单位（非星级），上年度营业额达到700万元且同比增速为正的，给予10万元一次性奖励。上年度同比增速达10%的，给予5万元奖励。</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（七）对纳入合作区统计数据库的限额以上餐饮业单位，上年度营业额达到300万元且同比增速为正的，给予一次性10万元奖励。上年度同比增速达10%的，给予5万元奖励。</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32"/>
                <w:szCs w:val="32"/>
                <w:vertAlign w:val="baseline"/>
                <w:lang w:val="en-US" w:eastAsia="zh-CN" w:bidi="ar-SA"/>
              </w:rPr>
            </w:pPr>
            <w:r>
              <w:rPr>
                <w:rFonts w:hint="eastAsia" w:ascii="仿宋_GB2312" w:hAnsi="仿宋_GB2312" w:eastAsia="仿宋_GB2312" w:cs="仿宋_GB2312"/>
                <w:sz w:val="28"/>
                <w:szCs w:val="28"/>
                <w:lang w:val="en-US" w:eastAsia="zh-CN"/>
              </w:rPr>
              <w:t>（八）对纳入合作区统计数据库的规模以上租赁和商务服务业企业，互联网和相关服务、软件和信息技术服务业企业，居民服务、修理和其他服务业企业，上年度营业额达到5亿元且同比增速为正的，给予一次性20万元奖励。上年度营业额达到2亿元且同比增速为正的，给予一次性15万元奖励。上年度同比增速为正的，给予5万元奖励。</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宋体"/>
          <w:b/>
          <w:bCs/>
          <w:kern w:val="0"/>
          <w:sz w:val="32"/>
          <w:szCs w:val="23"/>
          <w:lang w:val="en-US" w:eastAsia="zh-CN" w:bidi="ar-SA"/>
        </w:rPr>
      </w:pPr>
      <w:r>
        <w:rPr>
          <w:rFonts w:hint="eastAsia" w:ascii="仿宋_GB2312" w:hAnsi="宋体" w:eastAsia="仿宋_GB2312" w:cs="宋体"/>
          <w:b/>
          <w:bCs/>
          <w:kern w:val="0"/>
          <w:sz w:val="32"/>
          <w:szCs w:val="23"/>
          <w:lang w:val="en-US" w:eastAsia="zh-CN" w:bidi="ar-SA"/>
        </w:rPr>
        <w:t>2.政策说明</w:t>
      </w:r>
    </w:p>
    <w:p>
      <w:pPr>
        <w:pageBreakBefore w:val="0"/>
        <w:numPr>
          <w:ilvl w:val="0"/>
          <w:numId w:val="0"/>
        </w:numPr>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000023"/>
          <w:sz w:val="28"/>
          <w:szCs w:val="28"/>
          <w:lang w:val="en-US" w:eastAsia="zh-CN"/>
        </w:rPr>
        <w:t>）</w:t>
      </w: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lang w:val="en-US" w:eastAsia="zh-CN"/>
        </w:rPr>
        <w:t>021年1月31日（含）以前开业的限额以上批发、零售、非星级住宿（隔离酒店除外）、餐饮企业，其2022年销售额（营业额）、增速达到奖励条件的给予相应奖励，</w:t>
      </w:r>
      <w:r>
        <w:rPr>
          <w:rStyle w:val="17"/>
          <w:rFonts w:hint="eastAsia" w:ascii="仿宋_GB2312" w:hAnsi="仿宋_GB2312" w:eastAsia="仿宋_GB2312" w:cs="仿宋_GB2312"/>
          <w:i w:val="0"/>
          <w:iCs w:val="0"/>
          <w:caps w:val="0"/>
          <w:color w:val="auto"/>
          <w:spacing w:val="0"/>
          <w:sz w:val="32"/>
          <w:szCs w:val="32"/>
          <w:shd w:val="clear" w:fill="FFFFFF"/>
        </w:rPr>
        <w:t>最高不超过</w:t>
      </w:r>
      <w:r>
        <w:rPr>
          <w:rStyle w:val="17"/>
          <w:rFonts w:hint="eastAsia" w:ascii="仿宋_GB2312" w:hAnsi="仿宋_GB2312" w:eastAsia="仿宋_GB2312" w:cs="仿宋_GB2312"/>
          <w:i w:val="0"/>
          <w:iCs w:val="0"/>
          <w:caps w:val="0"/>
          <w:color w:val="auto"/>
          <w:spacing w:val="0"/>
          <w:sz w:val="32"/>
          <w:szCs w:val="32"/>
          <w:shd w:val="clear" w:fill="FFFFFF"/>
          <w:lang w:val="en-US" w:eastAsia="zh-CN"/>
        </w:rPr>
        <w:t>1</w:t>
      </w:r>
      <w:r>
        <w:rPr>
          <w:rStyle w:val="17"/>
          <w:rFonts w:hint="eastAsia" w:ascii="仿宋_GB2312" w:hAnsi="仿宋_GB2312" w:eastAsia="仿宋_GB2312" w:cs="仿宋_GB2312"/>
          <w:i w:val="0"/>
          <w:iCs w:val="0"/>
          <w:caps w:val="0"/>
          <w:color w:val="auto"/>
          <w:spacing w:val="0"/>
          <w:sz w:val="32"/>
          <w:szCs w:val="32"/>
          <w:shd w:val="clear" w:fill="FFFFFF"/>
        </w:rPr>
        <w:t>0万元</w:t>
      </w:r>
      <w:r>
        <w:rPr>
          <w:rFonts w:hint="eastAsia" w:ascii="仿宋_GB2312" w:hAnsi="仿宋_GB2312" w:eastAsia="仿宋_GB2312" w:cs="仿宋_GB2312"/>
          <w:color w:val="auto"/>
          <w:sz w:val="32"/>
          <w:szCs w:val="32"/>
          <w:lang w:val="en-US" w:eastAsia="zh-CN"/>
        </w:rPr>
        <w:t>。</w:t>
      </w:r>
    </w:p>
    <w:p>
      <w:pPr>
        <w:pStyle w:val="9"/>
        <w:pageBreakBefore w:val="0"/>
        <w:numPr>
          <w:ilvl w:val="-1"/>
          <w:numId w:val="0"/>
        </w:numPr>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lang w:val="en-US" w:eastAsia="zh-CN"/>
        </w:rPr>
        <w:t>021年1月31日（含）以前开业的规模</w:t>
      </w:r>
      <w:r>
        <w:rPr>
          <w:rFonts w:hint="eastAsia" w:ascii="仿宋_GB2312" w:hAnsi="仿宋_GB2312" w:eastAsia="仿宋_GB2312" w:cs="仿宋_GB2312"/>
          <w:sz w:val="32"/>
          <w:szCs w:val="32"/>
          <w:lang w:val="en-US" w:eastAsia="zh-CN"/>
        </w:rPr>
        <w:t>以上租赁和商务服务业企业，互联网和相关服务、软件和信息技术服务业企业，居民服务、修理和其他服务业企业，其2022年营业额、增速达到奖励条件的给予相应奖</w:t>
      </w:r>
      <w:r>
        <w:rPr>
          <w:rFonts w:hint="eastAsia" w:ascii="仿宋_GB2312" w:hAnsi="仿宋_GB2312" w:eastAsia="仿宋_GB2312" w:cs="仿宋_GB2312"/>
          <w:color w:val="auto"/>
          <w:sz w:val="32"/>
          <w:szCs w:val="32"/>
          <w:lang w:val="en-US" w:eastAsia="zh-CN"/>
        </w:rPr>
        <w:t>励，</w:t>
      </w:r>
      <w:r>
        <w:rPr>
          <w:rStyle w:val="17"/>
          <w:rFonts w:hint="eastAsia" w:ascii="仿宋_GB2312" w:hAnsi="仿宋_GB2312" w:eastAsia="仿宋_GB2312" w:cs="仿宋_GB2312"/>
          <w:i w:val="0"/>
          <w:iCs w:val="0"/>
          <w:caps w:val="0"/>
          <w:color w:val="auto"/>
          <w:spacing w:val="0"/>
          <w:sz w:val="32"/>
          <w:szCs w:val="32"/>
          <w:shd w:val="clear" w:fill="FFFFFF"/>
        </w:rPr>
        <w:t>最高不超过</w:t>
      </w:r>
      <w:r>
        <w:rPr>
          <w:rStyle w:val="17"/>
          <w:rFonts w:hint="eastAsia" w:ascii="仿宋_GB2312" w:hAnsi="仿宋_GB2312" w:eastAsia="仿宋_GB2312" w:cs="仿宋_GB2312"/>
          <w:i w:val="0"/>
          <w:iCs w:val="0"/>
          <w:caps w:val="0"/>
          <w:color w:val="auto"/>
          <w:spacing w:val="0"/>
          <w:sz w:val="32"/>
          <w:szCs w:val="32"/>
          <w:shd w:val="clear" w:fill="FFFFFF"/>
          <w:lang w:val="en-US" w:eastAsia="zh-CN"/>
        </w:rPr>
        <w:t>2</w:t>
      </w:r>
      <w:r>
        <w:rPr>
          <w:rStyle w:val="17"/>
          <w:rFonts w:hint="eastAsia" w:ascii="仿宋_GB2312" w:hAnsi="仿宋_GB2312" w:eastAsia="仿宋_GB2312" w:cs="仿宋_GB2312"/>
          <w:i w:val="0"/>
          <w:iCs w:val="0"/>
          <w:caps w:val="0"/>
          <w:color w:val="auto"/>
          <w:spacing w:val="0"/>
          <w:sz w:val="32"/>
          <w:szCs w:val="32"/>
          <w:shd w:val="clear" w:fill="FFFFFF"/>
        </w:rPr>
        <w:t>0万元</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申报材料</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1）；</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营业执照复印件（三证合一新版营业执照，未换领新版营业执照的，提交旧版营业执照、组织机构代码证、税务登记证）;</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法定代表人身份证复印件（法定代表人签字），或法人委托书原件及代理人身份证复印件（代理人签字）；</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w:t>
      </w:r>
      <w:r>
        <w:rPr>
          <w:rFonts w:hint="eastAsia" w:ascii="仿宋_GB2312" w:hAnsi="仿宋_GB2312" w:eastAsia="仿宋_GB2312" w:cs="仿宋_GB2312"/>
          <w:color w:val="000023"/>
          <w:sz w:val="32"/>
          <w:szCs w:val="32"/>
        </w:rPr>
        <w:t>的2022</w:t>
      </w:r>
      <w:r>
        <w:rPr>
          <w:rFonts w:hint="eastAsia" w:ascii="仿宋_GB2312" w:hAnsi="仿宋_GB2312" w:eastAsia="仿宋_GB2312" w:cs="仿宋_GB2312"/>
          <w:sz w:val="32"/>
          <w:szCs w:val="32"/>
        </w:rPr>
        <w:t>年度纳税证明；</w:t>
      </w:r>
    </w:p>
    <w:p>
      <w:pPr>
        <w:pStyle w:val="3"/>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26" w:name="_Toc1154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eastAsia" w:ascii="仿宋_GB2312" w:hAnsi="仿宋_GB2312" w:eastAsia="仿宋_GB2312" w:cs="仿宋_GB2312"/>
          <w:sz w:val="32"/>
          <w:szCs w:val="32"/>
          <w:lang w:eastAsia="zh-CN"/>
        </w:rPr>
        <w:t>；</w:t>
      </w:r>
      <w:bookmarkEnd w:id="26"/>
    </w:p>
    <w:p>
      <w:pPr>
        <w:pStyle w:val="11"/>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（6）向统计部门报送的2021年和2022年年度报表（2022年新增年度、月度纳统企业无需提供2021年年度报表）</w:t>
      </w:r>
      <w:r>
        <w:rPr>
          <w:rFonts w:hint="eastAsia" w:ascii="仿宋_GB2312" w:hAnsi="仿宋_GB2312" w:eastAsia="仿宋_GB2312" w:cs="仿宋_GB2312"/>
          <w:sz w:val="32"/>
          <w:szCs w:val="32"/>
          <w:lang w:eastAsia="zh-CN"/>
        </w:rPr>
        <w:t>；</w:t>
      </w:r>
    </w:p>
    <w:p>
      <w:pPr>
        <w:pStyle w:val="11"/>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在统计联网直报平台下载：</w:t>
      </w:r>
      <w:r>
        <w:rPr>
          <w:rFonts w:hint="eastAsia" w:ascii="仿宋_GB2312" w:hAnsi="仿宋_GB2312" w:eastAsia="仿宋_GB2312" w:cs="仿宋_GB2312"/>
          <w:sz w:val="32"/>
          <w:szCs w:val="32"/>
        </w:rPr>
        <w:t>批发零售企</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E104-1表、住宿餐饮企业S104-1表、服务业企业F</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03表）</w:t>
      </w:r>
    </w:p>
    <w:p>
      <w:pPr>
        <w:pStyle w:val="11"/>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12月份</w:t>
      </w:r>
      <w:r>
        <w:rPr>
          <w:rFonts w:hint="eastAsia" w:ascii="仿宋_GB2312" w:hAnsi="仿宋_GB2312" w:eastAsia="仿宋_GB2312" w:cs="仿宋_GB2312"/>
          <w:sz w:val="32"/>
          <w:szCs w:val="32"/>
        </w:rPr>
        <w:t>《利润表》</w:t>
      </w:r>
      <w:r>
        <w:rPr>
          <w:rFonts w:hint="eastAsia" w:ascii="仿宋_GB2312" w:hAnsi="仿宋_GB2312" w:eastAsia="仿宋_GB2312" w:cs="仿宋_GB2312"/>
          <w:sz w:val="32"/>
          <w:szCs w:val="32"/>
          <w:lang w:eastAsia="zh-CN"/>
        </w:rPr>
        <w:t>；</w:t>
      </w:r>
    </w:p>
    <w:p>
      <w:pPr>
        <w:pStyle w:val="11"/>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12月份</w:t>
      </w:r>
      <w:r>
        <w:rPr>
          <w:rFonts w:hint="eastAsia" w:ascii="仿宋_GB2312" w:hAnsi="仿宋_GB2312" w:eastAsia="仿宋_GB2312" w:cs="仿宋_GB2312"/>
          <w:sz w:val="32"/>
          <w:szCs w:val="32"/>
        </w:rPr>
        <w:t>带有税务部门公章</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《增值税纳税申报表》</w:t>
      </w:r>
      <w:r>
        <w:rPr>
          <w:rFonts w:hint="eastAsia" w:ascii="仿宋_GB2312" w:hAnsi="仿宋_GB2312" w:eastAsia="仿宋_GB2312" w:cs="仿宋_GB2312"/>
          <w:sz w:val="32"/>
          <w:szCs w:val="32"/>
          <w:lang w:eastAsia="zh-CN"/>
        </w:rPr>
        <w:t>；</w:t>
      </w:r>
    </w:p>
    <w:p>
      <w:pPr>
        <w:pStyle w:val="11"/>
        <w:keepNext w:val="0"/>
        <w:keepLines w:val="0"/>
        <w:pageBreakBefore w:val="0"/>
        <w:shd w:val="clear" w:color="auto" w:fill="FFFFFF"/>
        <w:kinsoku/>
        <w:wordWrap/>
        <w:overflowPunct/>
        <w:topLinePunct w:val="0"/>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pStyle w:val="11"/>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560" w:lineRule="exact"/>
        <w:ind w:firstLine="642" w:firstLineChars="200"/>
        <w:jc w:val="both"/>
        <w:textAlignment w:val="auto"/>
        <w:outlineLvl w:val="1"/>
        <w:rPr>
          <w:rFonts w:hint="eastAsia" w:ascii="楷体_GB2312" w:hAnsi="楷体_GB2312" w:eastAsia="楷体_GB2312" w:cs="楷体_GB2312"/>
          <w:b/>
          <w:bCs/>
          <w:sz w:val="32"/>
          <w:szCs w:val="23"/>
          <w:lang w:val="en-US" w:eastAsia="zh-CN"/>
        </w:rPr>
      </w:pPr>
      <w:bookmarkStart w:id="27" w:name="_Toc10492"/>
      <w:bookmarkStart w:id="28" w:name="_Toc25198"/>
      <w:bookmarkStart w:id="29" w:name="_Toc30748"/>
      <w:r>
        <w:rPr>
          <w:rFonts w:hint="eastAsia" w:ascii="楷体_GB2312" w:hAnsi="楷体_GB2312" w:eastAsia="楷体_GB2312" w:cs="楷体_GB2312"/>
          <w:b/>
          <w:bCs/>
          <w:sz w:val="32"/>
          <w:szCs w:val="23"/>
          <w:lang w:val="en-US" w:eastAsia="zh-CN"/>
        </w:rPr>
        <w:t>（三）第三条 支持商贸企业开展促消费活动申报指引</w:t>
      </w:r>
      <w:bookmarkEnd w:id="27"/>
    </w:p>
    <w:p>
      <w:pPr>
        <w:pStyle w:val="11"/>
        <w:pageBreakBefore w:val="0"/>
        <w:numPr>
          <w:ilvl w:val="0"/>
          <w:numId w:val="0"/>
        </w:numPr>
        <w:kinsoku/>
        <w:wordWrap/>
        <w:overflowPunct/>
        <w:topLinePunct w:val="0"/>
        <w:bidi w:val="0"/>
        <w:adjustRightInd w:val="0"/>
        <w:snapToGrid/>
        <w:spacing w:before="0" w:beforeAutospacing="0" w:after="0" w:afterAutospacing="0" w:line="560" w:lineRule="exact"/>
        <w:ind w:firstLine="642" w:firstLineChars="200"/>
        <w:jc w:val="both"/>
        <w:textAlignment w:val="auto"/>
        <w:outlineLvl w:val="9"/>
        <w:rPr>
          <w:rFonts w:hint="eastAsia" w:ascii="楷体_GB2312" w:hAnsi="楷体_GB2312" w:eastAsia="楷体_GB2312" w:cs="楷体_GB2312"/>
          <w:b/>
          <w:bCs/>
          <w:sz w:val="32"/>
          <w:szCs w:val="23"/>
          <w:lang w:val="en-US" w:eastAsia="zh-CN"/>
        </w:rPr>
      </w:pPr>
      <w:r>
        <w:rPr>
          <w:rFonts w:hint="eastAsia" w:ascii="仿宋_GB2312" w:eastAsia="仿宋_GB2312" w:cs="宋体"/>
          <w:b/>
          <w:bCs/>
          <w:sz w:val="32"/>
          <w:szCs w:val="23"/>
          <w:lang w:val="en-US" w:eastAsia="zh-CN"/>
        </w:rPr>
        <w:t>1.</w:t>
      </w:r>
      <w:r>
        <w:rPr>
          <w:rFonts w:hint="eastAsia" w:ascii="仿宋_GB2312" w:hAnsi="宋体" w:eastAsia="仿宋_GB2312" w:cs="宋体"/>
          <w:b/>
          <w:bCs/>
          <w:sz w:val="32"/>
          <w:szCs w:val="23"/>
          <w:lang w:val="en-US" w:eastAsia="zh-CN"/>
        </w:rPr>
        <w:t>政策原文</w:t>
      </w:r>
    </w:p>
    <w:bookmarkEnd w:id="28"/>
    <w:bookmarkEnd w:id="29"/>
    <w:tbl>
      <w:tblPr>
        <w:tblStyle w:val="14"/>
        <w:tblW w:w="0" w:type="auto"/>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三、</w:t>
            </w:r>
            <w:r>
              <w:rPr>
                <w:rFonts w:hint="eastAsia" w:ascii="仿宋_GB2312" w:hAnsi="仿宋_GB2312" w:eastAsia="仿宋_GB2312" w:cs="仿宋_GB2312"/>
                <w:b/>
                <w:bCs/>
                <w:sz w:val="28"/>
                <w:szCs w:val="28"/>
                <w:lang w:val="en-US" w:eastAsia="zh-CN"/>
              </w:rPr>
              <w:t>支持商贸企业开展促消费活动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28"/>
                <w:szCs w:val="28"/>
                <w:lang w:val="en-US" w:eastAsia="zh-CN" w:bidi="ar-SA"/>
              </w:rPr>
              <w:t>（九）</w:t>
            </w:r>
            <w:r>
              <w:rPr>
                <w:rFonts w:hint="default" w:ascii="仿宋_GB2312" w:hAnsi="仿宋_GB2312" w:eastAsia="仿宋_GB2312" w:cs="仿宋_GB2312"/>
                <w:kern w:val="0"/>
                <w:sz w:val="28"/>
                <w:szCs w:val="28"/>
                <w:lang w:val="en-US" w:eastAsia="zh-CN" w:bidi="ar-SA"/>
              </w:rPr>
              <w:t>鼓励区内各商贸企业参与合作区商务主管部门发起的促消费专项活动，按实际发生活动费用（包括策划费、搭建费、运输费、物料费、设备租赁费、宣传推介费等活动相关费用）的50%，单次活动给予最高10万元的支持，每个申报单位每年度最高支持20万元。</w:t>
            </w:r>
          </w:p>
        </w:tc>
      </w:tr>
    </w:tbl>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60" w:lineRule="exact"/>
        <w:ind w:left="0" w:right="0" w:firstLine="642" w:firstLineChars="200"/>
        <w:jc w:val="both"/>
        <w:textAlignment w:val="auto"/>
        <w:outlineLvl w:val="9"/>
        <w:rPr>
          <w:rFonts w:hint="eastAsia" w:ascii="仿宋_GB2312" w:eastAsia="仿宋_GB2312" w:cs="宋体"/>
          <w:b/>
          <w:bCs/>
          <w:sz w:val="32"/>
          <w:szCs w:val="23"/>
          <w:lang w:val="en-US" w:eastAsia="zh-CN"/>
        </w:rPr>
      </w:pPr>
      <w:r>
        <w:rPr>
          <w:rFonts w:hint="eastAsia" w:ascii="仿宋_GB2312" w:eastAsia="仿宋_GB2312" w:cs="宋体"/>
          <w:b/>
          <w:bCs/>
          <w:sz w:val="32"/>
          <w:szCs w:val="23"/>
          <w:lang w:val="en-US" w:eastAsia="zh-CN"/>
        </w:rPr>
        <w:t>2.政策说明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6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lang w:val="en-US" w:eastAsia="zh-CN" w:bidi="ar-SA"/>
        </w:rPr>
        <w:t>本项扶持范围为经区科创经服局</w:t>
      </w:r>
      <w:r>
        <w:rPr>
          <w:rFonts w:hint="eastAsia" w:ascii="仿宋_GB2312" w:hAnsi="仿宋_GB2312" w:eastAsia="仿宋_GB2312" w:cs="仿宋_GB2312"/>
          <w:color w:val="auto"/>
          <w:sz w:val="32"/>
          <w:szCs w:val="32"/>
          <w:lang w:val="en-US" w:eastAsia="zh-CN"/>
        </w:rPr>
        <w:t>备案后参加2022年“深汕购物季”的限额以上批发、零售、住宿（非星级）、餐饮企业。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申报材料</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1）；</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营业执照复印件（三证合一新版营业执照，未换领新版营业执照的，提交旧版营业执照、组织机构代码证、税务登记证）;</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法定代表人身份证复印件（法定代表人签字），或法人委托书原件及代理人身份证复印件（代理人签字）；</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税务主管部门出具的2022年度纳税证明；</w:t>
      </w:r>
    </w:p>
    <w:p>
      <w:pPr>
        <w:pStyle w:val="3"/>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30" w:name="_Toc500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eastAsia" w:ascii="仿宋_GB2312" w:hAnsi="仿宋_GB2312" w:eastAsia="仿宋_GB2312" w:cs="仿宋_GB2312"/>
          <w:sz w:val="32"/>
          <w:szCs w:val="32"/>
          <w:lang w:eastAsia="zh-CN"/>
        </w:rPr>
        <w:t>；</w:t>
      </w:r>
      <w:bookmarkEnd w:id="30"/>
    </w:p>
    <w:p>
      <w:pPr>
        <w:pStyle w:val="11"/>
        <w:keepNext w:val="0"/>
        <w:keepLines w:val="0"/>
        <w:pageBreakBefore w:val="0"/>
        <w:numPr>
          <w:ilvl w:val="0"/>
          <w:numId w:val="0"/>
        </w:numPr>
        <w:shd w:val="clear" w:color="auto" w:fill="FFFFFF"/>
        <w:kinsoku/>
        <w:wordWrap/>
        <w:overflowPunct/>
        <w:topLinePunct w:val="0"/>
        <w:bidi w:val="0"/>
        <w:adjustRightInd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在深汕网发布的通过活动备案的公示截图；</w:t>
      </w:r>
    </w:p>
    <w:p>
      <w:pPr>
        <w:pStyle w:val="11"/>
        <w:keepNext w:val="0"/>
        <w:keepLines w:val="0"/>
        <w:pageBreakBefore w:val="0"/>
        <w:numPr>
          <w:ilvl w:val="0"/>
          <w:numId w:val="0"/>
        </w:numPr>
        <w:shd w:val="clear" w:color="auto" w:fill="FFFFFF"/>
        <w:kinsoku/>
        <w:wordWrap/>
        <w:overflowPunct/>
        <w:topLinePunct w:val="0"/>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活动策划方案（内容包括但不限于活动介绍、亮点、促销活动内容、预算费用等）；</w:t>
      </w:r>
    </w:p>
    <w:p>
      <w:pPr>
        <w:pStyle w:val="11"/>
        <w:keepNext w:val="0"/>
        <w:keepLines w:val="0"/>
        <w:pageBreakBefore w:val="0"/>
        <w:numPr>
          <w:ilvl w:val="0"/>
          <w:numId w:val="0"/>
        </w:numPr>
        <w:shd w:val="clear" w:color="auto" w:fill="FFFFFF"/>
        <w:kinsoku/>
        <w:wordWrap/>
        <w:overflowPunct/>
        <w:topLinePunct w:val="0"/>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default" w:ascii="仿宋_GB2312" w:hAnsi="Times New Roman" w:eastAsia="仿宋_GB2312" w:cs="Times New Roman"/>
          <w:sz w:val="32"/>
          <w:szCs w:val="32"/>
          <w:highlight w:val="none"/>
        </w:rPr>
        <w:t>实际发生活动费用明细表</w:t>
      </w:r>
      <w:r>
        <w:rPr>
          <w:rFonts w:hint="eastAsia" w:ascii="仿宋_GB2312" w:hAnsi="仿宋_GB2312" w:eastAsia="仿宋_GB2312" w:cs="仿宋_GB2312"/>
          <w:color w:val="auto"/>
          <w:sz w:val="32"/>
          <w:szCs w:val="32"/>
        </w:rPr>
        <w:t>；</w:t>
      </w:r>
    </w:p>
    <w:p>
      <w:pPr>
        <w:pStyle w:val="11"/>
        <w:keepNext w:val="0"/>
        <w:keepLines w:val="0"/>
        <w:pageBreakBefore w:val="0"/>
        <w:numPr>
          <w:ilvl w:val="0"/>
          <w:numId w:val="0"/>
        </w:numPr>
        <w:shd w:val="clear" w:color="auto" w:fill="FFFFFF"/>
        <w:kinsoku/>
        <w:wordWrap/>
        <w:overflowPunct/>
        <w:topLinePunct w:val="0"/>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en-US" w:eastAsia="zh-CN"/>
        </w:rPr>
        <w:t>活动费用</w:t>
      </w:r>
      <w:r>
        <w:rPr>
          <w:rFonts w:hint="eastAsia" w:ascii="仿宋_GB2312" w:hAnsi="仿宋_GB2312" w:eastAsia="仿宋_GB2312" w:cs="仿宋_GB2312"/>
          <w:color w:val="auto"/>
          <w:sz w:val="32"/>
          <w:szCs w:val="32"/>
        </w:rPr>
        <w:t>投入相关的合同、发票、银行回单等</w:t>
      </w:r>
      <w:r>
        <w:rPr>
          <w:rFonts w:hint="eastAsia" w:ascii="仿宋_GB2312" w:hAnsi="仿宋_GB2312" w:eastAsia="仿宋_GB2312" w:cs="仿宋_GB2312"/>
          <w:color w:val="auto"/>
          <w:sz w:val="32"/>
          <w:szCs w:val="32"/>
          <w:lang w:val="en-US" w:eastAsia="zh-CN"/>
        </w:rPr>
        <w:t>证明材料</w:t>
      </w:r>
      <w:r>
        <w:rPr>
          <w:rFonts w:hint="eastAsia" w:ascii="仿宋_GB2312" w:hAnsi="Times New Roman" w:eastAsia="仿宋_GB2312" w:cs="Times New Roman"/>
          <w:sz w:val="32"/>
          <w:szCs w:val="32"/>
          <w:highlight w:val="none"/>
          <w:lang w:eastAsia="zh-CN"/>
        </w:rPr>
        <w:t>；</w:t>
      </w:r>
    </w:p>
    <w:p>
      <w:pPr>
        <w:pStyle w:val="11"/>
        <w:keepNext w:val="0"/>
        <w:keepLines w:val="0"/>
        <w:pageBreakBefore w:val="0"/>
        <w:numPr>
          <w:ilvl w:val="0"/>
          <w:numId w:val="0"/>
        </w:numPr>
        <w:shd w:val="clear" w:color="auto" w:fill="FFFFFF"/>
        <w:kinsoku/>
        <w:wordWrap/>
        <w:overflowPunct/>
        <w:topLinePunct w:val="0"/>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）能显示活动主题</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现场照片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视频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不少于5张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海报、</w:t>
      </w:r>
      <w:r>
        <w:rPr>
          <w:rFonts w:hint="eastAsia" w:ascii="仿宋_GB2312" w:hAnsi="仿宋_GB2312" w:eastAsia="仿宋_GB2312" w:cs="仿宋_GB2312"/>
          <w:color w:val="auto"/>
          <w:sz w:val="32"/>
          <w:szCs w:val="32"/>
        </w:rPr>
        <w:t>媒体宣传报道情况</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pStyle w:val="11"/>
        <w:keepNext w:val="0"/>
        <w:keepLines w:val="0"/>
        <w:pageBreakBefore w:val="0"/>
        <w:numPr>
          <w:ilvl w:val="0"/>
          <w:numId w:val="0"/>
        </w:numPr>
        <w:shd w:val="clear" w:color="auto" w:fill="FFFFFF"/>
        <w:kinsoku/>
        <w:wordWrap/>
        <w:overflowPunct/>
        <w:topLinePunct w:val="0"/>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val="en-US" w:eastAsia="zh-CN"/>
        </w:rPr>
        <w:t>成效总结报告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包括但不限于</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val="en-US" w:eastAsia="zh-CN"/>
        </w:rPr>
        <w:t>参与人数</w:t>
      </w:r>
      <w:r>
        <w:rPr>
          <w:rFonts w:hint="eastAsia" w:ascii="仿宋_GB2312" w:hAnsi="仿宋_GB2312" w:eastAsia="仿宋_GB2312" w:cs="仿宋_GB2312"/>
          <w:color w:val="auto"/>
          <w:sz w:val="32"/>
          <w:szCs w:val="32"/>
        </w:rPr>
        <w:t>规模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拉动消费金额等</w:t>
      </w:r>
      <w:r>
        <w:rPr>
          <w:rFonts w:hint="eastAsia" w:ascii="仿宋_GB2312" w:hAnsi="仿宋_GB2312" w:eastAsia="仿宋_GB2312" w:cs="仿宋_GB2312"/>
          <w:color w:val="auto"/>
          <w:sz w:val="32"/>
          <w:szCs w:val="32"/>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6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审核部门要求的其他材料。</w:t>
      </w:r>
    </w:p>
    <w:p>
      <w:pPr>
        <w:pStyle w:val="11"/>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560" w:lineRule="exact"/>
        <w:ind w:firstLine="642" w:firstLineChars="200"/>
        <w:jc w:val="both"/>
        <w:textAlignment w:val="auto"/>
        <w:outlineLvl w:val="1"/>
        <w:rPr>
          <w:rFonts w:hint="eastAsia" w:ascii="楷体_GB2312" w:hAnsi="楷体_GB2312" w:eastAsia="楷体_GB2312" w:cs="楷体_GB2312"/>
          <w:b/>
          <w:bCs/>
          <w:sz w:val="32"/>
          <w:szCs w:val="23"/>
          <w:lang w:val="en-US" w:eastAsia="zh-CN"/>
        </w:rPr>
      </w:pPr>
      <w:bookmarkStart w:id="31" w:name="_Toc25137"/>
      <w:bookmarkStart w:id="32" w:name="_Toc8841"/>
      <w:bookmarkStart w:id="33" w:name="_Toc10454"/>
      <w:r>
        <w:rPr>
          <w:rFonts w:hint="eastAsia" w:ascii="楷体_GB2312" w:hAnsi="楷体_GB2312" w:eastAsia="楷体_GB2312" w:cs="楷体_GB2312"/>
          <w:b/>
          <w:bCs/>
          <w:sz w:val="32"/>
          <w:szCs w:val="23"/>
          <w:lang w:val="en-US" w:eastAsia="zh-CN"/>
        </w:rPr>
        <w:t>（四）第四条 支持商业综合体建设申报指引</w:t>
      </w:r>
      <w:bookmarkEnd w:id="31"/>
    </w:p>
    <w:p>
      <w:pPr>
        <w:pStyle w:val="11"/>
        <w:pageBreakBefore w:val="0"/>
        <w:numPr>
          <w:ilvl w:val="0"/>
          <w:numId w:val="0"/>
        </w:numPr>
        <w:kinsoku/>
        <w:wordWrap/>
        <w:overflowPunct/>
        <w:topLinePunct w:val="0"/>
        <w:bidi w:val="0"/>
        <w:adjustRightInd w:val="0"/>
        <w:snapToGrid/>
        <w:spacing w:before="0" w:beforeAutospacing="0" w:after="0" w:afterAutospacing="0" w:line="560" w:lineRule="exact"/>
        <w:ind w:firstLine="642" w:firstLineChars="200"/>
        <w:jc w:val="both"/>
        <w:textAlignment w:val="auto"/>
        <w:outlineLvl w:val="9"/>
        <w:rPr>
          <w:rFonts w:hint="eastAsia" w:ascii="仿宋_GB2312" w:hAnsi="宋体" w:eastAsia="仿宋_GB2312" w:cs="宋体"/>
          <w:b/>
          <w:bCs/>
          <w:sz w:val="32"/>
          <w:szCs w:val="23"/>
          <w:lang w:val="en-US" w:eastAsia="zh-CN"/>
        </w:rPr>
      </w:pPr>
      <w:r>
        <w:rPr>
          <w:rFonts w:hint="eastAsia" w:ascii="仿宋_GB2312" w:eastAsia="仿宋_GB2312" w:cs="宋体"/>
          <w:b/>
          <w:bCs/>
          <w:sz w:val="32"/>
          <w:szCs w:val="23"/>
          <w:lang w:val="en-US" w:eastAsia="zh-CN"/>
        </w:rPr>
        <w:t>1.</w:t>
      </w:r>
      <w:r>
        <w:rPr>
          <w:rFonts w:hint="eastAsia" w:ascii="仿宋_GB2312" w:hAnsi="宋体" w:eastAsia="仿宋_GB2312" w:cs="宋体"/>
          <w:b/>
          <w:bCs/>
          <w:sz w:val="32"/>
          <w:szCs w:val="23"/>
          <w:lang w:val="en-US" w:eastAsia="zh-CN"/>
        </w:rPr>
        <w:t>政策原文</w:t>
      </w:r>
    </w:p>
    <w:tbl>
      <w:tblPr>
        <w:tblStyle w:val="14"/>
        <w:tblW w:w="0" w:type="auto"/>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vAlign w:val="top"/>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2" w:firstLineChars="200"/>
              <w:jc w:val="both"/>
              <w:textAlignment w:val="auto"/>
              <w:rPr>
                <w:rFonts w:hint="eastAsia" w:ascii="仿宋_GB2312" w:hAnsi="仿宋_GB2312" w:eastAsia="仿宋_GB2312" w:cs="仿宋_GB2312"/>
                <w:b/>
                <w:bCs/>
                <w:i w:val="0"/>
                <w:iCs w:val="0"/>
                <w:caps w:val="0"/>
                <w:color w:val="333333"/>
                <w:spacing w:val="0"/>
                <w:sz w:val="28"/>
                <w:szCs w:val="28"/>
                <w:shd w:val="clear" w:fill="FFFFFF"/>
                <w:lang w:val="en-US" w:eastAsia="zh-CN"/>
              </w:rPr>
            </w:pPr>
            <w:r>
              <w:rPr>
                <w:rFonts w:hint="eastAsia" w:ascii="仿宋_GB2312" w:hAnsi="仿宋_GB2312" w:eastAsia="仿宋_GB2312" w:cs="仿宋_GB2312"/>
                <w:b/>
                <w:bCs/>
                <w:sz w:val="28"/>
                <w:szCs w:val="28"/>
                <w:lang w:val="en-US" w:eastAsia="zh-CN"/>
              </w:rPr>
              <w:t>四、支持商业综合体建设</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_GB2312" w:hAnsi="宋体" w:eastAsia="仿宋_GB2312" w:cs="宋体"/>
                <w:b/>
                <w:bCs/>
                <w:sz w:val="32"/>
                <w:szCs w:val="23"/>
                <w:vertAlign w:val="baseline"/>
                <w:lang w:val="en-US" w:eastAsia="zh-CN"/>
              </w:rPr>
            </w:pPr>
            <w:r>
              <w:rPr>
                <w:rFonts w:hint="eastAsia" w:ascii="仿宋_GB2312" w:hAnsi="仿宋_GB2312" w:eastAsia="仿宋_GB2312" w:cs="仿宋_GB2312"/>
                <w:i w:val="0"/>
                <w:iCs w:val="0"/>
                <w:caps w:val="0"/>
                <w:color w:val="000023"/>
                <w:spacing w:val="0"/>
                <w:sz w:val="28"/>
                <w:szCs w:val="28"/>
                <w:shd w:val="clear" w:fill="FFFFFF"/>
                <w:lang w:val="en-US" w:eastAsia="zh-CN"/>
              </w:rPr>
              <w:t>（十）</w:t>
            </w:r>
            <w:r>
              <w:rPr>
                <w:rFonts w:hint="eastAsia" w:ascii="仿宋_GB2312" w:hAnsi="仿宋_GB2312" w:eastAsia="仿宋_GB2312" w:cs="仿宋_GB2312"/>
                <w:i w:val="0"/>
                <w:iCs w:val="0"/>
                <w:caps w:val="0"/>
                <w:color w:val="000023"/>
                <w:spacing w:val="0"/>
                <w:sz w:val="28"/>
                <w:szCs w:val="28"/>
                <w:shd w:val="clear" w:fill="FFFFFF"/>
              </w:rPr>
              <w:t>鼓励合作区商业综合体的运营主体引导场内商户在合作区注册独立法人。场内在合作区注册独立法人且正常经营的商户数量引进20家（含）以上，一次性给予运营主体20万元奖励；引进10家（含）以上，一次性给予运营主体10万元奖励。场内企业纳入合作区统计年度营业额同比每增加1000万元，给予运营主体奖励10万元，单个运营主体每年最高奖励限额50</w:t>
            </w:r>
            <w:r>
              <w:rPr>
                <w:rFonts w:hint="eastAsia" w:ascii="仿宋_GB2312" w:hAnsi="仿宋_GB2312" w:eastAsia="仿宋_GB2312" w:cs="仿宋_GB2312"/>
                <w:i w:val="0"/>
                <w:iCs w:val="0"/>
                <w:caps w:val="0"/>
                <w:color w:val="auto"/>
                <w:spacing w:val="0"/>
                <w:sz w:val="28"/>
                <w:szCs w:val="28"/>
                <w:shd w:val="clear" w:fill="FFFFFF"/>
              </w:rPr>
              <w:t>万元</w:t>
            </w:r>
            <w:r>
              <w:rPr>
                <w:rFonts w:hint="eastAsia" w:ascii="仿宋_GB2312" w:hAnsi="仿宋_GB2312" w:eastAsia="仿宋_GB2312" w:cs="仿宋_GB2312"/>
                <w:color w:val="auto"/>
                <w:kern w:val="0"/>
                <w:sz w:val="28"/>
                <w:szCs w:val="28"/>
                <w:lang w:val="en-US" w:eastAsia="zh-CN" w:bidi="ar-SA"/>
              </w:rPr>
              <w:t>。</w:t>
            </w:r>
          </w:p>
        </w:tc>
      </w:tr>
      <w:bookmarkEnd w:id="32"/>
      <w:bookmarkEnd w:id="33"/>
    </w:tbl>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60" w:afterAutospacing="0" w:line="560" w:lineRule="exact"/>
        <w:ind w:leftChars="0" w:right="0" w:rightChars="0"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kern w:val="0"/>
          <w:sz w:val="32"/>
          <w:szCs w:val="32"/>
          <w:lang w:val="en-US" w:eastAsia="zh-CN" w:bidi="ar-SA"/>
        </w:rPr>
        <w:t>（1）商业综合体</w:t>
      </w:r>
      <w:r>
        <w:rPr>
          <w:rFonts w:ascii="仿宋_GB2312" w:hAnsi="仿宋_GB2312" w:eastAsia="仿宋_GB2312" w:cs="仿宋_GB2312"/>
          <w:color w:val="auto"/>
          <w:sz w:val="32"/>
          <w:szCs w:val="32"/>
        </w:rPr>
        <w:t>用地性质必须为商业用地</w:t>
      </w:r>
      <w:r>
        <w:rPr>
          <w:rFonts w:hint="eastAsia" w:ascii="仿宋_GB2312" w:hAnsi="仿宋_GB2312" w:eastAsia="仿宋_GB2312" w:cs="仿宋_GB2312"/>
          <w:color w:val="auto"/>
          <w:sz w:val="32"/>
          <w:szCs w:val="32"/>
          <w:lang w:eastAsia="zh-CN"/>
        </w:rPr>
        <w:t>。</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w:t>
      </w:r>
      <w:r>
        <w:rPr>
          <w:rFonts w:hint="eastAsia" w:ascii="仿宋_GB2312" w:hAnsi="仿宋_GB2312" w:eastAsia="仿宋_GB2312" w:cs="仿宋_GB2312"/>
          <w:color w:val="auto"/>
          <w:sz w:val="32"/>
          <w:szCs w:val="32"/>
          <w:lang w:val="en-US" w:eastAsia="zh-CN"/>
        </w:rPr>
        <w:t>商业综合体</w:t>
      </w:r>
      <w:r>
        <w:rPr>
          <w:rFonts w:hint="default" w:ascii="仿宋_GB2312" w:hAnsi="仿宋_GB2312" w:eastAsia="仿宋_GB2312" w:cs="仿宋_GB2312"/>
          <w:kern w:val="0"/>
          <w:sz w:val="32"/>
          <w:szCs w:val="32"/>
          <w:lang w:val="en-US" w:eastAsia="zh-CN" w:bidi="ar-SA"/>
        </w:rPr>
        <w:t>场内在</w:t>
      </w:r>
      <w:r>
        <w:rPr>
          <w:rFonts w:hint="eastAsia" w:ascii="仿宋_GB2312" w:hAnsi="仿宋_GB2312" w:eastAsia="仿宋_GB2312" w:cs="仿宋_GB2312"/>
          <w:kern w:val="0"/>
          <w:sz w:val="32"/>
          <w:szCs w:val="32"/>
          <w:lang w:val="en-US" w:eastAsia="zh-CN" w:bidi="ar-SA"/>
        </w:rPr>
        <w:t>深汕</w:t>
      </w:r>
      <w:r>
        <w:rPr>
          <w:rFonts w:hint="default" w:ascii="仿宋_GB2312" w:hAnsi="仿宋_GB2312" w:eastAsia="仿宋_GB2312" w:cs="仿宋_GB2312"/>
          <w:kern w:val="0"/>
          <w:sz w:val="32"/>
          <w:szCs w:val="32"/>
          <w:lang w:val="en-US" w:eastAsia="zh-CN" w:bidi="ar-SA"/>
        </w:rPr>
        <w:t>注册独立法人</w:t>
      </w:r>
      <w:r>
        <w:rPr>
          <w:rFonts w:hint="eastAsia" w:ascii="仿宋_GB2312" w:hAnsi="仿宋_GB2312" w:eastAsia="仿宋_GB2312" w:cs="仿宋_GB2312"/>
          <w:kern w:val="0"/>
          <w:sz w:val="32"/>
          <w:szCs w:val="32"/>
          <w:lang w:val="en-US" w:eastAsia="zh-CN" w:bidi="ar-SA"/>
        </w:rPr>
        <w:t>且至申报时仍</w:t>
      </w:r>
      <w:r>
        <w:rPr>
          <w:rFonts w:hint="default" w:ascii="仿宋_GB2312" w:hAnsi="仿宋_GB2312" w:eastAsia="仿宋_GB2312" w:cs="仿宋_GB2312"/>
          <w:kern w:val="0"/>
          <w:sz w:val="32"/>
          <w:szCs w:val="32"/>
          <w:lang w:val="en-US" w:eastAsia="zh-CN" w:bidi="ar-SA"/>
        </w:rPr>
        <w:t>正常经营的商户</w:t>
      </w:r>
      <w:r>
        <w:rPr>
          <w:rFonts w:hint="eastAsia" w:ascii="仿宋_GB2312" w:hAnsi="仿宋_GB2312" w:eastAsia="仿宋_GB2312" w:cs="仿宋_GB2312"/>
          <w:kern w:val="0"/>
          <w:sz w:val="32"/>
          <w:szCs w:val="32"/>
          <w:lang w:val="en-US" w:eastAsia="zh-CN" w:bidi="ar-SA"/>
        </w:rPr>
        <w:t>数量达到奖励条件给予奖励。</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val="0"/>
          <w:bCs w:val="0"/>
          <w:kern w:val="0"/>
          <w:sz w:val="32"/>
          <w:szCs w:val="32"/>
          <w:lang w:val="en-US" w:eastAsia="zh-CN" w:bidi="ar-SA"/>
        </w:rPr>
        <w:t>（3）</w:t>
      </w:r>
      <w:r>
        <w:rPr>
          <w:rFonts w:hint="default" w:ascii="仿宋_GB2312" w:hAnsi="仿宋_GB2312" w:eastAsia="仿宋_GB2312" w:cs="仿宋_GB2312"/>
          <w:kern w:val="0"/>
          <w:sz w:val="32"/>
          <w:szCs w:val="32"/>
          <w:lang w:val="en-US" w:eastAsia="zh-CN" w:bidi="ar-SA"/>
        </w:rPr>
        <w:t>场内企业纳入</w:t>
      </w:r>
      <w:r>
        <w:rPr>
          <w:rFonts w:hint="eastAsia" w:ascii="仿宋_GB2312" w:hAnsi="仿宋_GB2312" w:eastAsia="仿宋_GB2312" w:cs="仿宋_GB2312"/>
          <w:kern w:val="0"/>
          <w:sz w:val="32"/>
          <w:szCs w:val="32"/>
          <w:lang w:val="en-US" w:eastAsia="zh-CN" w:bidi="ar-SA"/>
        </w:rPr>
        <w:t>深汕</w:t>
      </w:r>
      <w:r>
        <w:rPr>
          <w:rFonts w:hint="default" w:ascii="仿宋_GB2312" w:hAnsi="仿宋_GB2312" w:eastAsia="仿宋_GB2312" w:cs="仿宋_GB2312"/>
          <w:kern w:val="0"/>
          <w:sz w:val="32"/>
          <w:szCs w:val="32"/>
          <w:lang w:val="en-US" w:eastAsia="zh-CN" w:bidi="ar-SA"/>
        </w:rPr>
        <w:t>统计年度</w:t>
      </w:r>
      <w:r>
        <w:rPr>
          <w:rFonts w:hint="eastAsia" w:ascii="仿宋_GB2312" w:hAnsi="仿宋_GB2312" w:eastAsia="仿宋_GB2312" w:cs="仿宋_GB2312"/>
          <w:kern w:val="0"/>
          <w:sz w:val="32"/>
          <w:szCs w:val="32"/>
          <w:lang w:val="en-US" w:eastAsia="zh-CN" w:bidi="ar-SA"/>
        </w:rPr>
        <w:t>：指场内已</w:t>
      </w:r>
      <w:r>
        <w:rPr>
          <w:rFonts w:hint="default" w:ascii="仿宋_GB2312" w:hAnsi="仿宋_GB2312" w:eastAsia="仿宋_GB2312" w:cs="仿宋_GB2312"/>
          <w:kern w:val="0"/>
          <w:sz w:val="32"/>
          <w:szCs w:val="32"/>
          <w:lang w:val="en-US" w:eastAsia="zh-CN" w:bidi="ar-SA"/>
        </w:rPr>
        <w:t>纳入</w:t>
      </w:r>
      <w:r>
        <w:rPr>
          <w:rFonts w:hint="eastAsia" w:ascii="仿宋_GB2312" w:hAnsi="仿宋_GB2312" w:eastAsia="仿宋_GB2312" w:cs="仿宋_GB2312"/>
          <w:kern w:val="0"/>
          <w:sz w:val="32"/>
          <w:szCs w:val="32"/>
          <w:lang w:val="en-US" w:eastAsia="zh-CN" w:bidi="ar-SA"/>
        </w:rPr>
        <w:t>深汕</w:t>
      </w:r>
      <w:r>
        <w:rPr>
          <w:rFonts w:hint="default" w:ascii="仿宋_GB2312" w:hAnsi="仿宋_GB2312" w:eastAsia="仿宋_GB2312" w:cs="仿宋_GB2312"/>
          <w:kern w:val="0"/>
          <w:sz w:val="32"/>
          <w:szCs w:val="32"/>
          <w:lang w:val="en-US" w:eastAsia="zh-CN" w:bidi="ar-SA"/>
        </w:rPr>
        <w:t>统计数据库</w:t>
      </w:r>
      <w:r>
        <w:rPr>
          <w:rFonts w:hint="eastAsia" w:ascii="仿宋_GB2312" w:hAnsi="仿宋_GB2312" w:eastAsia="仿宋_GB2312" w:cs="仿宋_GB2312"/>
          <w:kern w:val="0"/>
          <w:sz w:val="32"/>
          <w:szCs w:val="32"/>
          <w:lang w:val="en-US" w:eastAsia="zh-CN" w:bidi="ar-SA"/>
        </w:rPr>
        <w:t>的限额以上</w:t>
      </w:r>
      <w:r>
        <w:rPr>
          <w:rFonts w:hint="default" w:ascii="仿宋_GB2312" w:hAnsi="仿宋_GB2312" w:eastAsia="仿宋_GB2312" w:cs="Times New Roman"/>
          <w:sz w:val="32"/>
        </w:rPr>
        <w:t>批发</w:t>
      </w:r>
      <w:r>
        <w:rPr>
          <w:rFonts w:hint="eastAsia" w:ascii="仿宋_GB2312" w:hAnsi="仿宋_GB2312" w:eastAsia="仿宋_GB2312" w:cs="Times New Roman"/>
          <w:sz w:val="32"/>
          <w:lang w:eastAsia="zh-CN"/>
        </w:rPr>
        <w:t>、</w:t>
      </w:r>
      <w:r>
        <w:rPr>
          <w:rFonts w:hint="default" w:ascii="仿宋_GB2312" w:hAnsi="仿宋_GB2312" w:eastAsia="仿宋_GB2312" w:cs="Times New Roman"/>
          <w:sz w:val="32"/>
        </w:rPr>
        <w:t>零售、</w:t>
      </w:r>
      <w:r>
        <w:rPr>
          <w:rFonts w:hint="eastAsia" w:ascii="仿宋_GB2312" w:hAnsi="仿宋_GB2312" w:eastAsia="仿宋_GB2312" w:cs="Times New Roman"/>
          <w:sz w:val="32"/>
          <w:lang w:val="en-US" w:eastAsia="zh-CN"/>
        </w:rPr>
        <w:t>住宿（非星级）、</w:t>
      </w:r>
      <w:r>
        <w:rPr>
          <w:rFonts w:hint="default" w:ascii="仿宋_GB2312" w:hAnsi="仿宋_GB2312" w:eastAsia="仿宋_GB2312" w:cs="Times New Roman"/>
          <w:sz w:val="32"/>
        </w:rPr>
        <w:t>餐饮</w:t>
      </w:r>
      <w:r>
        <w:rPr>
          <w:rFonts w:hint="eastAsia" w:ascii="仿宋_GB2312" w:hAnsi="仿宋_GB2312" w:eastAsia="仿宋_GB2312" w:cs="Times New Roman"/>
          <w:sz w:val="32"/>
          <w:lang w:val="en-US" w:eastAsia="zh-CN"/>
        </w:rPr>
        <w:t>企业，规模以上租赁和商务服务业企业，互联网和相关服务、软件和信息技术服务业企业，居民服务、修理和其他服务业企业，科学研究和技术服务业企业</w:t>
      </w:r>
      <w:r>
        <w:rPr>
          <w:rFonts w:hint="eastAsia" w:ascii="仿宋_GB2312" w:hAnsi="仿宋_GB2312" w:eastAsia="仿宋_GB2312" w:cs="仿宋_GB2312"/>
          <w:color w:val="auto"/>
          <w:kern w:val="0"/>
          <w:sz w:val="32"/>
          <w:szCs w:val="32"/>
          <w:highlight w:val="none"/>
          <w:lang w:val="en-US" w:eastAsia="zh-CN" w:bidi="ar-SA"/>
        </w:rPr>
        <w:t>。</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000023"/>
          <w:kern w:val="0"/>
          <w:sz w:val="32"/>
          <w:szCs w:val="32"/>
          <w:highlight w:val="none"/>
          <w:lang w:val="en-US" w:eastAsia="zh-CN" w:bidi="ar-SA"/>
        </w:rPr>
      </w:pPr>
      <w:r>
        <w:rPr>
          <w:rFonts w:hint="eastAsia" w:ascii="仿宋_GB2312" w:hAnsi="仿宋_GB2312" w:eastAsia="仿宋_GB2312" w:cs="仿宋_GB2312"/>
          <w:b w:val="0"/>
          <w:bCs w:val="0"/>
          <w:kern w:val="0"/>
          <w:sz w:val="32"/>
          <w:szCs w:val="32"/>
          <w:lang w:val="en-US" w:eastAsia="zh-CN" w:bidi="ar-SA"/>
        </w:rPr>
        <w:t>（4）</w:t>
      </w:r>
      <w:r>
        <w:rPr>
          <w:rFonts w:hint="eastAsia" w:ascii="仿宋_GB2312" w:hAnsi="仿宋_GB2312" w:eastAsia="仿宋_GB2312" w:cs="仿宋_GB2312"/>
          <w:color w:val="auto"/>
          <w:kern w:val="0"/>
          <w:sz w:val="32"/>
          <w:szCs w:val="32"/>
          <w:highlight w:val="none"/>
          <w:lang w:val="en-US" w:eastAsia="zh-CN" w:bidi="ar-SA"/>
        </w:rPr>
        <w:t>申请营业额增长奖励还</w:t>
      </w:r>
      <w:r>
        <w:rPr>
          <w:rFonts w:hint="eastAsia" w:ascii="仿宋_GB2312" w:hAnsi="仿宋_GB2312" w:eastAsia="仿宋_GB2312" w:cs="仿宋_GB2312"/>
          <w:color w:val="000023"/>
          <w:kern w:val="0"/>
          <w:sz w:val="32"/>
          <w:szCs w:val="32"/>
          <w:highlight w:val="none"/>
          <w:lang w:val="en-US" w:eastAsia="zh-CN" w:bidi="ar-SA"/>
        </w:rPr>
        <w:t>需满足：2022年场内纳统企业的</w:t>
      </w:r>
      <w:r>
        <w:rPr>
          <w:rFonts w:hint="eastAsia" w:ascii="仿宋_GB2312" w:hAnsi="仿宋_GB2312" w:eastAsia="仿宋_GB2312" w:cs="仿宋_GB2312"/>
          <w:kern w:val="0"/>
          <w:sz w:val="32"/>
          <w:szCs w:val="32"/>
          <w:lang w:val="en-US" w:eastAsia="zh-CN" w:bidi="ar-SA"/>
        </w:rPr>
        <w:t>总</w:t>
      </w:r>
      <w:r>
        <w:rPr>
          <w:rFonts w:hint="eastAsia" w:ascii="仿宋_GB2312" w:hAnsi="仿宋_GB2312" w:eastAsia="仿宋_GB2312" w:cs="仿宋_GB2312"/>
          <w:sz w:val="32"/>
          <w:szCs w:val="32"/>
          <w:lang w:val="en-US" w:eastAsia="zh-CN"/>
        </w:rPr>
        <w:t>销售额（营业额）比2021年</w:t>
      </w:r>
      <w:r>
        <w:rPr>
          <w:rFonts w:hint="eastAsia" w:ascii="仿宋_GB2312" w:hAnsi="仿宋_GB2312" w:eastAsia="仿宋_GB2312" w:cs="仿宋_GB2312"/>
          <w:color w:val="000023"/>
          <w:kern w:val="0"/>
          <w:sz w:val="32"/>
          <w:szCs w:val="32"/>
          <w:highlight w:val="none"/>
          <w:lang w:val="en-US" w:eastAsia="zh-CN" w:bidi="ar-SA"/>
        </w:rPr>
        <w:t>场内纳统企业的</w:t>
      </w:r>
      <w:r>
        <w:rPr>
          <w:rFonts w:hint="eastAsia" w:ascii="仿宋_GB2312" w:hAnsi="仿宋_GB2312" w:eastAsia="仿宋_GB2312" w:cs="仿宋_GB2312"/>
          <w:kern w:val="0"/>
          <w:sz w:val="32"/>
          <w:szCs w:val="32"/>
          <w:lang w:val="en-US" w:eastAsia="zh-CN" w:bidi="ar-SA"/>
        </w:rPr>
        <w:t>总</w:t>
      </w:r>
      <w:r>
        <w:rPr>
          <w:rFonts w:hint="eastAsia" w:ascii="仿宋_GB2312" w:hAnsi="仿宋_GB2312" w:eastAsia="仿宋_GB2312" w:cs="仿宋_GB2312"/>
          <w:sz w:val="32"/>
          <w:szCs w:val="32"/>
          <w:lang w:val="en-US" w:eastAsia="zh-CN"/>
        </w:rPr>
        <w:t>销售额（营业额）的增长额度超过1000万元。以上均包括当年年度、月度入库成功的纳统企业。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申报材料</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1）；</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营业执照复印件（三证合一新版营业执照，未换领新版营业执照的，提交旧版营业执照、组织机构代码证、税务登记证）;</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法定代表人身份证复印件（法定代表人签字），或法人委托书原件及代理人身份证复印件（代理人签字）；</w:t>
      </w:r>
    </w:p>
    <w:p>
      <w:pPr>
        <w:pStyle w:val="11"/>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税务主管部门出具的2022年度纳税证明；</w:t>
      </w:r>
    </w:p>
    <w:p>
      <w:pPr>
        <w:pStyle w:val="5"/>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0"/>
          <w:sz w:val="32"/>
          <w:szCs w:val="32"/>
          <w:lang w:val="en-US" w:eastAsia="zh-CN" w:bidi="ar-SA"/>
        </w:rPr>
        <w:t>（5）申报</w:t>
      </w:r>
      <w:r>
        <w:rPr>
          <w:rFonts w:hint="eastAsia" w:ascii="仿宋_GB2312" w:hAnsi="仿宋_GB2312" w:eastAsia="仿宋_GB2312" w:cs="仿宋_GB2312"/>
          <w:b/>
          <w:bCs/>
          <w:sz w:val="32"/>
          <w:szCs w:val="32"/>
          <w:lang w:val="en-US" w:eastAsia="zh-CN"/>
        </w:rPr>
        <w:t>引进独立法人商户数量奖励</w:t>
      </w:r>
      <w:r>
        <w:rPr>
          <w:rFonts w:hint="eastAsia" w:ascii="仿宋_GB2312" w:hAnsi="仿宋_GB2312" w:eastAsia="仿宋_GB2312" w:cs="仿宋_GB2312"/>
          <w:b w:val="0"/>
          <w:bCs w:val="0"/>
          <w:sz w:val="32"/>
          <w:szCs w:val="32"/>
          <w:lang w:val="en-US" w:eastAsia="zh-CN"/>
        </w:rPr>
        <w:t>的，还需提供：</w:t>
      </w:r>
    </w:p>
    <w:p>
      <w:pPr>
        <w:pStyle w:val="5"/>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lang w:val="en-US" w:eastAsia="zh-CN"/>
        </w:rPr>
        <w:t>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支持商业综合体建设项目</w:t>
      </w:r>
      <w:r>
        <w:rPr>
          <w:rFonts w:ascii="仿宋_GB2312" w:hAnsi="仿宋_GB2312" w:eastAsia="仿宋_GB2312" w:cs="仿宋_GB2312"/>
          <w:color w:val="auto"/>
          <w:sz w:val="32"/>
          <w:szCs w:val="32"/>
        </w:rPr>
        <w:t>申请表</w:t>
      </w:r>
      <w:r>
        <w:rPr>
          <w:rFonts w:hint="eastAsia" w:ascii="仿宋_GB2312" w:hAnsi="仿宋_GB2312" w:eastAsia="仿宋_GB2312" w:cs="仿宋_GB2312"/>
          <w:color w:val="auto"/>
          <w:sz w:val="32"/>
          <w:szCs w:val="32"/>
          <w:lang w:eastAsia="zh-CN"/>
        </w:rPr>
        <w:t>》</w:t>
      </w:r>
      <w:r>
        <w:rPr>
          <w:rStyle w:val="18"/>
          <w:rFonts w:hint="eastAsia" w:ascii="仿宋_GB2312" w:hAnsi="仿宋_GB2312" w:eastAsia="仿宋_GB2312" w:cs="仿宋_GB2312"/>
          <w:color w:val="auto"/>
          <w:sz w:val="32"/>
          <w:szCs w:val="32"/>
          <w:u w:val="none"/>
        </w:rPr>
        <w:t>（附件</w:t>
      </w:r>
      <w:r>
        <w:rPr>
          <w:rStyle w:val="18"/>
          <w:rFonts w:hint="eastAsia" w:ascii="仿宋_GB2312" w:hAnsi="仿宋_GB2312" w:eastAsia="仿宋_GB2312" w:cs="仿宋_GB2312"/>
          <w:color w:val="auto"/>
          <w:sz w:val="32"/>
          <w:szCs w:val="32"/>
          <w:u w:val="none"/>
          <w:lang w:val="en-US" w:eastAsia="zh-CN"/>
        </w:rPr>
        <w:t>3</w:t>
      </w:r>
      <w:r>
        <w:rPr>
          <w:rStyle w:val="18"/>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w:t>
      </w:r>
    </w:p>
    <w:p>
      <w:pPr>
        <w:pStyle w:val="5"/>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申报主</w:t>
      </w:r>
      <w:r>
        <w:rPr>
          <w:rFonts w:hint="eastAsia" w:ascii="仿宋_GB2312" w:hAnsi="仿宋_GB2312" w:eastAsia="仿宋_GB2312" w:cs="仿宋_GB2312"/>
          <w:sz w:val="32"/>
          <w:szCs w:val="32"/>
        </w:rPr>
        <w:t>体如为产权人，提供持有的商业综合体《不动产权证》；申报主体如为运营单位，提供租赁合同等佐证材料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w:t>
      </w:r>
      <w:r>
        <w:rPr>
          <w:rFonts w:hint="eastAsia" w:ascii="仿宋_GB2312" w:hAnsi="仿宋_GB2312" w:eastAsia="仿宋_GB2312" w:cs="仿宋_GB2312"/>
          <w:sz w:val="32"/>
          <w:szCs w:val="32"/>
          <w:lang w:val="en-US" w:eastAsia="zh-CN"/>
        </w:rPr>
        <w:t>商业综合体</w:t>
      </w:r>
      <w:r>
        <w:rPr>
          <w:rFonts w:hint="eastAsia" w:ascii="仿宋_GB2312" w:hAnsi="仿宋_GB2312" w:eastAsia="仿宋_GB2312" w:cs="仿宋_GB2312"/>
          <w:sz w:val="32"/>
          <w:szCs w:val="32"/>
        </w:rPr>
        <w:t>的产权人和运营单位仅有一个可享受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需自行协商，由其中一方统一提出项目申报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情况说明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附件4</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③</w:t>
      </w:r>
      <w:r>
        <w:rPr>
          <w:rFonts w:hint="eastAsia" w:ascii="仿宋_GB2312" w:hAnsi="仿宋_GB2312" w:eastAsia="仿宋_GB2312" w:cs="仿宋_GB2312"/>
          <w:sz w:val="32"/>
          <w:szCs w:val="32"/>
          <w:lang w:val="en-US" w:eastAsia="zh-CN"/>
        </w:rPr>
        <w:t>入驻商户的租赁合同、入驻协议及营业执照复印件；</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pStyle w:val="11"/>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申报</w:t>
      </w:r>
      <w:r>
        <w:rPr>
          <w:rFonts w:hint="eastAsia" w:ascii="仿宋_GB2312" w:hAnsi="仿宋_GB2312" w:eastAsia="仿宋_GB2312" w:cs="仿宋_GB2312"/>
          <w:b/>
          <w:bCs/>
          <w:sz w:val="32"/>
          <w:szCs w:val="32"/>
          <w:lang w:val="en-US" w:eastAsia="zh-CN"/>
        </w:rPr>
        <w:t>场内商户纳统总营业额奖励</w:t>
      </w:r>
      <w:r>
        <w:rPr>
          <w:rFonts w:hint="eastAsia" w:ascii="仿宋_GB2312" w:hAnsi="仿宋_GB2312" w:eastAsia="仿宋_GB2312" w:cs="仿宋_GB2312"/>
          <w:sz w:val="32"/>
          <w:szCs w:val="32"/>
          <w:lang w:val="en-US" w:eastAsia="zh-CN"/>
        </w:rPr>
        <w:t>的，除第</w:t>
      </w:r>
      <w:r>
        <w:rPr>
          <w:rFonts w:hint="eastAsia" w:ascii="仿宋_GB2312" w:hAnsi="仿宋_GB2312" w:eastAsia="仿宋_GB2312" w:cs="仿宋_GB2312"/>
          <w:b w:val="0"/>
          <w:bCs w:val="0"/>
          <w:sz w:val="32"/>
          <w:szCs w:val="32"/>
          <w:lang w:val="en-US" w:eastAsia="zh-CN"/>
        </w:rPr>
        <w:t>（5）所列</w:t>
      </w:r>
      <w:r>
        <w:rPr>
          <w:rFonts w:hint="eastAsia" w:ascii="仿宋_GB2312" w:hAnsi="仿宋_GB2312" w:eastAsia="仿宋_GB2312" w:cs="仿宋_GB2312"/>
          <w:sz w:val="32"/>
          <w:szCs w:val="32"/>
          <w:lang w:val="en-US" w:eastAsia="zh-CN"/>
        </w:rPr>
        <w:t>材料外，还需提供：</w:t>
      </w:r>
    </w:p>
    <w:p>
      <w:pPr>
        <w:pStyle w:val="11"/>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⑤场内纳统</w:t>
      </w:r>
      <w:r>
        <w:rPr>
          <w:rFonts w:hint="eastAsia" w:ascii="仿宋_GB2312" w:hAnsi="仿宋_GB2312" w:eastAsia="仿宋_GB2312" w:cs="仿宋_GB2312"/>
          <w:kern w:val="0"/>
          <w:sz w:val="32"/>
          <w:szCs w:val="32"/>
          <w:lang w:val="en-US" w:eastAsia="zh-CN" w:bidi="ar-SA"/>
        </w:rPr>
        <w:t>企业</w:t>
      </w:r>
      <w:r>
        <w:rPr>
          <w:rFonts w:hint="eastAsia" w:ascii="仿宋_GB2312" w:hAnsi="仿宋_GB2312" w:eastAsia="仿宋_GB2312" w:cs="仿宋_GB2312"/>
          <w:sz w:val="32"/>
          <w:szCs w:val="32"/>
        </w:rPr>
        <w:t>向统计部门报送的2021年和2022年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度报表（2022年新增年度、月度纳统企业无需提供2021年年度报表）；</w:t>
      </w:r>
    </w:p>
    <w:p>
      <w:pPr>
        <w:pStyle w:val="11"/>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在统计联网直报平台下载：</w:t>
      </w:r>
      <w:r>
        <w:rPr>
          <w:rFonts w:hint="eastAsia" w:ascii="仿宋_GB2312" w:hAnsi="仿宋_GB2312" w:eastAsia="仿宋_GB2312" w:cs="仿宋_GB2312"/>
          <w:sz w:val="32"/>
          <w:szCs w:val="32"/>
        </w:rPr>
        <w:t>批发零售企</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E104-1表、住宿餐饮企业S104-1表、服务业企业F</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03表）</w:t>
      </w:r>
    </w:p>
    <w:p>
      <w:pPr>
        <w:pStyle w:val="11"/>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⑥</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12月份</w:t>
      </w:r>
      <w:r>
        <w:rPr>
          <w:rFonts w:hint="eastAsia" w:ascii="仿宋_GB2312" w:hAnsi="仿宋_GB2312" w:eastAsia="仿宋_GB2312" w:cs="仿宋_GB2312"/>
          <w:sz w:val="32"/>
          <w:szCs w:val="32"/>
        </w:rPr>
        <w:t>《利润表》</w:t>
      </w:r>
      <w:r>
        <w:rPr>
          <w:rFonts w:hint="eastAsia" w:ascii="仿宋_GB2312" w:hAnsi="仿宋_GB2312" w:eastAsia="仿宋_GB2312" w:cs="仿宋_GB2312"/>
          <w:sz w:val="32"/>
          <w:szCs w:val="32"/>
          <w:lang w:eastAsia="zh-CN"/>
        </w:rPr>
        <w:t>；</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spacing w:val="0"/>
          <w:sz w:val="32"/>
          <w:szCs w:val="32"/>
          <w:shd w:val="clear"/>
          <w:lang w:eastAsia="zh-CN"/>
        </w:rPr>
      </w:pPr>
      <w:r>
        <w:rPr>
          <w:rFonts w:hint="eastAsia" w:ascii="仿宋_GB2312" w:hAnsi="仿宋_GB2312" w:eastAsia="仿宋_GB2312" w:cs="仿宋_GB2312"/>
          <w:sz w:val="32"/>
          <w:szCs w:val="32"/>
          <w:lang w:val="en-US" w:eastAsia="zh-CN"/>
        </w:rPr>
        <w:t>⑦</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12月份</w:t>
      </w:r>
      <w:r>
        <w:rPr>
          <w:rFonts w:hint="eastAsia" w:ascii="仿宋_GB2312" w:hAnsi="仿宋_GB2312" w:eastAsia="仿宋_GB2312" w:cs="仿宋_GB2312"/>
          <w:sz w:val="32"/>
          <w:szCs w:val="32"/>
        </w:rPr>
        <w:t>带有税务部门公章</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《增值税纳税申报表》</w:t>
      </w:r>
      <w:r>
        <w:rPr>
          <w:rFonts w:hint="eastAsia" w:ascii="仿宋_GB2312" w:hAnsi="仿宋_GB2312" w:eastAsia="仿宋_GB2312" w:cs="仿宋_GB2312"/>
          <w:i w:val="0"/>
          <w:iCs w:val="0"/>
          <w:caps w:val="0"/>
          <w:spacing w:val="0"/>
          <w:sz w:val="32"/>
          <w:szCs w:val="32"/>
          <w:shd w:val="clear"/>
          <w:lang w:eastAsia="zh-CN"/>
        </w:rPr>
        <w:t>；</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spacing w:val="0"/>
          <w:sz w:val="32"/>
          <w:szCs w:val="32"/>
          <w:shd w:val="clear"/>
          <w:lang w:val="en-US" w:eastAsia="zh-CN"/>
        </w:rPr>
      </w:pPr>
      <w:r>
        <w:rPr>
          <w:rFonts w:hint="eastAsia" w:ascii="仿宋_GB2312" w:hAnsi="仿宋_GB2312" w:eastAsia="仿宋_GB2312" w:cs="仿宋_GB2312"/>
          <w:i w:val="0"/>
          <w:iCs w:val="0"/>
          <w:caps w:val="0"/>
          <w:spacing w:val="0"/>
          <w:sz w:val="32"/>
          <w:szCs w:val="32"/>
          <w:shd w:val="clear"/>
          <w:lang w:eastAsia="zh-CN"/>
        </w:rPr>
        <w:t>⑧</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bookmarkStart w:id="34" w:name="_Toc4220"/>
      <w:bookmarkStart w:id="35" w:name="_Toc18275"/>
      <w:bookmarkStart w:id="36" w:name="_Toc17406"/>
      <w:r>
        <w:rPr>
          <w:rFonts w:hint="eastAsia"/>
          <w:lang w:val="en-US" w:eastAsia="zh-CN"/>
        </w:rPr>
        <w:t>六、申报材料编制要求</w:t>
      </w:r>
      <w:bookmarkEnd w:id="34"/>
      <w:bookmarkEnd w:id="35"/>
      <w:bookmarkEnd w:id="36"/>
    </w:p>
    <w:p>
      <w:pPr>
        <w:pStyle w:val="11"/>
        <w:keepNext w:val="0"/>
        <w:keepLines w:val="0"/>
        <w:pageBreakBefore w:val="0"/>
        <w:kinsoku/>
        <w:wordWrap/>
        <w:overflowPunct/>
        <w:topLinePunct w:val="0"/>
        <w:autoSpaceDE/>
        <w:autoSpaceDN/>
        <w:bidi w:val="0"/>
        <w:adjustRightInd w:val="0"/>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所有申报材料</w:t>
      </w:r>
      <w:r>
        <w:rPr>
          <w:rFonts w:hint="eastAsia" w:ascii="仿宋_GB2312" w:hAnsi="仿宋_GB2312" w:eastAsia="仿宋_GB2312" w:cs="仿宋_GB2312"/>
          <w:b/>
          <w:bCs/>
          <w:color w:val="auto"/>
          <w:kern w:val="2"/>
          <w:sz w:val="32"/>
          <w:szCs w:val="32"/>
          <w:lang w:val="en-US" w:eastAsia="zh-CN" w:bidi="ar-SA"/>
        </w:rPr>
        <w:t>一式两份</w:t>
      </w:r>
      <w:r>
        <w:rPr>
          <w:rFonts w:hint="eastAsia" w:ascii="仿宋_GB2312" w:hAnsi="仿宋_GB2312" w:eastAsia="仿宋_GB2312" w:cs="仿宋_GB2312"/>
          <w:color w:val="auto"/>
          <w:kern w:val="2"/>
          <w:sz w:val="32"/>
          <w:szCs w:val="32"/>
          <w:lang w:val="en-US" w:eastAsia="zh-CN" w:bidi="ar-SA"/>
        </w:rPr>
        <w:t>，A4纸双面打印，</w:t>
      </w:r>
      <w:r>
        <w:rPr>
          <w:rFonts w:hint="eastAsia" w:ascii="仿宋_GB2312" w:hAnsi="仿宋_GB2312" w:eastAsia="仿宋_GB2312" w:cs="仿宋_GB2312"/>
          <w:color w:val="auto"/>
          <w:kern w:val="2"/>
          <w:sz w:val="32"/>
          <w:szCs w:val="32"/>
        </w:rPr>
        <w:t>非空白页（含封面）需</w:t>
      </w:r>
      <w:r>
        <w:rPr>
          <w:rFonts w:hint="eastAsia" w:ascii="仿宋_GB2312" w:hAnsi="仿宋_GB2312" w:eastAsia="仿宋_GB2312" w:cs="仿宋_GB2312"/>
          <w:color w:val="auto"/>
          <w:kern w:val="2"/>
          <w:sz w:val="32"/>
          <w:szCs w:val="32"/>
          <w:lang w:val="en-US" w:eastAsia="zh-CN"/>
        </w:rPr>
        <w:t>连续</w:t>
      </w:r>
      <w:r>
        <w:rPr>
          <w:rFonts w:hint="eastAsia" w:ascii="仿宋_GB2312" w:hAnsi="仿宋_GB2312" w:eastAsia="仿宋_GB2312" w:cs="仿宋_GB2312"/>
          <w:color w:val="auto"/>
          <w:kern w:val="2"/>
          <w:sz w:val="32"/>
          <w:szCs w:val="32"/>
          <w:lang w:val="en-US" w:eastAsia="zh-CN" w:bidi="ar-SA"/>
        </w:rPr>
        <w:t>编制页码，装订成册（胶装）；</w:t>
      </w:r>
      <w:r>
        <w:rPr>
          <w:rFonts w:hint="eastAsia" w:ascii="仿宋_GB2312" w:hAnsi="仿宋_GB2312" w:eastAsia="仿宋_GB2312" w:cs="仿宋_GB2312"/>
          <w:b/>
          <w:bCs/>
          <w:color w:val="auto"/>
          <w:kern w:val="2"/>
          <w:sz w:val="32"/>
          <w:szCs w:val="32"/>
          <w:lang w:val="en-US" w:eastAsia="zh-CN" w:bidi="ar-SA"/>
        </w:rPr>
        <w:t>每页需加盖单位公章，每份材料需加盖骑缝章</w:t>
      </w:r>
      <w:r>
        <w:rPr>
          <w:rFonts w:hint="eastAsia" w:ascii="仿宋_GB2312" w:hAnsi="仿宋_GB2312" w:eastAsia="仿宋_GB2312" w:cs="仿宋_GB2312"/>
          <w:color w:val="auto"/>
          <w:kern w:val="2"/>
          <w:sz w:val="32"/>
          <w:szCs w:val="32"/>
          <w:lang w:val="en-US" w:eastAsia="zh-CN" w:bidi="ar-SA"/>
        </w:rPr>
        <w:t>。同时提交电子版申报材料，所提交材料电子版和纸质版内容、格式应完全相同。</w:t>
      </w:r>
    </w:p>
    <w:p>
      <w:pPr>
        <w:pStyle w:val="2"/>
        <w:pageBreakBefore w:val="0"/>
        <w:kinsoku/>
        <w:wordWrap/>
        <w:overflowPunct/>
        <w:topLinePunct w:val="0"/>
        <w:bidi w:val="0"/>
        <w:snapToGrid/>
        <w:spacing w:line="560" w:lineRule="exact"/>
        <w:textAlignment w:val="auto"/>
        <w:rPr>
          <w:rFonts w:hint="eastAsia"/>
          <w:lang w:val="en-US" w:eastAsia="zh-CN"/>
        </w:rPr>
      </w:pPr>
      <w:bookmarkStart w:id="37" w:name="_Toc4916"/>
      <w:bookmarkStart w:id="38" w:name="_Toc10055"/>
      <w:bookmarkStart w:id="39" w:name="_Toc11133"/>
      <w:r>
        <w:rPr>
          <w:rFonts w:hint="eastAsia"/>
          <w:lang w:val="en-US" w:eastAsia="zh-CN"/>
        </w:rPr>
        <w:t>七、申报时间</w:t>
      </w:r>
      <w:bookmarkEnd w:id="37"/>
      <w:bookmarkEnd w:id="38"/>
      <w:bookmarkEnd w:id="39"/>
    </w:p>
    <w:p>
      <w:pPr>
        <w:pStyle w:val="9"/>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2023年X月X日</w:t>
      </w:r>
      <w:r>
        <w:rPr>
          <w:rFonts w:hint="eastAsia" w:ascii="仿宋_GB2312" w:hAnsi="仿宋_GB2312" w:eastAsia="仿宋_GB2312" w:cs="仿宋_GB2312"/>
          <w:i w:val="0"/>
          <w:iCs w:val="0"/>
          <w:caps w:val="0"/>
          <w:color w:val="auto"/>
          <w:spacing w:val="0"/>
          <w:sz w:val="32"/>
          <w:szCs w:val="32"/>
          <w:shd w:val="clear" w:fill="FFFFFF"/>
        </w:rPr>
        <w:t>9:00</w:t>
      </w:r>
      <w:r>
        <w:rPr>
          <w:rFonts w:hint="eastAsia" w:ascii="仿宋_GB2312" w:hAnsi="仿宋_GB2312" w:eastAsia="仿宋_GB2312" w:cs="仿宋_GB2312"/>
          <w:color w:val="auto"/>
          <w:sz w:val="32"/>
          <w:szCs w:val="32"/>
          <w:lang w:val="en-US" w:eastAsia="zh-CN"/>
        </w:rPr>
        <w:t>至2023年X月X日</w:t>
      </w:r>
      <w:r>
        <w:rPr>
          <w:rFonts w:hint="eastAsia" w:ascii="仿宋_GB2312" w:hAnsi="仿宋_GB2312" w:eastAsia="仿宋_GB2312" w:cs="仿宋_GB2312"/>
          <w:i w:val="0"/>
          <w:iCs w:val="0"/>
          <w:caps w:val="0"/>
          <w:color w:val="auto"/>
          <w:spacing w:val="0"/>
          <w:sz w:val="32"/>
          <w:szCs w:val="32"/>
          <w:shd w:val="clear" w:fill="FFFFFF"/>
          <w:lang w:val="en-US" w:eastAsia="zh-CN"/>
        </w:rPr>
        <w:t>18</w:t>
      </w:r>
      <w:r>
        <w:rPr>
          <w:rFonts w:hint="eastAsia" w:ascii="仿宋_GB2312" w:hAnsi="仿宋_GB2312" w:eastAsia="仿宋_GB2312" w:cs="仿宋_GB2312"/>
          <w:i w:val="0"/>
          <w:iCs w:val="0"/>
          <w:caps w:val="0"/>
          <w:color w:val="auto"/>
          <w:spacing w:val="0"/>
          <w:sz w:val="32"/>
          <w:szCs w:val="32"/>
          <w:shd w:val="clear" w:fill="FFFFFF"/>
        </w:rPr>
        <w:t>:00</w:t>
      </w:r>
      <w:r>
        <w:rPr>
          <w:rFonts w:hint="eastAsia" w:ascii="仿宋_GB2312" w:hAnsi="仿宋_GB2312" w:eastAsia="仿宋_GB2312" w:cs="仿宋_GB2312"/>
          <w:color w:val="auto"/>
          <w:sz w:val="32"/>
          <w:szCs w:val="32"/>
          <w:lang w:val="en-US" w:eastAsia="zh-CN"/>
        </w:rPr>
        <w:t>。</w:t>
      </w:r>
    </w:p>
    <w:p>
      <w:pPr>
        <w:pStyle w:val="2"/>
        <w:pageBreakBefore w:val="0"/>
        <w:numPr>
          <w:ilvl w:val="0"/>
          <w:numId w:val="0"/>
        </w:numPr>
        <w:kinsoku/>
        <w:wordWrap/>
        <w:overflowPunct/>
        <w:topLinePunct w:val="0"/>
        <w:bidi w:val="0"/>
        <w:snapToGrid/>
        <w:spacing w:line="560" w:lineRule="exact"/>
        <w:ind w:firstLine="640"/>
        <w:textAlignment w:val="auto"/>
        <w:rPr>
          <w:rFonts w:hint="eastAsia"/>
          <w:lang w:val="en-US" w:eastAsia="zh-CN"/>
        </w:rPr>
      </w:pPr>
      <w:bookmarkStart w:id="40" w:name="_Toc27793"/>
      <w:bookmarkStart w:id="41" w:name="_Toc545"/>
      <w:bookmarkStart w:id="42" w:name="_Toc20784"/>
      <w:r>
        <w:rPr>
          <w:rFonts w:hint="eastAsia"/>
          <w:lang w:val="en-US" w:eastAsia="zh-CN"/>
        </w:rPr>
        <w:t>八、受理单位</w:t>
      </w:r>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i w:val="0"/>
          <w:iCs w:val="0"/>
          <w:caps w:val="0"/>
          <w:color w:val="auto"/>
          <w:spacing w:val="0"/>
          <w:sz w:val="32"/>
          <w:szCs w:val="32"/>
          <w:shd w:val="clear" w:fill="FFFFFF"/>
          <w:lang w:val="en-US" w:eastAsia="zh-CN"/>
        </w:rPr>
      </w:pPr>
      <w:bookmarkStart w:id="43" w:name="_Toc29600"/>
      <w:r>
        <w:rPr>
          <w:rFonts w:hint="eastAsia" w:ascii="仿宋_GB2312" w:hAnsi="仿宋_GB2312" w:eastAsia="仿宋_GB2312" w:cs="仿宋_GB2312"/>
          <w:i w:val="0"/>
          <w:iCs w:val="0"/>
          <w:caps w:val="0"/>
          <w:color w:val="auto"/>
          <w:spacing w:val="0"/>
          <w:sz w:val="32"/>
          <w:szCs w:val="32"/>
          <w:shd w:val="clear" w:fill="FFFFFF"/>
          <w:lang w:val="en-US" w:eastAsia="zh-CN"/>
        </w:rPr>
        <w:t>（一）受理单位：深圳市深汕特别合作区科技创新和经济服务局。</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color w:val="auto"/>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纸质材料受理时间：202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X</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X</w:t>
      </w:r>
      <w:r>
        <w:rPr>
          <w:rFonts w:hint="eastAsia" w:ascii="仿宋_GB2312" w:hAnsi="仿宋_GB2312" w:eastAsia="仿宋_GB2312" w:cs="仿宋_GB2312"/>
          <w:i w:val="0"/>
          <w:iCs w:val="0"/>
          <w:caps w:val="0"/>
          <w:color w:val="auto"/>
          <w:spacing w:val="0"/>
          <w:sz w:val="32"/>
          <w:szCs w:val="32"/>
          <w:shd w:val="clear" w:fill="FFFFFF"/>
        </w:rPr>
        <w:t>日至202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X</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工作日9:00-12:00</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14</w:t>
      </w:r>
      <w:r>
        <w:rPr>
          <w:rFonts w:hint="eastAsia" w:ascii="仿宋_GB2312" w:hAnsi="仿宋_GB2312" w:eastAsia="仿宋_GB2312" w:cs="仿宋_GB2312"/>
          <w:i w:val="0"/>
          <w:iCs w:val="0"/>
          <w:caps w:val="0"/>
          <w:color w:val="auto"/>
          <w:spacing w:val="0"/>
          <w:sz w:val="32"/>
          <w:szCs w:val="32"/>
          <w:shd w:val="clear" w:fill="FFFFFF"/>
        </w:rPr>
        <w:t>:30-</w:t>
      </w:r>
      <w:r>
        <w:rPr>
          <w:rFonts w:hint="eastAsia" w:ascii="仿宋_GB2312" w:hAnsi="仿宋_GB2312" w:eastAsia="仿宋_GB2312" w:cs="仿宋_GB2312"/>
          <w:i w:val="0"/>
          <w:iCs w:val="0"/>
          <w:caps w:val="0"/>
          <w:color w:val="auto"/>
          <w:spacing w:val="0"/>
          <w:sz w:val="32"/>
          <w:szCs w:val="32"/>
          <w:shd w:val="clear" w:fill="FFFFFF"/>
          <w:lang w:val="en-US" w:eastAsia="zh-CN"/>
        </w:rPr>
        <w:t>18</w:t>
      </w:r>
      <w:r>
        <w:rPr>
          <w:rFonts w:hint="eastAsia" w:ascii="仿宋_GB2312" w:hAnsi="仿宋_GB2312" w:eastAsia="仿宋_GB2312" w:cs="仿宋_GB2312"/>
          <w:i w:val="0"/>
          <w:iCs w:val="0"/>
          <w:caps w:val="0"/>
          <w:color w:val="auto"/>
          <w:spacing w:val="0"/>
          <w:sz w:val="32"/>
          <w:szCs w:val="32"/>
          <w:shd w:val="clear" w:fill="FFFFFF"/>
        </w:rPr>
        <w:t>:00</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提交纸质版申报材料的同时需提交电子版申报材料</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电子材料接收邮箱：sskc_kjcxk@163.com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三</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受理地点：深圳市深汕特别合作区管委会仁和楼1栋</w:t>
      </w:r>
      <w:r>
        <w:rPr>
          <w:rFonts w:hint="eastAsia" w:ascii="仿宋_GB2312" w:hAnsi="仿宋_GB2312" w:eastAsia="仿宋_GB2312" w:cs="仿宋_GB2312"/>
          <w:i w:val="0"/>
          <w:iCs w:val="0"/>
          <w:caps w:val="0"/>
          <w:color w:val="auto"/>
          <w:spacing w:val="0"/>
          <w:sz w:val="32"/>
          <w:szCs w:val="32"/>
          <w:shd w:val="clear" w:fill="FFFFFF"/>
          <w:lang w:val="en-US" w:eastAsia="zh-CN"/>
        </w:rPr>
        <w:t>3楼</w:t>
      </w:r>
      <w:r>
        <w:rPr>
          <w:rFonts w:hint="eastAsia" w:ascii="仿宋_GB2312" w:hAnsi="仿宋_GB2312" w:eastAsia="仿宋_GB2312" w:cs="仿宋_GB2312"/>
          <w:i w:val="0"/>
          <w:iCs w:val="0"/>
          <w:caps w:val="0"/>
          <w:color w:val="auto"/>
          <w:spacing w:val="0"/>
          <w:sz w:val="32"/>
          <w:szCs w:val="32"/>
          <w:shd w:val="clear" w:fill="FFFFFF"/>
        </w:rPr>
        <w:t>30</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室</w:t>
      </w:r>
      <w:r>
        <w:rPr>
          <w:rFonts w:hint="eastAsia" w:ascii="仿宋_GB2312" w:hAnsi="仿宋_GB2312" w:eastAsia="仿宋_GB2312" w:cs="仿宋_GB2312"/>
          <w:i w:val="0"/>
          <w:iCs w:val="0"/>
          <w:caps w:val="0"/>
          <w:color w:val="auto"/>
          <w:spacing w:val="0"/>
          <w:sz w:val="32"/>
          <w:szCs w:val="32"/>
          <w:shd w:val="clear" w:fill="FFFFFF"/>
          <w:lang w:val="en-US" w:eastAsia="zh-CN"/>
        </w:rPr>
        <w:t>商务科</w:t>
      </w:r>
      <w:r>
        <w:rPr>
          <w:rFonts w:hint="eastAsia" w:ascii="仿宋_GB2312" w:hAnsi="仿宋_GB2312" w:eastAsia="仿宋_GB2312" w:cs="仿宋_GB2312"/>
          <w:i w:val="0"/>
          <w:iCs w:val="0"/>
          <w:caps w:val="0"/>
          <w:color w:val="auto"/>
          <w:spacing w:val="0"/>
          <w:sz w:val="32"/>
          <w:szCs w:val="32"/>
          <w:shd w:val="clear" w:fill="FFFFFF"/>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（四）咨询电话：0755-22100936,0755-22100926。</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bookmarkStart w:id="44" w:name="_Toc15840"/>
      <w:bookmarkStart w:id="45" w:name="_Toc8414"/>
      <w:bookmarkStart w:id="46" w:name="_Toc11782"/>
      <w:r>
        <w:rPr>
          <w:rFonts w:hint="eastAsia"/>
          <w:lang w:val="en-US" w:eastAsia="zh-CN"/>
        </w:rPr>
        <w:t>九、申报审批程序</w:t>
      </w:r>
      <w:bookmarkEnd w:id="44"/>
      <w:bookmarkEnd w:id="45"/>
      <w:bookmarkEnd w:id="46"/>
    </w:p>
    <w:p>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资格审查：提交申报材料至区科创经服局，进行申报材料初审；区科创经服局委托第三方专业会计师事务所对申报材料的真实性、完整性、有效性和合法性进行专项审核，并根据实际需求开展实地考察；区科创经服局根据初审及专项审核结果拟定资助计划，进行部门联合审查。</w:t>
      </w:r>
    </w:p>
    <w:p>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（二）报批程序：区科创经服局根据资格审查结果，按程序向上报批。</w:t>
      </w:r>
    </w:p>
    <w:p>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（三）公示：核查通过的申报单位（个人）由区科创经服局在深汕官网予以公示，公示期为5个工作日。</w:t>
      </w:r>
    </w:p>
    <w:p>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（四）公告：公示期满无异议的，区科创经服局负责公告，并发布拨款通知。</w:t>
      </w:r>
      <w:r>
        <w:rPr>
          <w:rFonts w:hint="eastAsia" w:ascii="仿宋_GB2312" w:hAnsi="仿宋_GB2312" w:eastAsia="仿宋_GB2312" w:cs="仿宋_GB2312"/>
          <w:color w:val="auto"/>
          <w:sz w:val="32"/>
          <w:szCs w:val="32"/>
        </w:rPr>
        <w:t>公示有异议的 ,由</w:t>
      </w:r>
      <w:r>
        <w:rPr>
          <w:rFonts w:hint="eastAsia" w:ascii="仿宋_GB2312" w:hAnsi="仿宋_GB2312" w:eastAsia="仿宋_GB2312" w:cs="仿宋_GB2312"/>
          <w:color w:val="auto"/>
          <w:sz w:val="32"/>
          <w:szCs w:val="32"/>
          <w:lang w:eastAsia="zh-CN"/>
        </w:rPr>
        <w:t>区科创经服局</w:t>
      </w:r>
      <w:r>
        <w:rPr>
          <w:rFonts w:hint="eastAsia" w:ascii="仿宋_GB2312" w:hAnsi="仿宋_GB2312" w:eastAsia="仿宋_GB2312" w:cs="仿宋_GB2312"/>
          <w:color w:val="auto"/>
          <w:sz w:val="32"/>
          <w:szCs w:val="32"/>
        </w:rPr>
        <w:t>重审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重审认定异议内容属实的,专项资金不予支持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主管部门需在认定异议属实后的5个工作日内将有关情况反馈申报单位(个人)。</w:t>
      </w:r>
      <w:r>
        <w:rPr>
          <w:rFonts w:hint="eastAsia" w:ascii="仿宋_GB2312" w:hAnsi="仿宋_GB2312" w:eastAsia="仿宋_GB2312" w:cs="仿宋_GB2312"/>
          <w:color w:val="auto"/>
          <w:sz w:val="32"/>
          <w:szCs w:val="32"/>
          <w:lang w:eastAsia="zh-CN"/>
        </w:rPr>
        <w:t>经调查异议</w:t>
      </w:r>
      <w:r>
        <w:rPr>
          <w:rFonts w:hint="eastAsia" w:ascii="仿宋_GB2312" w:hAnsi="仿宋_GB2312" w:eastAsia="仿宋_GB2312" w:cs="仿宋_GB2312"/>
          <w:color w:val="auto"/>
          <w:sz w:val="32"/>
          <w:szCs w:val="32"/>
        </w:rPr>
        <w:t>内容不属实的,由</w:t>
      </w:r>
      <w:r>
        <w:rPr>
          <w:rFonts w:hint="eastAsia" w:ascii="仿宋_GB2312" w:hAnsi="仿宋_GB2312" w:eastAsia="仿宋_GB2312" w:cs="仿宋_GB2312"/>
          <w:color w:val="auto"/>
          <w:sz w:val="32"/>
          <w:szCs w:val="32"/>
          <w:lang w:eastAsia="zh-CN"/>
        </w:rPr>
        <w:t>区科创经服局</w:t>
      </w:r>
      <w:r>
        <w:rPr>
          <w:rFonts w:hint="eastAsia" w:ascii="仿宋_GB2312" w:hAnsi="仿宋_GB2312" w:eastAsia="仿宋_GB2312" w:cs="仿宋_GB2312"/>
          <w:color w:val="auto"/>
          <w:sz w:val="32"/>
          <w:szCs w:val="32"/>
        </w:rPr>
        <w:t>出具支持意见,并</w:t>
      </w:r>
      <w:r>
        <w:rPr>
          <w:rFonts w:hint="eastAsia" w:ascii="仿宋_GB2312" w:hAnsi="仿宋_GB2312" w:eastAsia="仿宋_GB2312" w:cs="仿宋_GB2312"/>
          <w:color w:val="auto"/>
          <w:sz w:val="32"/>
          <w:szCs w:val="32"/>
          <w:lang w:eastAsia="zh-CN"/>
        </w:rPr>
        <w:t>予</w:t>
      </w:r>
      <w:r>
        <w:rPr>
          <w:rFonts w:hint="eastAsia" w:ascii="仿宋_GB2312" w:hAnsi="仿宋_GB2312" w:eastAsia="仿宋_GB2312" w:cs="仿宋_GB2312"/>
          <w:color w:val="auto"/>
          <w:sz w:val="32"/>
          <w:szCs w:val="32"/>
        </w:rPr>
        <w:t>以公告。</w:t>
      </w:r>
    </w:p>
    <w:p>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拨付。区发改财政局根据已批复的预算,下达指标</w:t>
      </w:r>
      <w:r>
        <w:rPr>
          <w:rFonts w:hint="eastAsia" w:ascii="仿宋_GB2312" w:hAnsi="仿宋_GB2312" w:eastAsia="仿宋_GB2312" w:cs="仿宋_GB2312"/>
          <w:color w:val="auto"/>
          <w:sz w:val="32"/>
          <w:szCs w:val="32"/>
          <w:lang w:eastAsia="zh-CN"/>
        </w:rPr>
        <w:t>，区科创经服局按相关规定将专项资金拨付至符合专项资金资助条件的申报单位（个人）。</w:t>
      </w:r>
    </w:p>
    <w:p>
      <w:pPr>
        <w:pStyle w:val="2"/>
        <w:pageBreakBefore w:val="0"/>
        <w:kinsoku/>
        <w:wordWrap/>
        <w:overflowPunct/>
        <w:topLinePunct w:val="0"/>
        <w:bidi w:val="0"/>
        <w:snapToGrid/>
        <w:spacing w:line="560" w:lineRule="exact"/>
        <w:textAlignment w:val="auto"/>
        <w:rPr>
          <w:rFonts w:hint="eastAsia"/>
          <w:lang w:val="en-US" w:eastAsia="zh-CN"/>
        </w:rPr>
      </w:pPr>
      <w:bookmarkStart w:id="47" w:name="_Toc16009"/>
      <w:bookmarkStart w:id="48" w:name="_Toc21574"/>
      <w:bookmarkStart w:id="49" w:name="_Toc8679"/>
      <w:r>
        <w:rPr>
          <w:rFonts w:hint="eastAsia"/>
          <w:lang w:val="en-US" w:eastAsia="zh-CN"/>
        </w:rPr>
        <w:t>十、注意事项</w:t>
      </w:r>
      <w:bookmarkEnd w:id="47"/>
      <w:bookmarkEnd w:id="48"/>
      <w:bookmarkEnd w:id="49"/>
    </w:p>
    <w:p>
      <w:pPr>
        <w:pStyle w:val="11"/>
        <w:keepNext w:val="0"/>
        <w:keepLines w:val="0"/>
        <w:pageBreakBefore w:val="0"/>
        <w:kinsoku/>
        <w:wordWrap/>
        <w:overflowPunct/>
        <w:topLinePunct w:val="0"/>
        <w:autoSpaceDE/>
        <w:autoSpaceDN/>
        <w:bidi w:val="0"/>
        <w:adjustRightInd w:val="0"/>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主体应保证其申报材料的完整性、真实性、准确性及合法性，并承担所提交的项目申报材料的相关法律责任。存在材料虚假或侵权等行为的项目申报无效。如事后发现存在以上行为的，我局将追回奖励或资助资金，并保留依法追究其法律责任的权利。</w:t>
      </w:r>
    </w:p>
    <w:p>
      <w:pPr>
        <w:pStyle w:val="11"/>
        <w:keepNext w:val="0"/>
        <w:keepLines w:val="0"/>
        <w:pageBreakBefore w:val="0"/>
        <w:kinsoku/>
        <w:wordWrap/>
        <w:overflowPunct/>
        <w:topLinePunct w:val="0"/>
        <w:autoSpaceDE/>
        <w:autoSpaceDN/>
        <w:bidi w:val="0"/>
        <w:adjustRightInd w:val="0"/>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（二）申报主体名称变更的应于申报时或变更后主动提交相关证明材料，因未提交材料导致相关数据难以查实的，视为申报无效。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kern w:val="2"/>
          <w:sz w:val="32"/>
          <w:szCs w:val="32"/>
          <w:lang w:val="en-US" w:eastAsia="zh-CN" w:bidi="ar-SA"/>
        </w:rPr>
        <w:t>（三）申报项目所需材料清单中注明需查验原件的，请在书面材料受理时携带原件配合查验。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说明：我</w:t>
      </w:r>
      <w:r>
        <w:rPr>
          <w:rFonts w:hint="eastAsia" w:ascii="仿宋_GB2312" w:hAnsi="仿宋_GB2312" w:eastAsia="仿宋_GB2312" w:cs="仿宋_GB2312"/>
          <w:i w:val="0"/>
          <w:iCs w:val="0"/>
          <w:caps w:val="0"/>
          <w:color w:val="auto"/>
          <w:spacing w:val="0"/>
          <w:sz w:val="32"/>
          <w:szCs w:val="32"/>
          <w:shd w:val="clear" w:fill="FFFFFF"/>
        </w:rPr>
        <w:t>局从未委托任何单位和个人代理深圳市深汕特别合作区</w:t>
      </w:r>
      <w:r>
        <w:rPr>
          <w:rFonts w:hint="eastAsia" w:ascii="仿宋_GB2312" w:hAnsi="仿宋_GB2312" w:eastAsia="仿宋_GB2312" w:cs="仿宋_GB2312"/>
          <w:i w:val="0"/>
          <w:iCs w:val="0"/>
          <w:caps w:val="0"/>
          <w:color w:val="auto"/>
          <w:spacing w:val="0"/>
          <w:sz w:val="32"/>
          <w:szCs w:val="32"/>
          <w:shd w:val="clear" w:fill="FFFFFF"/>
          <w:lang w:val="en-US" w:eastAsia="zh-CN"/>
        </w:rPr>
        <w:t>支持商贸服务业高质量</w:t>
      </w:r>
      <w:r>
        <w:rPr>
          <w:rFonts w:hint="eastAsia" w:ascii="仿宋_GB2312" w:hAnsi="仿宋_GB2312" w:eastAsia="仿宋_GB2312" w:cs="仿宋_GB2312"/>
          <w:i w:val="0"/>
          <w:iCs w:val="0"/>
          <w:caps w:val="0"/>
          <w:color w:val="auto"/>
          <w:spacing w:val="0"/>
          <w:sz w:val="32"/>
          <w:szCs w:val="32"/>
          <w:shd w:val="clear" w:fill="FFFFFF"/>
        </w:rPr>
        <w:t>发展</w:t>
      </w:r>
      <w:r>
        <w:rPr>
          <w:rFonts w:hint="eastAsia" w:ascii="仿宋_GB2312" w:hAnsi="仿宋_GB2312" w:eastAsia="仿宋_GB2312" w:cs="仿宋_GB2312"/>
          <w:i w:val="0"/>
          <w:iCs w:val="0"/>
          <w:caps w:val="0"/>
          <w:color w:val="auto"/>
          <w:spacing w:val="0"/>
          <w:sz w:val="32"/>
          <w:szCs w:val="32"/>
          <w:shd w:val="clear" w:fill="FFFFFF"/>
          <w:lang w:val="en-US" w:eastAsia="zh-CN"/>
        </w:rPr>
        <w:t>若干措施</w:t>
      </w:r>
      <w:r>
        <w:rPr>
          <w:rFonts w:hint="eastAsia" w:ascii="仿宋_GB2312" w:hAnsi="仿宋_GB2312" w:eastAsia="仿宋_GB2312" w:cs="仿宋_GB2312"/>
          <w:i w:val="0"/>
          <w:iCs w:val="0"/>
          <w:caps w:val="0"/>
          <w:color w:val="auto"/>
          <w:spacing w:val="0"/>
          <w:sz w:val="32"/>
          <w:szCs w:val="32"/>
          <w:shd w:val="clear" w:fill="FFFFFF"/>
        </w:rPr>
        <w:t>专项资金申报事宜，请相关企业自主申报，</w:t>
      </w:r>
      <w:r>
        <w:rPr>
          <w:rFonts w:hint="eastAsia" w:ascii="仿宋_GB2312" w:hAnsi="仿宋_GB2312" w:eastAsia="仿宋_GB2312" w:cs="仿宋_GB2312"/>
          <w:i w:val="0"/>
          <w:iCs w:val="0"/>
          <w:caps w:val="0"/>
          <w:color w:val="auto"/>
          <w:spacing w:val="0"/>
          <w:sz w:val="32"/>
          <w:szCs w:val="32"/>
          <w:shd w:val="clear" w:fill="FFFFFF"/>
          <w:lang w:val="en-US" w:eastAsia="zh-CN"/>
        </w:rPr>
        <w:t>我</w:t>
      </w:r>
      <w:r>
        <w:rPr>
          <w:rFonts w:hint="eastAsia" w:ascii="仿宋_GB2312" w:hAnsi="仿宋_GB2312" w:eastAsia="仿宋_GB2312" w:cs="仿宋_GB2312"/>
          <w:i w:val="0"/>
          <w:iCs w:val="0"/>
          <w:caps w:val="0"/>
          <w:color w:val="auto"/>
          <w:spacing w:val="0"/>
          <w:sz w:val="32"/>
          <w:szCs w:val="32"/>
          <w:shd w:val="clear" w:fill="FFFFFF"/>
        </w:rPr>
        <w:t>局将严格按照有关标准和程序受理申请，不收取任何费用。如有任何单位和个人假借</w:t>
      </w:r>
      <w:r>
        <w:rPr>
          <w:rFonts w:hint="eastAsia" w:ascii="仿宋_GB2312" w:hAnsi="仿宋_GB2312" w:eastAsia="仿宋_GB2312" w:cs="仿宋_GB2312"/>
          <w:i w:val="0"/>
          <w:iCs w:val="0"/>
          <w:caps w:val="0"/>
          <w:color w:val="auto"/>
          <w:spacing w:val="0"/>
          <w:sz w:val="32"/>
          <w:szCs w:val="32"/>
          <w:shd w:val="clear" w:fill="FFFFFF"/>
          <w:lang w:val="en-US" w:eastAsia="zh-CN"/>
        </w:rPr>
        <w:t>我局</w:t>
      </w:r>
      <w:r>
        <w:rPr>
          <w:rFonts w:hint="eastAsia" w:ascii="仿宋_GB2312" w:hAnsi="仿宋_GB2312" w:eastAsia="仿宋_GB2312" w:cs="仿宋_GB2312"/>
          <w:i w:val="0"/>
          <w:iCs w:val="0"/>
          <w:caps w:val="0"/>
          <w:color w:val="auto"/>
          <w:spacing w:val="0"/>
          <w:sz w:val="32"/>
          <w:szCs w:val="32"/>
          <w:shd w:val="clear" w:fill="FFFFFF"/>
        </w:rPr>
        <w:t>工作人员名义向企业收取费用的，请知情者立即向</w:t>
      </w:r>
      <w:r>
        <w:rPr>
          <w:rFonts w:hint="eastAsia" w:ascii="仿宋_GB2312" w:hAnsi="仿宋_GB2312" w:eastAsia="仿宋_GB2312" w:cs="仿宋_GB2312"/>
          <w:i w:val="0"/>
          <w:iCs w:val="0"/>
          <w:caps w:val="0"/>
          <w:color w:val="auto"/>
          <w:spacing w:val="0"/>
          <w:sz w:val="32"/>
          <w:szCs w:val="32"/>
          <w:shd w:val="clear" w:fill="FFFFFF"/>
          <w:lang w:val="en-US" w:eastAsia="zh-CN"/>
        </w:rPr>
        <w:t>我局</w:t>
      </w:r>
      <w:r>
        <w:rPr>
          <w:rFonts w:hint="eastAsia" w:ascii="仿宋_GB2312" w:hAnsi="仿宋_GB2312" w:eastAsia="仿宋_GB2312" w:cs="仿宋_GB2312"/>
          <w:i w:val="0"/>
          <w:iCs w:val="0"/>
          <w:caps w:val="0"/>
          <w:color w:val="auto"/>
          <w:spacing w:val="0"/>
          <w:sz w:val="32"/>
          <w:szCs w:val="32"/>
          <w:shd w:val="clear" w:fill="FFFFFF"/>
        </w:rPr>
        <w:t>举报，举报电话∶0755-221009</w:t>
      </w:r>
      <w:r>
        <w:rPr>
          <w:rFonts w:hint="eastAsia" w:ascii="仿宋_GB2312" w:hAnsi="仿宋_GB2312" w:eastAsia="仿宋_GB2312" w:cs="仿宋_GB2312"/>
          <w:i w:val="0"/>
          <w:iCs w:val="0"/>
          <w:caps w:val="0"/>
          <w:color w:val="auto"/>
          <w:spacing w:val="0"/>
          <w:sz w:val="32"/>
          <w:szCs w:val="32"/>
          <w:shd w:val="clear" w:fill="FFFFFF"/>
          <w:lang w:val="en-US" w:eastAsia="zh-CN"/>
        </w:rPr>
        <w:t>36</w:t>
      </w:r>
      <w:r>
        <w:rPr>
          <w:rFonts w:hint="eastAsia" w:ascii="仿宋_GB2312" w:hAnsi="仿宋_GB2312" w:eastAsia="仿宋_GB2312" w:cs="仿宋_GB2312"/>
          <w:i w:val="0"/>
          <w:iCs w:val="0"/>
          <w:caps w:val="0"/>
          <w:color w:val="auto"/>
          <w:spacing w:val="0"/>
          <w:sz w:val="32"/>
          <w:szCs w:val="32"/>
          <w:shd w:val="clear" w:fill="FFFFFF"/>
        </w:rPr>
        <w:t>。</w:t>
      </w:r>
    </w:p>
    <w:sectPr>
      <w:footerReference r:id="rId4" w:type="default"/>
      <w:pgSz w:w="11906" w:h="16838"/>
      <w:pgMar w:top="1440" w:right="1519" w:bottom="1440" w:left="151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TQ1NWEzNjJiMDJkZWZjZjY0Yzc4ZjVkNTAxNTUifQ=="/>
  </w:docVars>
  <w:rsids>
    <w:rsidRoot w:val="6AAD27F6"/>
    <w:rsid w:val="00151BDC"/>
    <w:rsid w:val="003752C8"/>
    <w:rsid w:val="009269A2"/>
    <w:rsid w:val="013C690E"/>
    <w:rsid w:val="015B3238"/>
    <w:rsid w:val="01725E68"/>
    <w:rsid w:val="017A38FC"/>
    <w:rsid w:val="01A81C95"/>
    <w:rsid w:val="01D86EB9"/>
    <w:rsid w:val="02D52B76"/>
    <w:rsid w:val="03B83681"/>
    <w:rsid w:val="04153E4C"/>
    <w:rsid w:val="054B3BF3"/>
    <w:rsid w:val="055E32F7"/>
    <w:rsid w:val="073F20F3"/>
    <w:rsid w:val="07DF67F7"/>
    <w:rsid w:val="08133B02"/>
    <w:rsid w:val="08205852"/>
    <w:rsid w:val="0A0E3624"/>
    <w:rsid w:val="0A8E1FE3"/>
    <w:rsid w:val="0ACB0782"/>
    <w:rsid w:val="0AF7746F"/>
    <w:rsid w:val="0C963F16"/>
    <w:rsid w:val="0CE340E1"/>
    <w:rsid w:val="0D134413"/>
    <w:rsid w:val="0D144273"/>
    <w:rsid w:val="0D721596"/>
    <w:rsid w:val="0E0C7F2C"/>
    <w:rsid w:val="0E0D3F34"/>
    <w:rsid w:val="0E333312"/>
    <w:rsid w:val="0E4307FB"/>
    <w:rsid w:val="0EFF8907"/>
    <w:rsid w:val="0F6153DB"/>
    <w:rsid w:val="0F6712B3"/>
    <w:rsid w:val="0F85062C"/>
    <w:rsid w:val="0F9205F5"/>
    <w:rsid w:val="0FBEB9CF"/>
    <w:rsid w:val="0FBFBF34"/>
    <w:rsid w:val="0FFFA93C"/>
    <w:rsid w:val="103C78FA"/>
    <w:rsid w:val="11EB5F12"/>
    <w:rsid w:val="12113135"/>
    <w:rsid w:val="12B477B6"/>
    <w:rsid w:val="12DD21EA"/>
    <w:rsid w:val="12F352BA"/>
    <w:rsid w:val="137E86AB"/>
    <w:rsid w:val="13862DF2"/>
    <w:rsid w:val="13DB5DDC"/>
    <w:rsid w:val="13F8517A"/>
    <w:rsid w:val="14975CE1"/>
    <w:rsid w:val="14DF61DB"/>
    <w:rsid w:val="14E83C4D"/>
    <w:rsid w:val="165D2684"/>
    <w:rsid w:val="16B35187"/>
    <w:rsid w:val="16BB6329"/>
    <w:rsid w:val="1716CAF5"/>
    <w:rsid w:val="172B1F42"/>
    <w:rsid w:val="17E34977"/>
    <w:rsid w:val="17EE29DD"/>
    <w:rsid w:val="17FFCA99"/>
    <w:rsid w:val="185136BC"/>
    <w:rsid w:val="189B719C"/>
    <w:rsid w:val="18A64941"/>
    <w:rsid w:val="18BA63FC"/>
    <w:rsid w:val="19206870"/>
    <w:rsid w:val="19362192"/>
    <w:rsid w:val="19937107"/>
    <w:rsid w:val="19B9516B"/>
    <w:rsid w:val="1A7D269C"/>
    <w:rsid w:val="1B757BC5"/>
    <w:rsid w:val="1B9DF7DF"/>
    <w:rsid w:val="1C220858"/>
    <w:rsid w:val="1C3C45D1"/>
    <w:rsid w:val="1C901B90"/>
    <w:rsid w:val="1D94798D"/>
    <w:rsid w:val="1DCB6B6C"/>
    <w:rsid w:val="1E2F362A"/>
    <w:rsid w:val="1E674B72"/>
    <w:rsid w:val="1E677EB5"/>
    <w:rsid w:val="1E7A2AF8"/>
    <w:rsid w:val="1ECEEB66"/>
    <w:rsid w:val="1F45134B"/>
    <w:rsid w:val="1FA8030E"/>
    <w:rsid w:val="1FAFFED3"/>
    <w:rsid w:val="1FD47D67"/>
    <w:rsid w:val="1FFE59E0"/>
    <w:rsid w:val="21016E14"/>
    <w:rsid w:val="21EA1495"/>
    <w:rsid w:val="223C0CDF"/>
    <w:rsid w:val="22B730AC"/>
    <w:rsid w:val="230A3D78"/>
    <w:rsid w:val="2311700D"/>
    <w:rsid w:val="235A6CAC"/>
    <w:rsid w:val="23CD4F36"/>
    <w:rsid w:val="23D404CA"/>
    <w:rsid w:val="23EFCAC1"/>
    <w:rsid w:val="24015121"/>
    <w:rsid w:val="242B4894"/>
    <w:rsid w:val="242C28E4"/>
    <w:rsid w:val="246430BE"/>
    <w:rsid w:val="24F66C50"/>
    <w:rsid w:val="24FF3C1A"/>
    <w:rsid w:val="2525119A"/>
    <w:rsid w:val="255F65A3"/>
    <w:rsid w:val="25A86A02"/>
    <w:rsid w:val="25CB3117"/>
    <w:rsid w:val="260053A6"/>
    <w:rsid w:val="26151358"/>
    <w:rsid w:val="265943C4"/>
    <w:rsid w:val="2683316D"/>
    <w:rsid w:val="272F6C49"/>
    <w:rsid w:val="27467C49"/>
    <w:rsid w:val="278F0C96"/>
    <w:rsid w:val="27B269BF"/>
    <w:rsid w:val="28AD376B"/>
    <w:rsid w:val="29141177"/>
    <w:rsid w:val="29591B52"/>
    <w:rsid w:val="296E6EBB"/>
    <w:rsid w:val="29B11E5C"/>
    <w:rsid w:val="29B73C1D"/>
    <w:rsid w:val="29BF5D86"/>
    <w:rsid w:val="29FF030D"/>
    <w:rsid w:val="2A1364F7"/>
    <w:rsid w:val="2A1A36E2"/>
    <w:rsid w:val="2A5B051C"/>
    <w:rsid w:val="2A6B366E"/>
    <w:rsid w:val="2BC769A9"/>
    <w:rsid w:val="2BFA155F"/>
    <w:rsid w:val="2BFC7D90"/>
    <w:rsid w:val="2CFCE898"/>
    <w:rsid w:val="2D23435A"/>
    <w:rsid w:val="2D32459D"/>
    <w:rsid w:val="2D957504"/>
    <w:rsid w:val="2DCF1F8A"/>
    <w:rsid w:val="2E7E7CD2"/>
    <w:rsid w:val="2F2F367E"/>
    <w:rsid w:val="2F4F5F32"/>
    <w:rsid w:val="2FC7388B"/>
    <w:rsid w:val="2FDA458E"/>
    <w:rsid w:val="2FF2135F"/>
    <w:rsid w:val="305777ED"/>
    <w:rsid w:val="30697F7D"/>
    <w:rsid w:val="30C4537B"/>
    <w:rsid w:val="30CF4367"/>
    <w:rsid w:val="30F073BE"/>
    <w:rsid w:val="310031DE"/>
    <w:rsid w:val="31B13EBA"/>
    <w:rsid w:val="31D54116"/>
    <w:rsid w:val="33266872"/>
    <w:rsid w:val="33F24C75"/>
    <w:rsid w:val="34273389"/>
    <w:rsid w:val="34A57D4B"/>
    <w:rsid w:val="34DD5737"/>
    <w:rsid w:val="3577501F"/>
    <w:rsid w:val="35801AE4"/>
    <w:rsid w:val="36170290"/>
    <w:rsid w:val="370C4700"/>
    <w:rsid w:val="371E191A"/>
    <w:rsid w:val="37462197"/>
    <w:rsid w:val="37BC5C3B"/>
    <w:rsid w:val="37F52D97"/>
    <w:rsid w:val="37FD0C6B"/>
    <w:rsid w:val="39474BAD"/>
    <w:rsid w:val="3A64331D"/>
    <w:rsid w:val="3A7607A5"/>
    <w:rsid w:val="3AC10130"/>
    <w:rsid w:val="3AD117C8"/>
    <w:rsid w:val="3B1A75A9"/>
    <w:rsid w:val="3B467CD8"/>
    <w:rsid w:val="3B7E5A37"/>
    <w:rsid w:val="3B8876AD"/>
    <w:rsid w:val="3BBF1788"/>
    <w:rsid w:val="3BD864DE"/>
    <w:rsid w:val="3C2FD225"/>
    <w:rsid w:val="3CB37143"/>
    <w:rsid w:val="3E013604"/>
    <w:rsid w:val="3E8B0E43"/>
    <w:rsid w:val="3EC7428D"/>
    <w:rsid w:val="3ED453EC"/>
    <w:rsid w:val="3F6DEEEC"/>
    <w:rsid w:val="3F6F8160"/>
    <w:rsid w:val="3FCFFFE3"/>
    <w:rsid w:val="3FD70775"/>
    <w:rsid w:val="3FDB76E3"/>
    <w:rsid w:val="3FDD9D4C"/>
    <w:rsid w:val="3FE650B8"/>
    <w:rsid w:val="3FE9EE1D"/>
    <w:rsid w:val="3FEE33EA"/>
    <w:rsid w:val="3FEF40A7"/>
    <w:rsid w:val="3FFF6D41"/>
    <w:rsid w:val="3FFF9F36"/>
    <w:rsid w:val="401B43EF"/>
    <w:rsid w:val="4034316E"/>
    <w:rsid w:val="403A4AB9"/>
    <w:rsid w:val="416004EB"/>
    <w:rsid w:val="41957CB7"/>
    <w:rsid w:val="41FF0A8B"/>
    <w:rsid w:val="420E4320"/>
    <w:rsid w:val="442318CF"/>
    <w:rsid w:val="44880D2E"/>
    <w:rsid w:val="44BD7C49"/>
    <w:rsid w:val="457A1C67"/>
    <w:rsid w:val="45E81026"/>
    <w:rsid w:val="460D6BDF"/>
    <w:rsid w:val="46FED573"/>
    <w:rsid w:val="47776C45"/>
    <w:rsid w:val="47FD44D9"/>
    <w:rsid w:val="48480CC1"/>
    <w:rsid w:val="490B5F77"/>
    <w:rsid w:val="4A1D3D6A"/>
    <w:rsid w:val="4A3A0092"/>
    <w:rsid w:val="4AD64D99"/>
    <w:rsid w:val="4B5F8D73"/>
    <w:rsid w:val="4B885FA4"/>
    <w:rsid w:val="4C564A1F"/>
    <w:rsid w:val="4C8E01B8"/>
    <w:rsid w:val="4CD314A1"/>
    <w:rsid w:val="4D5C417A"/>
    <w:rsid w:val="4DB5744D"/>
    <w:rsid w:val="4DFC4DB6"/>
    <w:rsid w:val="4E77B32A"/>
    <w:rsid w:val="4E9E5B8F"/>
    <w:rsid w:val="4E9F427D"/>
    <w:rsid w:val="4ED969DA"/>
    <w:rsid w:val="4EDEB181"/>
    <w:rsid w:val="4F68A8EB"/>
    <w:rsid w:val="4F96323F"/>
    <w:rsid w:val="4FFF26A0"/>
    <w:rsid w:val="4FFF39AF"/>
    <w:rsid w:val="5022B67F"/>
    <w:rsid w:val="503B636E"/>
    <w:rsid w:val="50D35F69"/>
    <w:rsid w:val="50E6035D"/>
    <w:rsid w:val="51E159BE"/>
    <w:rsid w:val="5237342D"/>
    <w:rsid w:val="52DF11EA"/>
    <w:rsid w:val="52EE87AC"/>
    <w:rsid w:val="530E5CA9"/>
    <w:rsid w:val="53302389"/>
    <w:rsid w:val="53A3113F"/>
    <w:rsid w:val="54FC50A8"/>
    <w:rsid w:val="56BFDD9F"/>
    <w:rsid w:val="56F7C8C3"/>
    <w:rsid w:val="574D3BFE"/>
    <w:rsid w:val="57B07F1C"/>
    <w:rsid w:val="57F87DC0"/>
    <w:rsid w:val="57FF564D"/>
    <w:rsid w:val="58093FC9"/>
    <w:rsid w:val="58B36B58"/>
    <w:rsid w:val="58D00680"/>
    <w:rsid w:val="597C6A1D"/>
    <w:rsid w:val="5A4F5EDF"/>
    <w:rsid w:val="5A967340"/>
    <w:rsid w:val="5B1FFC69"/>
    <w:rsid w:val="5B3F1217"/>
    <w:rsid w:val="5B6C41E8"/>
    <w:rsid w:val="5BB24BED"/>
    <w:rsid w:val="5BE014E5"/>
    <w:rsid w:val="5CEC597B"/>
    <w:rsid w:val="5CF039A9"/>
    <w:rsid w:val="5D73626C"/>
    <w:rsid w:val="5D8F57BA"/>
    <w:rsid w:val="5DAC4C0B"/>
    <w:rsid w:val="5DD5E3AC"/>
    <w:rsid w:val="5DDDBCD1"/>
    <w:rsid w:val="5E3F4E1D"/>
    <w:rsid w:val="5E536847"/>
    <w:rsid w:val="5E9DC44B"/>
    <w:rsid w:val="5EB82F08"/>
    <w:rsid w:val="5EE02FBB"/>
    <w:rsid w:val="5F266FCE"/>
    <w:rsid w:val="5F3FCB42"/>
    <w:rsid w:val="5F5D775F"/>
    <w:rsid w:val="5F76FF8D"/>
    <w:rsid w:val="5F7F1DCE"/>
    <w:rsid w:val="5F9DD7AE"/>
    <w:rsid w:val="5FBD556F"/>
    <w:rsid w:val="5FCDCE14"/>
    <w:rsid w:val="5FCFAA5F"/>
    <w:rsid w:val="5FDE4F7B"/>
    <w:rsid w:val="5FEEA568"/>
    <w:rsid w:val="60BB3282"/>
    <w:rsid w:val="60E06CE6"/>
    <w:rsid w:val="615665DF"/>
    <w:rsid w:val="61AF3E13"/>
    <w:rsid w:val="61AF4ED0"/>
    <w:rsid w:val="62417B86"/>
    <w:rsid w:val="6391363E"/>
    <w:rsid w:val="63AF390C"/>
    <w:rsid w:val="63E24127"/>
    <w:rsid w:val="641F0552"/>
    <w:rsid w:val="64C82389"/>
    <w:rsid w:val="64CF20F6"/>
    <w:rsid w:val="64F3E471"/>
    <w:rsid w:val="65043BE9"/>
    <w:rsid w:val="659E7556"/>
    <w:rsid w:val="66326DE1"/>
    <w:rsid w:val="665B7F56"/>
    <w:rsid w:val="667B33E5"/>
    <w:rsid w:val="66CC2D91"/>
    <w:rsid w:val="66CE6BAF"/>
    <w:rsid w:val="670C348F"/>
    <w:rsid w:val="674D37A6"/>
    <w:rsid w:val="677F7D65"/>
    <w:rsid w:val="678B9D77"/>
    <w:rsid w:val="67DFFFFA"/>
    <w:rsid w:val="682910C7"/>
    <w:rsid w:val="687D56CF"/>
    <w:rsid w:val="68953657"/>
    <w:rsid w:val="68ED3B2C"/>
    <w:rsid w:val="68FE3AD2"/>
    <w:rsid w:val="6AA53F0D"/>
    <w:rsid w:val="6AAD27F6"/>
    <w:rsid w:val="6ABA1E16"/>
    <w:rsid w:val="6ADA0758"/>
    <w:rsid w:val="6B0E066F"/>
    <w:rsid w:val="6B3531BA"/>
    <w:rsid w:val="6BA7561B"/>
    <w:rsid w:val="6BC3550A"/>
    <w:rsid w:val="6BD72F8D"/>
    <w:rsid w:val="6BFF2644"/>
    <w:rsid w:val="6C8F1E12"/>
    <w:rsid w:val="6CBE2207"/>
    <w:rsid w:val="6D3B7E38"/>
    <w:rsid w:val="6D7DFD9B"/>
    <w:rsid w:val="6D8F7853"/>
    <w:rsid w:val="6DB9FA37"/>
    <w:rsid w:val="6DFE9E2E"/>
    <w:rsid w:val="6E53781F"/>
    <w:rsid w:val="6EB361CC"/>
    <w:rsid w:val="6EBD10DA"/>
    <w:rsid w:val="6EBDB754"/>
    <w:rsid w:val="6EF7C841"/>
    <w:rsid w:val="6F246424"/>
    <w:rsid w:val="6F376864"/>
    <w:rsid w:val="6F600F73"/>
    <w:rsid w:val="6FD7B123"/>
    <w:rsid w:val="6FEB29EE"/>
    <w:rsid w:val="6FED5A4C"/>
    <w:rsid w:val="6FEF0786"/>
    <w:rsid w:val="6FF7636C"/>
    <w:rsid w:val="6FF7DF97"/>
    <w:rsid w:val="6FFD26C4"/>
    <w:rsid w:val="705FADCB"/>
    <w:rsid w:val="709143B1"/>
    <w:rsid w:val="70930CB0"/>
    <w:rsid w:val="7104581E"/>
    <w:rsid w:val="71374018"/>
    <w:rsid w:val="71CF3736"/>
    <w:rsid w:val="71D560D7"/>
    <w:rsid w:val="72005FE5"/>
    <w:rsid w:val="72107703"/>
    <w:rsid w:val="7220417A"/>
    <w:rsid w:val="73BDCDFB"/>
    <w:rsid w:val="73F3C29E"/>
    <w:rsid w:val="73FFA8B3"/>
    <w:rsid w:val="740C6EC3"/>
    <w:rsid w:val="7419749D"/>
    <w:rsid w:val="741C4C2C"/>
    <w:rsid w:val="74F2511E"/>
    <w:rsid w:val="75A90868"/>
    <w:rsid w:val="76260541"/>
    <w:rsid w:val="765602DF"/>
    <w:rsid w:val="76677A04"/>
    <w:rsid w:val="768371E5"/>
    <w:rsid w:val="76FF3BB3"/>
    <w:rsid w:val="770943E5"/>
    <w:rsid w:val="773D66F8"/>
    <w:rsid w:val="773DE749"/>
    <w:rsid w:val="7753843B"/>
    <w:rsid w:val="777E9BC0"/>
    <w:rsid w:val="777FB804"/>
    <w:rsid w:val="779F9F89"/>
    <w:rsid w:val="77CFA5DF"/>
    <w:rsid w:val="77D2C5E3"/>
    <w:rsid w:val="77DFD28D"/>
    <w:rsid w:val="77E69DA9"/>
    <w:rsid w:val="78A340A5"/>
    <w:rsid w:val="78ECE6D4"/>
    <w:rsid w:val="793BF020"/>
    <w:rsid w:val="79AA6C50"/>
    <w:rsid w:val="7A1536B1"/>
    <w:rsid w:val="7A665C26"/>
    <w:rsid w:val="7A6F7DCF"/>
    <w:rsid w:val="7A76A1A3"/>
    <w:rsid w:val="7A9D6CB0"/>
    <w:rsid w:val="7ACFD4D9"/>
    <w:rsid w:val="7AFF702C"/>
    <w:rsid w:val="7B7C0A91"/>
    <w:rsid w:val="7BAE6259"/>
    <w:rsid w:val="7BC313B5"/>
    <w:rsid w:val="7BCBCECA"/>
    <w:rsid w:val="7BDA1655"/>
    <w:rsid w:val="7BFC807C"/>
    <w:rsid w:val="7BFF9B70"/>
    <w:rsid w:val="7C6A0C2B"/>
    <w:rsid w:val="7CAFB2A0"/>
    <w:rsid w:val="7CBB9236"/>
    <w:rsid w:val="7CD06D11"/>
    <w:rsid w:val="7CFF68F8"/>
    <w:rsid w:val="7D14350F"/>
    <w:rsid w:val="7D48EFC6"/>
    <w:rsid w:val="7D7F3ACE"/>
    <w:rsid w:val="7DC71931"/>
    <w:rsid w:val="7DD98317"/>
    <w:rsid w:val="7DDF19C6"/>
    <w:rsid w:val="7DEBD379"/>
    <w:rsid w:val="7DFB4228"/>
    <w:rsid w:val="7E5F606D"/>
    <w:rsid w:val="7EBBC71C"/>
    <w:rsid w:val="7ECEBA01"/>
    <w:rsid w:val="7ED164ED"/>
    <w:rsid w:val="7EF5083E"/>
    <w:rsid w:val="7EFE8BD5"/>
    <w:rsid w:val="7F2D75E5"/>
    <w:rsid w:val="7F4D4F8F"/>
    <w:rsid w:val="7F6C8ED9"/>
    <w:rsid w:val="7F755A8A"/>
    <w:rsid w:val="7FB1BFE4"/>
    <w:rsid w:val="7FB7E443"/>
    <w:rsid w:val="7FBD11B1"/>
    <w:rsid w:val="7FD72CEE"/>
    <w:rsid w:val="7FDDD269"/>
    <w:rsid w:val="7FE2684A"/>
    <w:rsid w:val="7FE33F1E"/>
    <w:rsid w:val="7FED71FD"/>
    <w:rsid w:val="7FEFCF7E"/>
    <w:rsid w:val="7FFCC950"/>
    <w:rsid w:val="7FFD1745"/>
    <w:rsid w:val="7FFDE3D8"/>
    <w:rsid w:val="7FFE6DD9"/>
    <w:rsid w:val="7FFEA93A"/>
    <w:rsid w:val="7FFF5C61"/>
    <w:rsid w:val="85FEFEC3"/>
    <w:rsid w:val="87FF75B9"/>
    <w:rsid w:val="89EFF48A"/>
    <w:rsid w:val="95E7D02F"/>
    <w:rsid w:val="9753EF92"/>
    <w:rsid w:val="97B9B56A"/>
    <w:rsid w:val="9AF74BE3"/>
    <w:rsid w:val="9AFBCDAA"/>
    <w:rsid w:val="9B4FEF40"/>
    <w:rsid w:val="9DFF6D9E"/>
    <w:rsid w:val="9EEF4E24"/>
    <w:rsid w:val="9FF9271F"/>
    <w:rsid w:val="A379BB4D"/>
    <w:rsid w:val="A6BFB5DF"/>
    <w:rsid w:val="A6BFF7F7"/>
    <w:rsid w:val="A73F4CC9"/>
    <w:rsid w:val="A7F305E5"/>
    <w:rsid w:val="A9EEF29D"/>
    <w:rsid w:val="ABFB1BBA"/>
    <w:rsid w:val="ABFEB8D3"/>
    <w:rsid w:val="ABFF0617"/>
    <w:rsid w:val="AF752A46"/>
    <w:rsid w:val="AFB7D73E"/>
    <w:rsid w:val="B3BB409E"/>
    <w:rsid w:val="B67FAB74"/>
    <w:rsid w:val="B78BA32F"/>
    <w:rsid w:val="B7EF8ACD"/>
    <w:rsid w:val="BA8E3D68"/>
    <w:rsid w:val="BD3F75C6"/>
    <w:rsid w:val="BEEFB0E7"/>
    <w:rsid w:val="BEF315BD"/>
    <w:rsid w:val="BF2E1585"/>
    <w:rsid w:val="BF6E40F4"/>
    <w:rsid w:val="BFFA721F"/>
    <w:rsid w:val="C67BFC41"/>
    <w:rsid w:val="C77B9173"/>
    <w:rsid w:val="CBA765C1"/>
    <w:rsid w:val="CBF78D85"/>
    <w:rsid w:val="CEFD956B"/>
    <w:rsid w:val="CFAFB2D6"/>
    <w:rsid w:val="CFFBDCF9"/>
    <w:rsid w:val="D5CEDA1B"/>
    <w:rsid w:val="D7F66EB0"/>
    <w:rsid w:val="D855A464"/>
    <w:rsid w:val="DBBD1E6D"/>
    <w:rsid w:val="DBDEEA53"/>
    <w:rsid w:val="DDBB9C51"/>
    <w:rsid w:val="DDFE9F51"/>
    <w:rsid w:val="DDFF5B24"/>
    <w:rsid w:val="DEB57D86"/>
    <w:rsid w:val="DEDAB6C8"/>
    <w:rsid w:val="DEEA75E2"/>
    <w:rsid w:val="DF4F3FEE"/>
    <w:rsid w:val="DFC85BCD"/>
    <w:rsid w:val="DFEEEF1A"/>
    <w:rsid w:val="DFEFE1BB"/>
    <w:rsid w:val="DFFB63C5"/>
    <w:rsid w:val="E6371B4D"/>
    <w:rsid w:val="E6BC3A34"/>
    <w:rsid w:val="E7B5533F"/>
    <w:rsid w:val="E7FA2CB2"/>
    <w:rsid w:val="E7FFBAA1"/>
    <w:rsid w:val="E9FF7258"/>
    <w:rsid w:val="EA1F369D"/>
    <w:rsid w:val="EA2F7CB5"/>
    <w:rsid w:val="EA7F3DA7"/>
    <w:rsid w:val="EB3DCFCD"/>
    <w:rsid w:val="ED6DC9A1"/>
    <w:rsid w:val="EDB79AA1"/>
    <w:rsid w:val="EDFD22AF"/>
    <w:rsid w:val="EEBF5E99"/>
    <w:rsid w:val="EFF1DD99"/>
    <w:rsid w:val="EFFA272B"/>
    <w:rsid w:val="EFFF5AD2"/>
    <w:rsid w:val="EFFFC2AF"/>
    <w:rsid w:val="F3DF8FB4"/>
    <w:rsid w:val="F4E77588"/>
    <w:rsid w:val="F4FFAC86"/>
    <w:rsid w:val="F56E7680"/>
    <w:rsid w:val="F7551D0C"/>
    <w:rsid w:val="F7BEEFB2"/>
    <w:rsid w:val="F7E12D54"/>
    <w:rsid w:val="F7FED762"/>
    <w:rsid w:val="F7FF49DE"/>
    <w:rsid w:val="F9CFFF86"/>
    <w:rsid w:val="F9D9B98F"/>
    <w:rsid w:val="FA3376F5"/>
    <w:rsid w:val="FAFAC76D"/>
    <w:rsid w:val="FB3EDA45"/>
    <w:rsid w:val="FB5F63C4"/>
    <w:rsid w:val="FB7F9E9E"/>
    <w:rsid w:val="FBBEACB8"/>
    <w:rsid w:val="FBDD8330"/>
    <w:rsid w:val="FBDF3267"/>
    <w:rsid w:val="FBE3673E"/>
    <w:rsid w:val="FBFF3D75"/>
    <w:rsid w:val="FBFF8417"/>
    <w:rsid w:val="FC66EA19"/>
    <w:rsid w:val="FCDB956E"/>
    <w:rsid w:val="FCF988DD"/>
    <w:rsid w:val="FD6FD6BE"/>
    <w:rsid w:val="FD7D3AFE"/>
    <w:rsid w:val="FD974039"/>
    <w:rsid w:val="FDA8013C"/>
    <w:rsid w:val="FDAFEF5D"/>
    <w:rsid w:val="FDBB992F"/>
    <w:rsid w:val="FDEFE65D"/>
    <w:rsid w:val="FDF634EE"/>
    <w:rsid w:val="FDFD2C19"/>
    <w:rsid w:val="FE6EBB13"/>
    <w:rsid w:val="FEBFB54D"/>
    <w:rsid w:val="FEF7A775"/>
    <w:rsid w:val="FEF963C5"/>
    <w:rsid w:val="FF5A4DA4"/>
    <w:rsid w:val="FF5F2A48"/>
    <w:rsid w:val="FF5FB812"/>
    <w:rsid w:val="FF7E0CF6"/>
    <w:rsid w:val="FF7FA3D1"/>
    <w:rsid w:val="FFA7C235"/>
    <w:rsid w:val="FFAB2FF8"/>
    <w:rsid w:val="FFDD81D2"/>
    <w:rsid w:val="FFEC72D8"/>
    <w:rsid w:val="FFED198B"/>
    <w:rsid w:val="FFF28C7C"/>
    <w:rsid w:val="FFFBB8A6"/>
    <w:rsid w:val="FFFBEC4F"/>
    <w:rsid w:val="FFFC5CBD"/>
    <w:rsid w:val="FFFCCC31"/>
    <w:rsid w:val="FFFF5153"/>
    <w:rsid w:val="FFFFC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spacing w:before="0" w:beforeAutospacing="0" w:after="0" w:afterAutospacing="0" w:line="560" w:lineRule="exact"/>
      <w:ind w:firstLine="640" w:firstLineChars="200"/>
      <w:jc w:val="both"/>
      <w:outlineLvl w:val="0"/>
    </w:pPr>
    <w:rPr>
      <w:rFonts w:hint="eastAsia" w:ascii="宋体" w:hAnsi="宋体" w:eastAsia="黑体" w:cs="宋体"/>
      <w:kern w:val="44"/>
      <w:sz w:val="32"/>
      <w:szCs w:val="48"/>
      <w:lang w:bidi="ar"/>
    </w:rPr>
  </w:style>
  <w:style w:type="paragraph" w:styleId="3">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_GB2312"/>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qFormat/>
    <w:uiPriority w:val="3"/>
    <w:pPr>
      <w:spacing w:line="540" w:lineRule="exact"/>
      <w:jc w:val="left"/>
    </w:pPr>
    <w:rPr>
      <w:rFonts w:ascii="楷体_GB2312" w:eastAsia="楷体_GB2312"/>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5"/>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Emphasis"/>
    <w:basedOn w:val="15"/>
    <w:qFormat/>
    <w:uiPriority w:val="0"/>
    <w:rPr>
      <w:i/>
    </w:rPr>
  </w:style>
  <w:style w:type="character" w:styleId="18">
    <w:name w:val="Hyperlink"/>
    <w:unhideWhenUsed/>
    <w:qFormat/>
    <w:uiPriority w:val="99"/>
    <w:rPr>
      <w:color w:val="0000FF"/>
      <w:u w:val="single"/>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标题 1 Char"/>
    <w:link w:val="2"/>
    <w:qFormat/>
    <w:uiPriority w:val="0"/>
    <w:rPr>
      <w:rFonts w:hint="eastAsia" w:ascii="宋体" w:hAnsi="宋体" w:eastAsia="黑体" w:cs="宋体"/>
      <w:kern w:val="44"/>
      <w:sz w:val="32"/>
      <w:szCs w:val="48"/>
      <w:lang w:bidi="ar"/>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5525</Words>
  <Characters>5820</Characters>
  <Lines>0</Lines>
  <Paragraphs>0</Paragraphs>
  <TotalTime>2</TotalTime>
  <ScaleCrop>false</ScaleCrop>
  <LinksUpToDate>false</LinksUpToDate>
  <CharactersWithSpaces>5881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2023-03-09T20:55:00Z</dcterms:created>
  <dc:creator>YANG</dc:creator>
  <cp:lastModifiedBy>sssuper</cp:lastModifiedBy>
  <cp:lastPrinted>2023-03-29T01:15:00Z</cp:lastPrinted>
  <dcterms:modified xsi:type="dcterms:W3CDTF">2023-04-11T16:57:46Z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5871AA05C4774189A5DD9A988BA32841</vt:lpwstr>
  </property>
</Properties>
</file>