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Chars="0"/>
        <w:jc w:val="both"/>
        <w:textAlignment w:val="auto"/>
        <w:rPr>
          <w:rFonts w:hint="eastAsia" w:ascii="黑体" w:hAnsi="黑体" w:eastAsia="黑体" w:cs="黑体"/>
          <w:w w:val="93"/>
          <w:sz w:val="36"/>
          <w:szCs w:val="36"/>
          <w:lang w:val="en-US" w:eastAsia="zh-CN"/>
        </w:rPr>
      </w:pPr>
      <w:r>
        <w:rPr>
          <w:rFonts w:hint="eastAsia" w:ascii="黑体" w:hAnsi="黑体" w:eastAsia="黑体" w:cs="黑体"/>
          <w:w w:val="93"/>
          <w:sz w:val="36"/>
          <w:szCs w:val="36"/>
          <w:lang w:val="en-US" w:eastAsia="zh-CN"/>
        </w:rPr>
        <w:t>附件：2</w:t>
      </w:r>
    </w:p>
    <w:p>
      <w:pPr>
        <w:keepNext w:val="0"/>
        <w:keepLines w:val="0"/>
        <w:pageBreakBefore w:val="0"/>
        <w:widowControl w:val="0"/>
        <w:kinsoku/>
        <w:wordWrap/>
        <w:overflowPunct/>
        <w:topLinePunct w:val="0"/>
        <w:autoSpaceDE/>
        <w:autoSpaceDN/>
        <w:bidi w:val="0"/>
        <w:adjustRightInd/>
        <w:snapToGrid w:val="0"/>
        <w:spacing w:line="560" w:lineRule="exact"/>
        <w:ind w:leftChars="0"/>
        <w:jc w:val="both"/>
        <w:textAlignment w:val="auto"/>
        <w:rPr>
          <w:rFonts w:hint="default" w:ascii="方正小标宋简体" w:hAnsi="方正小标宋简体" w:eastAsia="方正小标宋简体" w:cs="方正小标宋简体"/>
          <w:w w:val="93"/>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Chars="0"/>
        <w:jc w:val="center"/>
        <w:textAlignment w:val="auto"/>
        <w:rPr>
          <w:rFonts w:hint="eastAsia" w:ascii="方正小标宋简体" w:hAnsi="方正小标宋简体" w:eastAsia="方正小标宋简体" w:cs="方正小标宋简体"/>
          <w:w w:val="93"/>
          <w:sz w:val="44"/>
          <w:szCs w:val="44"/>
        </w:rPr>
      </w:pPr>
      <w:r>
        <w:rPr>
          <w:rFonts w:hint="eastAsia" w:ascii="方正小标宋简体" w:hAnsi="方正小标宋简体" w:eastAsia="方正小标宋简体" w:cs="方正小标宋简体"/>
          <w:w w:val="93"/>
          <w:sz w:val="44"/>
          <w:szCs w:val="44"/>
        </w:rPr>
        <w:t>关于《</w:t>
      </w:r>
      <w:r>
        <w:rPr>
          <w:rFonts w:hint="eastAsia" w:ascii="方正小标宋简体" w:hAnsi="方正小标宋简体" w:eastAsia="方正小标宋简体" w:cs="方正小标宋简体"/>
          <w:w w:val="93"/>
          <w:sz w:val="44"/>
          <w:szCs w:val="44"/>
          <w:lang w:eastAsia="zh-CN"/>
        </w:rPr>
        <w:t>深圳市</w:t>
      </w:r>
      <w:r>
        <w:rPr>
          <w:rFonts w:hint="eastAsia" w:ascii="方正小标宋简体" w:hAnsi="方正小标宋简体" w:eastAsia="方正小标宋简体" w:cs="方正小标宋简体"/>
          <w:w w:val="93"/>
          <w:sz w:val="44"/>
          <w:szCs w:val="44"/>
        </w:rPr>
        <w:t>深汕</w:t>
      </w:r>
      <w:r>
        <w:rPr>
          <w:rFonts w:hint="eastAsia" w:ascii="方正小标宋简体" w:hAnsi="方正小标宋简体" w:eastAsia="方正小标宋简体" w:cs="方正小标宋简体"/>
          <w:w w:val="93"/>
          <w:sz w:val="44"/>
          <w:szCs w:val="44"/>
          <w:lang w:val="en-US" w:eastAsia="zh-CN"/>
        </w:rPr>
        <w:t>特别</w:t>
      </w:r>
      <w:r>
        <w:rPr>
          <w:rFonts w:hint="eastAsia" w:ascii="方正小标宋简体" w:hAnsi="方正小标宋简体" w:eastAsia="方正小标宋简体" w:cs="方正小标宋简体"/>
          <w:w w:val="93"/>
          <w:sz w:val="44"/>
          <w:szCs w:val="44"/>
        </w:rPr>
        <w:t>合作区</w:t>
      </w:r>
      <w:r>
        <w:rPr>
          <w:rFonts w:hint="eastAsia" w:ascii="方正小标宋简体" w:hAnsi="方正小标宋简体" w:eastAsia="方正小标宋简体" w:cs="方正小标宋简体"/>
          <w:w w:val="93"/>
          <w:sz w:val="44"/>
          <w:szCs w:val="44"/>
          <w:lang w:val="en-US" w:eastAsia="zh-CN"/>
        </w:rPr>
        <w:t>推进</w:t>
      </w:r>
      <w:r>
        <w:rPr>
          <w:rFonts w:hint="eastAsia" w:ascii="方正小标宋简体" w:hAnsi="方正小标宋简体" w:eastAsia="方正小标宋简体" w:cs="方正小标宋简体"/>
          <w:w w:val="93"/>
          <w:sz w:val="44"/>
          <w:szCs w:val="44"/>
          <w:lang w:eastAsia="zh-CN"/>
        </w:rPr>
        <w:t>绿色建筑和装配式建筑</w:t>
      </w:r>
      <w:r>
        <w:rPr>
          <w:rFonts w:hint="eastAsia" w:ascii="方正小标宋简体" w:hAnsi="宋体" w:eastAsia="方正小标宋简体"/>
          <w:sz w:val="44"/>
          <w:szCs w:val="44"/>
          <w:lang w:val="en-US" w:eastAsia="zh-CN"/>
        </w:rPr>
        <w:t>发展实施细则</w:t>
      </w:r>
      <w:r>
        <w:rPr>
          <w:rFonts w:hint="eastAsia" w:ascii="方正小标宋简体" w:hAnsi="方正小标宋简体" w:eastAsia="方正小标宋简体" w:cs="方正小标宋简体"/>
          <w:w w:val="93"/>
          <w:sz w:val="44"/>
          <w:szCs w:val="44"/>
        </w:rPr>
        <w:t>》的</w:t>
      </w:r>
      <w:r>
        <w:rPr>
          <w:rFonts w:hint="eastAsia" w:ascii="方正小标宋简体" w:hAnsi="方正小标宋简体" w:eastAsia="方正小标宋简体" w:cs="方正小标宋简体"/>
          <w:w w:val="93"/>
          <w:sz w:val="44"/>
          <w:szCs w:val="44"/>
          <w:lang w:eastAsia="zh-CN"/>
        </w:rPr>
        <w:t>修订</w:t>
      </w:r>
      <w:r>
        <w:rPr>
          <w:rFonts w:hint="eastAsia" w:ascii="方正小标宋简体" w:hAnsi="方正小标宋简体" w:eastAsia="方正小标宋简体" w:cs="方正小标宋简体"/>
          <w:w w:val="93"/>
          <w:sz w:val="44"/>
          <w:szCs w:val="44"/>
        </w:rPr>
        <w:t>说明</w:t>
      </w:r>
    </w:p>
    <w:p>
      <w:pPr>
        <w:keepNext w:val="0"/>
        <w:keepLines w:val="0"/>
        <w:pageBreakBefore w:val="0"/>
        <w:widowControl w:val="0"/>
        <w:kinsoku/>
        <w:wordWrap/>
        <w:overflowPunct/>
        <w:topLinePunct w:val="0"/>
        <w:autoSpaceDE/>
        <w:autoSpaceDN/>
        <w:bidi w:val="0"/>
        <w:adjustRightInd/>
        <w:spacing w:line="560" w:lineRule="exact"/>
        <w:ind w:leftChars="0"/>
        <w:jc w:val="center"/>
        <w:textAlignment w:val="auto"/>
        <w:rPr>
          <w:b/>
          <w:bCs/>
          <w:sz w:val="44"/>
          <w:szCs w:val="44"/>
        </w:rPr>
      </w:pP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一、修订原因</w:t>
      </w:r>
    </w:p>
    <w:p>
      <w:pPr>
        <w:keepNext w:val="0"/>
        <w:keepLines w:val="0"/>
        <w:pageBreakBefore w:val="0"/>
        <w:widowControl w:val="0"/>
        <w:kinsoku/>
        <w:wordWrap/>
        <w:overflowPunct/>
        <w:topLinePunct w:val="0"/>
        <w:autoSpaceDE/>
        <w:autoSpaceDN/>
        <w:bidi w:val="0"/>
        <w:adjustRightInd/>
        <w:spacing w:line="560" w:lineRule="exact"/>
        <w:ind w:leftChars="0"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一是绿色建筑相关政策调整</w:t>
      </w:r>
      <w:r>
        <w:rPr>
          <w:rFonts w:hint="eastAsia" w:ascii="仿宋_GB2312" w:eastAsia="仿宋_GB2312"/>
          <w:sz w:val="32"/>
          <w:szCs w:val="32"/>
          <w:lang w:val="en-US" w:eastAsia="zh-CN"/>
        </w:rPr>
        <w:t>，深圳市人民代表大会常务委员会于2022年3月28日公布了《深圳经济特区绿色建筑条例》，并于2022年7月1日起施行。《深圳经济特区绿色建筑条例》对深圳经济特区范围内的绿色建筑实施标准提出了更高的要求，将工业建筑和民用建筑一并纳入实施绿色建筑范围，但《深圳经济特区绿色建筑条例》适用范围不包含我区。</w:t>
      </w:r>
    </w:p>
    <w:p>
      <w:pPr>
        <w:keepNext w:val="0"/>
        <w:keepLines w:val="0"/>
        <w:pageBreakBefore w:val="0"/>
        <w:widowControl w:val="0"/>
        <w:kinsoku/>
        <w:wordWrap/>
        <w:overflowPunct/>
        <w:topLinePunct w:val="0"/>
        <w:autoSpaceDE/>
        <w:autoSpaceDN/>
        <w:bidi w:val="0"/>
        <w:adjustRightInd/>
        <w:spacing w:line="560" w:lineRule="exact"/>
        <w:ind w:leftChars="0" w:firstLine="642"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lang w:val="en-US" w:eastAsia="zh-CN"/>
        </w:rPr>
        <w:t>二是装配式建筑相关政策调整</w:t>
      </w:r>
      <w:r>
        <w:rPr>
          <w:rFonts w:hint="eastAsia" w:ascii="仿宋_GB2312" w:eastAsia="仿宋_GB2312"/>
          <w:sz w:val="32"/>
          <w:szCs w:val="32"/>
          <w:lang w:val="en-US" w:eastAsia="zh-CN"/>
        </w:rPr>
        <w:t>，深圳市住房和建设局依据《深圳经济特区绿色建筑条例》中关于发展装配式技术的要求，于2022年10月28日印发《深圳市住房和建设局关于印发&lt;深圳市推进新型建筑工业化发展行动方案（2023-2025）&gt;的通知》，2022年12月21日印发《深圳市住房和建设局关于明确推进新型建筑工业化发展相关工作的通知》，对全市推进装配式建筑应用的要求更加严格。我区建设基础条件差、起步发展时间晚，推广装配式建筑应结合我区经济发展实际情况循序渐进进行推广，深圳标准与我区实际不匹配。</w:t>
      </w:r>
    </w:p>
    <w:p>
      <w:pPr>
        <w:keepNext w:val="0"/>
        <w:keepLines w:val="0"/>
        <w:pageBreakBefore w:val="0"/>
        <w:widowControl w:val="0"/>
        <w:kinsoku/>
        <w:wordWrap/>
        <w:overflowPunct/>
        <w:topLinePunct w:val="0"/>
        <w:autoSpaceDE/>
        <w:autoSpaceDN/>
        <w:bidi w:val="0"/>
        <w:adjustRightInd/>
        <w:spacing w:line="560" w:lineRule="exact"/>
        <w:ind w:leftChars="0"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三是对实施过程我区不适用的情况进行调整，</w:t>
      </w:r>
      <w:r>
        <w:rPr>
          <w:rFonts w:hint="eastAsia" w:ascii="仿宋_GB2312" w:eastAsia="仿宋_GB2312"/>
          <w:sz w:val="32"/>
          <w:szCs w:val="32"/>
          <w:lang w:val="en-US" w:eastAsia="zh-CN"/>
        </w:rPr>
        <w:t>《深圳市深汕特别合作区推进绿色建筑和装配式建筑发展实施细则》（以下简称“实施细则”）是根据《深圳经济特区建筑节能条例》《深圳市绿色建筑促进办法》等政策文件制定的，且经过在我区一年时间的试行，日常管理实践中逐渐反映出规定中存在一些不明确、无法操作执行、与其他政策性文件冲突以及不适用我区实际发展等问题，因此迫切需要对《实施细则》做进一步修订和完善。</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right="0" w:rightChars="0" w:firstLine="640" w:firstLineChars="200"/>
        <w:textAlignment w:val="auto"/>
        <w:rPr>
          <w:rFonts w:ascii="仿宋_GB2312" w:hAnsi="仿宋_GB2312" w:eastAsia="仿宋_GB2312" w:cs="仿宋_GB2312"/>
          <w:sz w:val="32"/>
          <w:szCs w:val="32"/>
          <w:highlight w:val="yellow"/>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实施细则</w:t>
      </w:r>
      <w:r>
        <w:rPr>
          <w:rFonts w:hint="eastAsia" w:ascii="仿宋_GB2312" w:hAnsi="宋体" w:eastAsia="仿宋_GB2312"/>
          <w:sz w:val="32"/>
          <w:szCs w:val="32"/>
          <w:highlight w:val="none"/>
        </w:rPr>
        <w:t>》共十</w:t>
      </w:r>
      <w:r>
        <w:rPr>
          <w:rFonts w:hint="eastAsia" w:ascii="仿宋_GB2312" w:hAnsi="宋体" w:eastAsia="仿宋_GB2312"/>
          <w:sz w:val="32"/>
          <w:szCs w:val="32"/>
          <w:highlight w:val="none"/>
          <w:lang w:eastAsia="zh-CN"/>
        </w:rPr>
        <w:t>七</w:t>
      </w:r>
      <w:r>
        <w:rPr>
          <w:rFonts w:hint="eastAsia" w:ascii="仿宋_GB2312" w:hAnsi="宋体" w:eastAsia="仿宋_GB2312"/>
          <w:sz w:val="32"/>
          <w:szCs w:val="32"/>
          <w:highlight w:val="none"/>
        </w:rPr>
        <w:t>条，主要</w:t>
      </w:r>
      <w:r>
        <w:rPr>
          <w:rFonts w:hint="eastAsia" w:ascii="仿宋_GB2312" w:hAnsi="宋体" w:eastAsia="仿宋_GB2312"/>
          <w:sz w:val="32"/>
          <w:szCs w:val="32"/>
          <w:highlight w:val="none"/>
          <w:lang w:eastAsia="zh-CN"/>
        </w:rPr>
        <w:t>对我</w:t>
      </w:r>
      <w:r>
        <w:rPr>
          <w:rFonts w:hint="eastAsia" w:ascii="仿宋_GB2312" w:hAnsi="宋体" w:eastAsia="仿宋_GB2312"/>
          <w:sz w:val="32"/>
          <w:szCs w:val="32"/>
          <w:highlight w:val="none"/>
        </w:rPr>
        <w:t>区</w:t>
      </w:r>
      <w:r>
        <w:rPr>
          <w:rFonts w:hint="eastAsia" w:ascii="仿宋_GB2312" w:eastAsia="仿宋_GB2312" w:cs="Times New Roman"/>
          <w:b w:val="0"/>
          <w:bCs w:val="0"/>
          <w:kern w:val="2"/>
          <w:sz w:val="32"/>
          <w:szCs w:val="32"/>
          <w:highlight w:val="none"/>
          <w:lang w:eastAsia="zh-CN"/>
        </w:rPr>
        <w:t>绿色建筑、装配式建筑、</w:t>
      </w:r>
      <w:r>
        <w:rPr>
          <w:rFonts w:hint="eastAsia" w:ascii="仿宋_GB2312" w:eastAsia="仿宋_GB2312"/>
          <w:sz w:val="32"/>
          <w:szCs w:val="32"/>
        </w:rPr>
        <w:t>建筑废弃物综合利用</w:t>
      </w:r>
      <w:r>
        <w:rPr>
          <w:rFonts w:hint="eastAsia" w:ascii="仿宋_GB2312" w:eastAsia="仿宋_GB2312"/>
          <w:sz w:val="32"/>
          <w:szCs w:val="32"/>
          <w:lang w:eastAsia="zh-CN"/>
        </w:rPr>
        <w:t>三方面的开展</w:t>
      </w:r>
      <w:r>
        <w:rPr>
          <w:rFonts w:hint="eastAsia" w:ascii="仿宋_GB2312" w:hAnsi="宋体" w:eastAsia="仿宋_GB2312"/>
          <w:sz w:val="32"/>
          <w:szCs w:val="32"/>
          <w:highlight w:val="none"/>
          <w:lang w:eastAsia="zh-CN"/>
        </w:rPr>
        <w:t>促进</w:t>
      </w:r>
      <w:r>
        <w:rPr>
          <w:rFonts w:hint="eastAsia" w:ascii="仿宋_GB2312" w:eastAsia="仿宋_GB2312"/>
          <w:sz w:val="32"/>
          <w:szCs w:val="32"/>
          <w:lang w:eastAsia="zh-CN"/>
        </w:rPr>
        <w:t>工作</w:t>
      </w:r>
      <w:r>
        <w:rPr>
          <w:rFonts w:hint="eastAsia" w:ascii="仿宋_GB2312" w:hAnsi="宋体" w:eastAsia="仿宋_GB2312"/>
          <w:sz w:val="32"/>
          <w:szCs w:val="32"/>
          <w:highlight w:val="none"/>
        </w:rPr>
        <w:t>，重点从定义范畴、</w:t>
      </w:r>
      <w:r>
        <w:rPr>
          <w:rFonts w:hint="eastAsia" w:ascii="仿宋_GB2312" w:hAnsi="宋体" w:eastAsia="仿宋_GB2312"/>
          <w:sz w:val="32"/>
          <w:szCs w:val="32"/>
          <w:highlight w:val="none"/>
          <w:lang w:eastAsia="zh-CN"/>
        </w:rPr>
        <w:t>各阶段各单位</w:t>
      </w:r>
      <w:r>
        <w:rPr>
          <w:rFonts w:hint="eastAsia" w:ascii="仿宋_GB2312" w:hAnsi="宋体" w:eastAsia="仿宋_GB2312"/>
          <w:sz w:val="32"/>
          <w:szCs w:val="32"/>
          <w:highlight w:val="none"/>
        </w:rPr>
        <w:t>管理职责</w:t>
      </w:r>
      <w:r>
        <w:rPr>
          <w:rFonts w:hint="eastAsia" w:ascii="仿宋_GB2312" w:hAnsi="宋体" w:eastAsia="仿宋_GB2312"/>
          <w:sz w:val="32"/>
          <w:szCs w:val="32"/>
          <w:highlight w:val="none"/>
          <w:lang w:eastAsia="zh-CN"/>
        </w:rPr>
        <w:t>范畴</w:t>
      </w:r>
      <w:r>
        <w:rPr>
          <w:rFonts w:hint="eastAsia" w:ascii="仿宋_GB2312" w:hAnsi="宋体" w:eastAsia="仿宋_GB2312"/>
          <w:sz w:val="32"/>
          <w:szCs w:val="32"/>
          <w:highlight w:val="none"/>
        </w:rPr>
        <w:t>、绿色节能改造和建筑废弃物综合利用等方面，对</w:t>
      </w:r>
      <w:r>
        <w:rPr>
          <w:rFonts w:hint="eastAsia" w:ascii="仿宋_GB2312" w:hAnsi="宋体" w:eastAsia="仿宋_GB2312"/>
          <w:sz w:val="32"/>
          <w:szCs w:val="32"/>
          <w:highlight w:val="none"/>
          <w:lang w:eastAsia="zh-CN"/>
        </w:rPr>
        <w:t>相关</w:t>
      </w:r>
      <w:r>
        <w:rPr>
          <w:rFonts w:hint="eastAsia" w:ascii="仿宋_GB2312" w:hAnsi="宋体" w:eastAsia="仿宋_GB2312"/>
          <w:sz w:val="32"/>
          <w:szCs w:val="32"/>
          <w:highlight w:val="none"/>
          <w:lang w:val="en-US" w:eastAsia="zh-CN"/>
        </w:rPr>
        <w:t>单位</w:t>
      </w:r>
      <w:r>
        <w:rPr>
          <w:rFonts w:hint="eastAsia" w:ascii="仿宋_GB2312" w:hAnsi="宋体" w:eastAsia="仿宋_GB2312"/>
          <w:sz w:val="32"/>
          <w:szCs w:val="32"/>
          <w:highlight w:val="none"/>
          <w:lang w:eastAsia="zh-CN"/>
        </w:rPr>
        <w:t>工作</w:t>
      </w:r>
      <w:r>
        <w:rPr>
          <w:rFonts w:hint="eastAsia" w:ascii="仿宋_GB2312" w:hAnsi="宋体" w:eastAsia="仿宋_GB2312"/>
          <w:sz w:val="32"/>
          <w:szCs w:val="32"/>
          <w:highlight w:val="none"/>
          <w:lang w:val="en-US" w:eastAsia="zh-CN"/>
        </w:rPr>
        <w:t>内容</w:t>
      </w:r>
      <w:r>
        <w:rPr>
          <w:rFonts w:hint="eastAsia" w:ascii="仿宋_GB2312" w:hAnsi="宋体" w:eastAsia="仿宋_GB2312"/>
          <w:sz w:val="32"/>
          <w:szCs w:val="32"/>
          <w:highlight w:val="none"/>
        </w:rPr>
        <w:t>予以明确。</w:t>
      </w:r>
      <w:r>
        <w:rPr>
          <w:rFonts w:hint="eastAsia" w:ascii="仿宋_GB2312" w:hAnsi="仿宋_GB2312" w:eastAsia="仿宋_GB2312" w:cs="仿宋_GB2312"/>
          <w:sz w:val="32"/>
          <w:szCs w:val="32"/>
          <w:highlight w:val="none"/>
        </w:rPr>
        <w:t>主要内容如下：</w:t>
      </w:r>
    </w:p>
    <w:p>
      <w:pPr>
        <w:keepNext w:val="0"/>
        <w:keepLines w:val="0"/>
        <w:pageBreakBefore w:val="0"/>
        <w:widowControl w:val="0"/>
        <w:kinsoku/>
        <w:wordWrap/>
        <w:overflowPunct/>
        <w:topLinePunct w:val="0"/>
        <w:autoSpaceDE/>
        <w:autoSpaceDN/>
        <w:bidi w:val="0"/>
        <w:adjustRightInd/>
        <w:spacing w:line="560" w:lineRule="exact"/>
        <w:ind w:leftChars="0" w:firstLine="640"/>
        <w:textAlignment w:val="auto"/>
        <w:rPr>
          <w:rFonts w:ascii="楷体_GB2312" w:hAnsi="宋体" w:eastAsia="楷体_GB2312"/>
          <w:sz w:val="32"/>
          <w:szCs w:val="32"/>
          <w:highlight w:val="none"/>
        </w:rPr>
      </w:pPr>
      <w:r>
        <w:rPr>
          <w:rFonts w:hint="eastAsia" w:ascii="楷体_GB2312" w:hAnsi="宋体" w:eastAsia="楷体_GB2312"/>
          <w:sz w:val="32"/>
          <w:szCs w:val="32"/>
          <w:highlight w:val="none"/>
        </w:rPr>
        <w:t>（一）规范定义范畴</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eastAsia" w:ascii="仿宋_GB2312" w:eastAsia="仿宋_GB2312"/>
          <w:sz w:val="32"/>
          <w:szCs w:val="32"/>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实施细则</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第一至三条为规范定义范畴，主要内容为定义绿色建筑、装配式建筑、</w:t>
      </w:r>
      <w:r>
        <w:rPr>
          <w:rFonts w:hint="eastAsia" w:ascii="仿宋_GB2312" w:eastAsia="仿宋_GB2312"/>
          <w:sz w:val="32"/>
          <w:szCs w:val="32"/>
        </w:rPr>
        <w:t>建筑废弃物综合利用</w:t>
      </w:r>
      <w:r>
        <w:rPr>
          <w:rFonts w:hint="eastAsia" w:ascii="仿宋_GB2312" w:eastAsia="仿宋_GB2312"/>
          <w:sz w:val="32"/>
          <w:szCs w:val="32"/>
          <w:lang w:eastAsia="zh-CN"/>
        </w:rPr>
        <w:t>以及新建建筑范畴等。</w:t>
      </w:r>
    </w:p>
    <w:p>
      <w:pPr>
        <w:keepNext w:val="0"/>
        <w:keepLines w:val="0"/>
        <w:pageBreakBefore w:val="0"/>
        <w:widowControl w:val="0"/>
        <w:kinsoku/>
        <w:wordWrap/>
        <w:overflowPunct/>
        <w:topLinePunct w:val="0"/>
        <w:autoSpaceDE/>
        <w:autoSpaceDN/>
        <w:bidi w:val="0"/>
        <w:adjustRightInd/>
        <w:spacing w:line="560" w:lineRule="exact"/>
        <w:ind w:leftChars="0" w:firstLine="640"/>
        <w:textAlignment w:val="auto"/>
        <w:rPr>
          <w:rFonts w:ascii="楷体_GB2312" w:hAnsi="宋体" w:eastAsia="楷体_GB2312"/>
          <w:sz w:val="32"/>
          <w:szCs w:val="32"/>
          <w:highlight w:val="none"/>
        </w:rPr>
      </w:pPr>
      <w:r>
        <w:rPr>
          <w:rFonts w:hint="eastAsia" w:ascii="楷体_GB2312" w:hAnsi="宋体" w:eastAsia="楷体_GB2312"/>
          <w:sz w:val="32"/>
          <w:szCs w:val="32"/>
          <w:highlight w:val="none"/>
        </w:rPr>
        <w:t>（二）</w:t>
      </w:r>
      <w:r>
        <w:rPr>
          <w:rFonts w:hint="eastAsia" w:ascii="楷体_GB2312" w:hAnsi="宋体" w:eastAsia="楷体_GB2312"/>
          <w:sz w:val="32"/>
          <w:szCs w:val="32"/>
          <w:highlight w:val="none"/>
          <w:lang w:eastAsia="zh-CN"/>
        </w:rPr>
        <w:t>促进绿色建筑标准</w:t>
      </w:r>
    </w:p>
    <w:p>
      <w:pPr>
        <w:keepNext w:val="0"/>
        <w:keepLines w:val="0"/>
        <w:pageBreakBefore w:val="0"/>
        <w:widowControl w:val="0"/>
        <w:kinsoku/>
        <w:wordWrap/>
        <w:overflowPunct/>
        <w:topLinePunct w:val="0"/>
        <w:autoSpaceDE/>
        <w:autoSpaceDN/>
        <w:bidi w:val="0"/>
        <w:adjustRightInd/>
        <w:snapToGrid/>
        <w:spacing w:line="560" w:lineRule="exact"/>
        <w:ind w:leftChars="0" w:firstLine="643"/>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实施细则</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第四条明确</w:t>
      </w:r>
      <w:r>
        <w:rPr>
          <w:rFonts w:hint="eastAsia" w:ascii="仿宋_GB2312" w:eastAsia="仿宋_GB2312"/>
          <w:color w:val="000000"/>
          <w:sz w:val="32"/>
          <w:szCs w:val="32"/>
          <w:lang w:eastAsia="zh-CN"/>
        </w:rPr>
        <w:t>我区新建建筑实施绿色建筑、装配式建筑的范围及标准</w:t>
      </w:r>
      <w:r>
        <w:rPr>
          <w:rFonts w:hint="eastAsia" w:ascii="仿宋_GB2312" w:eastAsia="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leftChars="0" w:firstLine="640"/>
        <w:textAlignment w:val="auto"/>
        <w:rPr>
          <w:rFonts w:hint="eastAsia" w:ascii="楷体_GB2312" w:hAnsi="宋体" w:eastAsia="楷体_GB2312"/>
          <w:sz w:val="32"/>
          <w:szCs w:val="32"/>
          <w:highlight w:val="none"/>
          <w:lang w:eastAsia="zh-CN"/>
        </w:rPr>
      </w:pPr>
      <w:r>
        <w:rPr>
          <w:rFonts w:hint="eastAsia" w:ascii="楷体_GB2312" w:hAnsi="宋体" w:eastAsia="楷体_GB2312"/>
          <w:sz w:val="32"/>
          <w:szCs w:val="32"/>
          <w:highlight w:val="none"/>
        </w:rPr>
        <w:t>（</w:t>
      </w:r>
      <w:r>
        <w:rPr>
          <w:rFonts w:hint="eastAsia" w:ascii="楷体_GB2312" w:hAnsi="宋体" w:eastAsia="楷体_GB2312"/>
          <w:sz w:val="32"/>
          <w:szCs w:val="32"/>
          <w:highlight w:val="none"/>
          <w:lang w:val="en-US" w:eastAsia="zh-CN"/>
        </w:rPr>
        <w:t>三</w:t>
      </w:r>
      <w:r>
        <w:rPr>
          <w:rFonts w:hint="eastAsia" w:ascii="楷体_GB2312" w:hAnsi="宋体" w:eastAsia="楷体_GB2312"/>
          <w:sz w:val="32"/>
          <w:szCs w:val="32"/>
          <w:highlight w:val="none"/>
        </w:rPr>
        <w:t>）绿色节能改造和建筑废弃物综合利用</w:t>
      </w:r>
    </w:p>
    <w:p>
      <w:pPr>
        <w:keepNext w:val="0"/>
        <w:keepLines w:val="0"/>
        <w:pageBreakBefore w:val="0"/>
        <w:widowControl w:val="0"/>
        <w:kinsoku/>
        <w:wordWrap/>
        <w:overflowPunct/>
        <w:topLinePunct w:val="0"/>
        <w:autoSpaceDE/>
        <w:autoSpaceDN/>
        <w:bidi w:val="0"/>
        <w:adjustRightInd/>
        <w:spacing w:line="560" w:lineRule="exact"/>
        <w:ind w:leftChars="0" w:firstLine="643"/>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实施细则</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第五至七条明确要求</w:t>
      </w:r>
      <w:r>
        <w:rPr>
          <w:rFonts w:hint="eastAsia" w:ascii="仿宋_GB2312" w:eastAsia="仿宋_GB2312"/>
          <w:color w:val="000000"/>
          <w:sz w:val="32"/>
          <w:szCs w:val="32"/>
        </w:rPr>
        <w:t>用能水平在市建设行政主管部门发布的能耗限额标准以上的既有大型公共建筑和机关事业单位办公建筑，应当进行节能改造</w:t>
      </w:r>
      <w:r>
        <w:rPr>
          <w:rFonts w:hint="eastAsia" w:ascii="仿宋_GB2312" w:eastAsia="仿宋_GB2312"/>
          <w:color w:val="000000"/>
          <w:sz w:val="32"/>
          <w:szCs w:val="32"/>
          <w:lang w:val="en-US" w:eastAsia="zh-CN"/>
        </w:rPr>
        <w:t>和</w:t>
      </w:r>
      <w:r>
        <w:rPr>
          <w:rFonts w:hint="eastAsia" w:ascii="仿宋_GB2312" w:eastAsia="仿宋_GB2312"/>
          <w:color w:val="000000"/>
          <w:sz w:val="32"/>
          <w:szCs w:val="32"/>
        </w:rPr>
        <w:t>绿色改造。</w:t>
      </w:r>
      <w:r>
        <w:rPr>
          <w:rFonts w:hint="eastAsia" w:ascii="仿宋_GB2312" w:eastAsia="仿宋_GB2312"/>
          <w:color w:val="000000"/>
          <w:sz w:val="32"/>
          <w:szCs w:val="32"/>
          <w:lang w:val="en-US" w:eastAsia="zh-CN"/>
        </w:rPr>
        <w:t>鼓励我区开展建筑废弃物综合利用，实现我区</w:t>
      </w:r>
      <w:r>
        <w:rPr>
          <w:rFonts w:hint="eastAsia" w:ascii="仿宋_GB2312" w:eastAsia="仿宋_GB2312"/>
          <w:color w:val="000000"/>
          <w:sz w:val="32"/>
          <w:szCs w:val="32"/>
        </w:rPr>
        <w:t>建筑废弃物</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减排</w:t>
      </w:r>
      <w:r>
        <w:rPr>
          <w:rFonts w:hint="eastAsia" w:ascii="仿宋_GB2312" w:eastAsia="仿宋_GB2312"/>
          <w:color w:val="000000"/>
          <w:sz w:val="32"/>
          <w:szCs w:val="32"/>
          <w:lang w:val="en-US" w:eastAsia="zh-CN"/>
        </w:rPr>
        <w:t>化、资源化、无害化处置。</w:t>
      </w:r>
    </w:p>
    <w:p>
      <w:pPr>
        <w:keepNext w:val="0"/>
        <w:keepLines w:val="0"/>
        <w:pageBreakBefore w:val="0"/>
        <w:widowControl w:val="0"/>
        <w:kinsoku/>
        <w:wordWrap/>
        <w:overflowPunct/>
        <w:topLinePunct w:val="0"/>
        <w:autoSpaceDE/>
        <w:autoSpaceDN/>
        <w:bidi w:val="0"/>
        <w:adjustRightInd/>
        <w:spacing w:line="560" w:lineRule="exact"/>
        <w:ind w:leftChars="0" w:firstLine="640"/>
        <w:textAlignment w:val="auto"/>
        <w:rPr>
          <w:rFonts w:ascii="楷体_GB2312" w:hAnsi="宋体" w:eastAsia="楷体_GB2312"/>
          <w:sz w:val="32"/>
          <w:szCs w:val="32"/>
          <w:highlight w:val="yellow"/>
        </w:rPr>
      </w:pPr>
      <w:r>
        <w:rPr>
          <w:rFonts w:hint="eastAsia" w:ascii="楷体_GB2312" w:hAnsi="宋体" w:eastAsia="楷体_GB2312"/>
          <w:sz w:val="32"/>
          <w:szCs w:val="32"/>
          <w:highlight w:val="none"/>
        </w:rPr>
        <w:t>（</w:t>
      </w:r>
      <w:r>
        <w:rPr>
          <w:rFonts w:hint="eastAsia" w:ascii="楷体_GB2312" w:hAnsi="宋体" w:eastAsia="楷体_GB2312"/>
          <w:sz w:val="32"/>
          <w:szCs w:val="32"/>
          <w:highlight w:val="none"/>
          <w:lang w:val="en-US" w:eastAsia="zh-CN"/>
        </w:rPr>
        <w:t>四</w:t>
      </w:r>
      <w:r>
        <w:rPr>
          <w:rFonts w:hint="eastAsia" w:ascii="楷体_GB2312" w:hAnsi="宋体" w:eastAsia="楷体_GB2312"/>
          <w:sz w:val="32"/>
          <w:szCs w:val="32"/>
          <w:highlight w:val="none"/>
        </w:rPr>
        <w:t>）明确</w:t>
      </w:r>
      <w:r>
        <w:rPr>
          <w:rFonts w:hint="eastAsia" w:ascii="楷体_GB2312" w:hAnsi="宋体" w:eastAsia="楷体_GB2312"/>
          <w:sz w:val="32"/>
          <w:szCs w:val="32"/>
          <w:highlight w:val="none"/>
          <w:lang w:eastAsia="zh-CN"/>
        </w:rPr>
        <w:t>各阶段各</w:t>
      </w:r>
      <w:r>
        <w:rPr>
          <w:rFonts w:hint="eastAsia" w:ascii="楷体_GB2312" w:hAnsi="宋体" w:eastAsia="楷体_GB2312"/>
          <w:sz w:val="32"/>
          <w:szCs w:val="32"/>
          <w:highlight w:val="none"/>
        </w:rPr>
        <w:t>行业主管部门的</w:t>
      </w:r>
      <w:r>
        <w:rPr>
          <w:rFonts w:hint="eastAsia" w:ascii="楷体_GB2312" w:hAnsi="宋体" w:eastAsia="楷体_GB2312"/>
          <w:sz w:val="32"/>
          <w:szCs w:val="32"/>
          <w:highlight w:val="none"/>
          <w:lang w:eastAsia="zh-CN"/>
        </w:rPr>
        <w:t>监督管理</w:t>
      </w:r>
      <w:r>
        <w:rPr>
          <w:rFonts w:hint="eastAsia" w:ascii="楷体_GB2312" w:hAnsi="宋体" w:eastAsia="楷体_GB2312"/>
          <w:sz w:val="32"/>
          <w:szCs w:val="32"/>
          <w:highlight w:val="none"/>
        </w:rPr>
        <w:t>职责</w:t>
      </w:r>
    </w:p>
    <w:p>
      <w:pPr>
        <w:keepNext w:val="0"/>
        <w:keepLines w:val="0"/>
        <w:pageBreakBefore w:val="0"/>
        <w:widowControl w:val="0"/>
        <w:kinsoku/>
        <w:wordWrap/>
        <w:overflowPunct/>
        <w:topLinePunct w:val="0"/>
        <w:autoSpaceDE/>
        <w:autoSpaceDN/>
        <w:bidi w:val="0"/>
        <w:adjustRightInd/>
        <w:spacing w:line="560" w:lineRule="exact"/>
        <w:ind w:leftChars="0" w:firstLine="643"/>
        <w:textAlignment w:val="auto"/>
        <w:rPr>
          <w:rFonts w:hint="eastAsia" w:ascii="仿宋_GB2312" w:eastAsia="仿宋_GB2312"/>
          <w:color w:val="000000"/>
          <w:sz w:val="32"/>
          <w:szCs w:val="32"/>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实施细则</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第八至十五条</w:t>
      </w:r>
      <w:r>
        <w:rPr>
          <w:rFonts w:hint="eastAsia" w:ascii="仿宋_GB2312" w:hAnsi="宋体" w:eastAsia="仿宋_GB2312"/>
          <w:sz w:val="32"/>
          <w:szCs w:val="32"/>
          <w:highlight w:val="none"/>
        </w:rPr>
        <w:t>主要对区各</w:t>
      </w:r>
      <w:r>
        <w:rPr>
          <w:rFonts w:hint="eastAsia" w:ascii="仿宋_GB2312" w:hAnsi="宋体" w:eastAsia="仿宋_GB2312"/>
          <w:sz w:val="32"/>
          <w:szCs w:val="32"/>
          <w:highlight w:val="none"/>
          <w:lang w:val="en-US" w:eastAsia="zh-CN"/>
        </w:rPr>
        <w:t>相关职能</w:t>
      </w:r>
      <w:r>
        <w:rPr>
          <w:rFonts w:hint="eastAsia" w:ascii="仿宋_GB2312" w:hAnsi="宋体" w:eastAsia="仿宋_GB2312"/>
          <w:sz w:val="32"/>
          <w:szCs w:val="32"/>
          <w:highlight w:val="none"/>
        </w:rPr>
        <w:t>部门</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项目各参建单位在推进绿色建筑及装配式建筑发展过程中的</w:t>
      </w:r>
      <w:r>
        <w:rPr>
          <w:rFonts w:hint="eastAsia" w:ascii="仿宋_GB2312" w:hAnsi="宋体" w:eastAsia="仿宋_GB2312"/>
          <w:sz w:val="32"/>
          <w:szCs w:val="32"/>
          <w:highlight w:val="none"/>
        </w:rPr>
        <w:t>职责分工</w:t>
      </w:r>
      <w:r>
        <w:rPr>
          <w:rFonts w:hint="eastAsia" w:ascii="仿宋_GB2312" w:hAnsi="宋体" w:eastAsia="仿宋_GB2312"/>
          <w:sz w:val="32"/>
          <w:szCs w:val="32"/>
          <w:highlight w:val="none"/>
          <w:lang w:val="en-US" w:eastAsia="zh-CN"/>
        </w:rPr>
        <w:t>进行了</w:t>
      </w:r>
      <w:r>
        <w:rPr>
          <w:rFonts w:hint="eastAsia" w:ascii="仿宋_GB2312" w:hAnsi="宋体" w:eastAsia="仿宋_GB2312"/>
          <w:sz w:val="32"/>
          <w:szCs w:val="32"/>
          <w:highlight w:val="none"/>
        </w:rPr>
        <w:t>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三、主要变化</w:t>
      </w:r>
    </w:p>
    <w:p>
      <w:pPr>
        <w:keepNext w:val="0"/>
        <w:keepLines w:val="0"/>
        <w:pageBreakBefore w:val="0"/>
        <w:widowControl w:val="0"/>
        <w:kinsoku/>
        <w:wordWrap/>
        <w:overflowPunct/>
        <w:topLinePunct w:val="0"/>
        <w:autoSpaceDE/>
        <w:autoSpaceDN/>
        <w:bidi w:val="0"/>
        <w:adjustRightInd/>
        <w:spacing w:line="560"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（一）对主要政策依据进行调整</w:t>
      </w:r>
    </w:p>
    <w:p>
      <w:pPr>
        <w:pStyle w:val="2"/>
        <w:keepNext w:val="0"/>
        <w:keepLines w:val="0"/>
        <w:pageBreakBefore w:val="0"/>
        <w:widowControl w:val="0"/>
        <w:kinsoku/>
        <w:wordWrap/>
        <w:overflowPunct/>
        <w:topLinePunct w:val="0"/>
        <w:autoSpaceDE/>
        <w:autoSpaceDN/>
        <w:bidi w:val="0"/>
        <w:adjustRightInd/>
        <w:spacing w:after="0" w:afterLines="0" w:line="560" w:lineRule="exact"/>
        <w:ind w:leftChars="0"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sz w:val="32"/>
          <w:szCs w:val="32"/>
          <w:lang w:eastAsia="zh-CN"/>
        </w:rPr>
        <w:t>因市人大法工委、市住房和建设局反馈</w:t>
      </w:r>
      <w:r>
        <w:rPr>
          <w:rFonts w:hint="eastAsia" w:ascii="仿宋_GB2312" w:eastAsia="仿宋_GB2312"/>
          <w:sz w:val="32"/>
          <w:szCs w:val="32"/>
        </w:rPr>
        <w:t>《深圳经济特区绿色建筑条例》</w:t>
      </w:r>
      <w:r>
        <w:rPr>
          <w:rFonts w:hint="eastAsia" w:ascii="仿宋_GB2312" w:eastAsia="仿宋_GB2312"/>
          <w:sz w:val="32"/>
          <w:szCs w:val="32"/>
          <w:lang w:eastAsia="zh-CN"/>
        </w:rPr>
        <w:t>适用范围不包含我区，故将主要政策依据调整为《广东省绿色建筑条例》《广东省绿色建筑创建行动实施方案（2021-2023）》《广东省人民政府办公厅关于大力发展装配式建筑的实施意见》和《广东省住房和城乡建设厅等部门关于加快新型建筑工业化发展的实施意见》</w:t>
      </w:r>
      <w:r>
        <w:rPr>
          <w:rFonts w:hint="eastAsia" w:ascii="仿宋_GB2312" w:eastAsia="仿宋_GB2312" w:cs="仿宋_GB2312"/>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pacing w:after="0" w:afterLines="0" w:line="560" w:lineRule="exact"/>
        <w:ind w:leftChars="0"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（二）对于实施范围和标准进行调整</w:t>
      </w:r>
    </w:p>
    <w:p>
      <w:pPr>
        <w:pStyle w:val="2"/>
        <w:keepNext w:val="0"/>
        <w:keepLines w:val="0"/>
        <w:pageBreakBefore w:val="0"/>
        <w:widowControl w:val="0"/>
        <w:kinsoku/>
        <w:wordWrap/>
        <w:overflowPunct/>
        <w:topLinePunct w:val="0"/>
        <w:autoSpaceDE/>
        <w:autoSpaceDN/>
        <w:bidi w:val="0"/>
        <w:adjustRightInd/>
        <w:spacing w:after="0" w:afterLines="0" w:line="560" w:lineRule="exact"/>
        <w:ind w:leftChars="0"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sz w:val="32"/>
          <w:szCs w:val="32"/>
        </w:rPr>
        <w:t>《深圳经济特区绿色建筑条例》</w:t>
      </w:r>
      <w:r>
        <w:rPr>
          <w:rFonts w:hint="eastAsia" w:ascii="仿宋_GB2312" w:eastAsia="仿宋_GB2312"/>
          <w:sz w:val="32"/>
          <w:szCs w:val="32"/>
          <w:lang w:eastAsia="zh-CN"/>
        </w:rPr>
        <w:t>出台后深圳市对于绿色建筑和装配式建筑的实施标准进一步提高，对我区而言标准过高，而</w:t>
      </w:r>
      <w:r>
        <w:rPr>
          <w:rFonts w:hint="eastAsia" w:ascii="仿宋_GB2312" w:eastAsia="仿宋_GB2312"/>
          <w:sz w:val="32"/>
          <w:szCs w:val="32"/>
        </w:rPr>
        <w:t>《深圳经济特区绿色建筑条例》</w:t>
      </w:r>
      <w:r>
        <w:rPr>
          <w:rFonts w:hint="eastAsia" w:ascii="仿宋_GB2312" w:eastAsia="仿宋_GB2312"/>
          <w:sz w:val="32"/>
          <w:szCs w:val="32"/>
          <w:lang w:eastAsia="zh-CN"/>
        </w:rPr>
        <w:t>适用范围又不包含我区，我区若参照执行存在一定法律风险，因此将我区绿色建筑和装配式建筑实施标准调整为广东省相关政策要求。</w:t>
      </w:r>
    </w:p>
    <w:p>
      <w:pPr>
        <w:pStyle w:val="2"/>
        <w:keepNext w:val="0"/>
        <w:keepLines w:val="0"/>
        <w:pageBreakBefore w:val="0"/>
        <w:widowControl w:val="0"/>
        <w:kinsoku/>
        <w:wordWrap/>
        <w:overflowPunct/>
        <w:topLinePunct w:val="0"/>
        <w:autoSpaceDE/>
        <w:autoSpaceDN/>
        <w:bidi w:val="0"/>
        <w:adjustRightInd/>
        <w:spacing w:after="0" w:afterLines="0" w:line="560" w:lineRule="exact"/>
        <w:ind w:leftChars="0" w:firstLine="642"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b/>
          <w:bCs/>
          <w:kern w:val="0"/>
          <w:sz w:val="32"/>
          <w:szCs w:val="32"/>
          <w:lang w:val="en-US" w:eastAsia="zh-CN"/>
        </w:rPr>
        <w:t>一是绿色建筑实施范围和标准。</w:t>
      </w:r>
      <w:r>
        <w:rPr>
          <w:rFonts w:hint="eastAsia" w:ascii="仿宋_GB2312" w:eastAsia="仿宋_GB2312" w:cs="仿宋_GB2312"/>
          <w:b w:val="0"/>
          <w:bCs w:val="0"/>
          <w:kern w:val="0"/>
          <w:sz w:val="32"/>
          <w:szCs w:val="32"/>
          <w:lang w:val="en-US" w:eastAsia="zh-CN"/>
        </w:rPr>
        <w:t>依据</w:t>
      </w:r>
      <w:r>
        <w:rPr>
          <w:rFonts w:hint="eastAsia" w:ascii="仿宋_GB2312" w:eastAsia="仿宋_GB2312"/>
          <w:sz w:val="32"/>
          <w:szCs w:val="32"/>
          <w:lang w:eastAsia="zh-CN"/>
        </w:rPr>
        <w:t>《广东省绿色建筑条例》将实施范围调整为“</w:t>
      </w:r>
      <w:r>
        <w:rPr>
          <w:rFonts w:hint="eastAsia" w:ascii="仿宋_GB2312" w:eastAsia="仿宋_GB2312"/>
          <w:color w:val="000000"/>
          <w:sz w:val="32"/>
          <w:szCs w:val="32"/>
          <w:highlight w:val="none"/>
        </w:rPr>
        <w:t>本行政区域内新取得建设工程规划许可证的</w:t>
      </w:r>
      <w:r>
        <w:rPr>
          <w:rFonts w:hint="eastAsia" w:ascii="仿宋_GB2312" w:eastAsia="仿宋_GB2312"/>
          <w:color w:val="000000"/>
          <w:sz w:val="32"/>
          <w:szCs w:val="32"/>
          <w:highlight w:val="none"/>
          <w:lang w:eastAsia="zh-CN"/>
        </w:rPr>
        <w:t>民用建筑</w:t>
      </w:r>
      <w:r>
        <w:rPr>
          <w:rFonts w:hint="eastAsia" w:ascii="仿宋_GB2312" w:eastAsia="仿宋_GB2312"/>
          <w:color w:val="000000"/>
          <w:sz w:val="32"/>
          <w:szCs w:val="32"/>
          <w:highlight w:val="none"/>
        </w:rPr>
        <w:t>项目</w:t>
      </w:r>
      <w:r>
        <w:rPr>
          <w:rFonts w:hint="eastAsia" w:ascii="仿宋_GB2312" w:eastAsia="仿宋_GB2312"/>
          <w:color w:val="000000"/>
          <w:sz w:val="32"/>
          <w:szCs w:val="32"/>
          <w:highlight w:val="none"/>
          <w:lang w:eastAsia="zh-CN"/>
        </w:rPr>
        <w:t>”。依据</w:t>
      </w:r>
      <w:r>
        <w:rPr>
          <w:rFonts w:hint="eastAsia" w:ascii="仿宋_GB2312" w:eastAsia="仿宋_GB2312"/>
          <w:sz w:val="32"/>
          <w:szCs w:val="32"/>
          <w:lang w:eastAsia="zh-CN"/>
        </w:rPr>
        <w:t>《广东省绿色建筑条例》和《住房和城乡建设部 应急管理部关于加强超高层建筑规划建设管理的通知》将</w:t>
      </w:r>
      <w:r>
        <w:rPr>
          <w:rFonts w:hint="eastAsia" w:ascii="仿宋_GB2312" w:eastAsia="仿宋_GB2312"/>
          <w:color w:val="000000"/>
          <w:sz w:val="32"/>
          <w:szCs w:val="32"/>
          <w:highlight w:val="none"/>
          <w:lang w:eastAsia="zh-CN"/>
        </w:rPr>
        <w:t>实施标准调整为“新建民用建筑应当按照绿色建筑标准进行建设；大型公共建筑和国家机关办公建筑、国有资金参与投资建设的其他公共建筑应当按照高于最低等级绿色建筑标准进行建设；新建超高层建筑的建设和运行不得低于绿色建筑三星级标准”</w:t>
      </w:r>
    </w:p>
    <w:p>
      <w:pPr>
        <w:pStyle w:val="2"/>
        <w:keepNext w:val="0"/>
        <w:keepLines w:val="0"/>
        <w:pageBreakBefore w:val="0"/>
        <w:widowControl w:val="0"/>
        <w:kinsoku/>
        <w:wordWrap/>
        <w:overflowPunct/>
        <w:topLinePunct w:val="0"/>
        <w:autoSpaceDE/>
        <w:autoSpaceDN/>
        <w:bidi w:val="0"/>
        <w:adjustRightInd/>
        <w:spacing w:after="0" w:afterLines="0" w:line="560" w:lineRule="exact"/>
        <w:ind w:leftChars="0" w:firstLine="642"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b/>
          <w:bCs/>
          <w:kern w:val="0"/>
          <w:sz w:val="32"/>
          <w:szCs w:val="32"/>
          <w:lang w:val="en-US" w:eastAsia="zh-CN"/>
        </w:rPr>
        <w:t>二是装配式建筑实施范围和标准。</w:t>
      </w:r>
      <w:r>
        <w:rPr>
          <w:rFonts w:hint="eastAsia" w:ascii="仿宋_GB2312" w:eastAsia="仿宋_GB2312" w:cs="仿宋_GB2312"/>
          <w:kern w:val="0"/>
          <w:sz w:val="32"/>
          <w:szCs w:val="32"/>
          <w:lang w:val="en-US" w:eastAsia="zh-CN"/>
        </w:rPr>
        <w:t>根据《广东省住房和城乡建设厅等部门关于加快新型建筑工业化发展的实施意见》设定的目标要求，结合我区实际参照《汕尾市装配式建筑专项规划（2019-2025年）》设定实施范围和实施标准。另为便于我区开展征拆工作，参照深圳市的相关做法，明确</w:t>
      </w:r>
      <w:r>
        <w:rPr>
          <w:rFonts w:hint="eastAsia" w:ascii="仿宋_GB2312" w:eastAsia="仿宋_GB2312"/>
          <w:color w:val="000000"/>
          <w:sz w:val="32"/>
          <w:szCs w:val="32"/>
          <w:highlight w:val="none"/>
          <w:lang w:val="en-US" w:eastAsia="zh-CN"/>
        </w:rPr>
        <w:t>实施装配式建筑技术的回迁房、安置区项目其全装修范围可只包括建筑的公共区域。</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（三）关于各单位职责方面</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根据《实施细则》一年来施行过程中实际遇到的问题以深圳市有关绿色建筑专项验收流程的调整，对区发改财政局、市规划和自然资源局深汕管理局、</w:t>
      </w:r>
      <w:bookmarkStart w:id="0" w:name="_GoBack"/>
      <w:bookmarkEnd w:id="0"/>
      <w:r>
        <w:rPr>
          <w:rFonts w:hint="eastAsia" w:ascii="仿宋_GB2312" w:eastAsia="仿宋_GB2312"/>
          <w:color w:val="000000"/>
          <w:sz w:val="32"/>
          <w:szCs w:val="32"/>
          <w:lang w:val="en-US" w:eastAsia="zh-CN"/>
        </w:rPr>
        <w:t>区建设工程质量安全监督站以及建设单位在推进绿色建筑应用过程中职责进行了相应修改。</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03DAA"/>
    <w:rsid w:val="00C91415"/>
    <w:rsid w:val="01512774"/>
    <w:rsid w:val="02D751AC"/>
    <w:rsid w:val="03C13061"/>
    <w:rsid w:val="042B572F"/>
    <w:rsid w:val="049F6531"/>
    <w:rsid w:val="060C0576"/>
    <w:rsid w:val="073B4515"/>
    <w:rsid w:val="079D012D"/>
    <w:rsid w:val="07BC0FA1"/>
    <w:rsid w:val="09D825A9"/>
    <w:rsid w:val="09DF4169"/>
    <w:rsid w:val="0B211FD8"/>
    <w:rsid w:val="0B496898"/>
    <w:rsid w:val="0B614937"/>
    <w:rsid w:val="0BCF2B63"/>
    <w:rsid w:val="0C300120"/>
    <w:rsid w:val="0CD96B27"/>
    <w:rsid w:val="0DA2708A"/>
    <w:rsid w:val="0E4E169F"/>
    <w:rsid w:val="10E0032B"/>
    <w:rsid w:val="11162524"/>
    <w:rsid w:val="115C6B89"/>
    <w:rsid w:val="12236735"/>
    <w:rsid w:val="1389752D"/>
    <w:rsid w:val="14275847"/>
    <w:rsid w:val="14385C68"/>
    <w:rsid w:val="145F6B2D"/>
    <w:rsid w:val="14CA1C37"/>
    <w:rsid w:val="153C3CCF"/>
    <w:rsid w:val="156E7A4B"/>
    <w:rsid w:val="16003DAA"/>
    <w:rsid w:val="16100383"/>
    <w:rsid w:val="163B2BFE"/>
    <w:rsid w:val="176A240B"/>
    <w:rsid w:val="178D19BC"/>
    <w:rsid w:val="180039E4"/>
    <w:rsid w:val="18583A96"/>
    <w:rsid w:val="186D7CFE"/>
    <w:rsid w:val="18C62D35"/>
    <w:rsid w:val="18D64416"/>
    <w:rsid w:val="1A371EB9"/>
    <w:rsid w:val="1D385686"/>
    <w:rsid w:val="1D4E2228"/>
    <w:rsid w:val="1E9A4ABC"/>
    <w:rsid w:val="1E9AC45A"/>
    <w:rsid w:val="1F84438C"/>
    <w:rsid w:val="1FCC0851"/>
    <w:rsid w:val="20811A44"/>
    <w:rsid w:val="208A22AB"/>
    <w:rsid w:val="20D045B9"/>
    <w:rsid w:val="20FD6FC0"/>
    <w:rsid w:val="21321ABE"/>
    <w:rsid w:val="222E7735"/>
    <w:rsid w:val="2432776E"/>
    <w:rsid w:val="24CD6490"/>
    <w:rsid w:val="258E39E5"/>
    <w:rsid w:val="261356A8"/>
    <w:rsid w:val="2743120A"/>
    <w:rsid w:val="28061A4B"/>
    <w:rsid w:val="28300CC4"/>
    <w:rsid w:val="290A6AE8"/>
    <w:rsid w:val="294452FF"/>
    <w:rsid w:val="2AF26D2A"/>
    <w:rsid w:val="2B683CC3"/>
    <w:rsid w:val="2CC91301"/>
    <w:rsid w:val="2CE53DB3"/>
    <w:rsid w:val="2F61554B"/>
    <w:rsid w:val="2F7A2D8F"/>
    <w:rsid w:val="2FFDFD56"/>
    <w:rsid w:val="337FFB6F"/>
    <w:rsid w:val="348E145F"/>
    <w:rsid w:val="34A052FB"/>
    <w:rsid w:val="34AE2F62"/>
    <w:rsid w:val="367F0D08"/>
    <w:rsid w:val="368E0A20"/>
    <w:rsid w:val="36A57A12"/>
    <w:rsid w:val="36CE4057"/>
    <w:rsid w:val="373B7AF8"/>
    <w:rsid w:val="3799073A"/>
    <w:rsid w:val="37FC5DF0"/>
    <w:rsid w:val="388F509E"/>
    <w:rsid w:val="393500A5"/>
    <w:rsid w:val="396F1814"/>
    <w:rsid w:val="39F5201D"/>
    <w:rsid w:val="3AFB1177"/>
    <w:rsid w:val="3AFBB4BA"/>
    <w:rsid w:val="3B872960"/>
    <w:rsid w:val="3BAD9DE1"/>
    <w:rsid w:val="3C4B3498"/>
    <w:rsid w:val="3C66750F"/>
    <w:rsid w:val="3EB7AC88"/>
    <w:rsid w:val="3ED74973"/>
    <w:rsid w:val="40956CC3"/>
    <w:rsid w:val="426A1595"/>
    <w:rsid w:val="42C106AD"/>
    <w:rsid w:val="432F08FB"/>
    <w:rsid w:val="43863751"/>
    <w:rsid w:val="4393665C"/>
    <w:rsid w:val="43A926F2"/>
    <w:rsid w:val="4631732B"/>
    <w:rsid w:val="46334CC5"/>
    <w:rsid w:val="46991B42"/>
    <w:rsid w:val="46F53403"/>
    <w:rsid w:val="483C6DD6"/>
    <w:rsid w:val="48710480"/>
    <w:rsid w:val="498D317F"/>
    <w:rsid w:val="4A435EA6"/>
    <w:rsid w:val="4B7D11F7"/>
    <w:rsid w:val="4B7F20A9"/>
    <w:rsid w:val="4BDB24E2"/>
    <w:rsid w:val="4C7F3596"/>
    <w:rsid w:val="4D7E2FC1"/>
    <w:rsid w:val="4D92308C"/>
    <w:rsid w:val="4DD47E60"/>
    <w:rsid w:val="4E983B4B"/>
    <w:rsid w:val="4F325871"/>
    <w:rsid w:val="50AC2B3A"/>
    <w:rsid w:val="51062F32"/>
    <w:rsid w:val="53C9028D"/>
    <w:rsid w:val="54F95CAD"/>
    <w:rsid w:val="55445E01"/>
    <w:rsid w:val="556D0909"/>
    <w:rsid w:val="559A14C8"/>
    <w:rsid w:val="564F2EB5"/>
    <w:rsid w:val="57474F0A"/>
    <w:rsid w:val="58600561"/>
    <w:rsid w:val="593C5DDC"/>
    <w:rsid w:val="59C653A6"/>
    <w:rsid w:val="5B9967C0"/>
    <w:rsid w:val="5BB839AC"/>
    <w:rsid w:val="5C1A23A2"/>
    <w:rsid w:val="5D4E5ADA"/>
    <w:rsid w:val="5DA93B59"/>
    <w:rsid w:val="5DC52775"/>
    <w:rsid w:val="5E36422F"/>
    <w:rsid w:val="5F2D4912"/>
    <w:rsid w:val="5F7634DA"/>
    <w:rsid w:val="5F7DB9B1"/>
    <w:rsid w:val="5FCD5128"/>
    <w:rsid w:val="5FFF43B7"/>
    <w:rsid w:val="6087163F"/>
    <w:rsid w:val="608B1F9B"/>
    <w:rsid w:val="60B72987"/>
    <w:rsid w:val="61043DB9"/>
    <w:rsid w:val="611A7542"/>
    <w:rsid w:val="62B97D7B"/>
    <w:rsid w:val="62D7105C"/>
    <w:rsid w:val="62EE25F8"/>
    <w:rsid w:val="636638E2"/>
    <w:rsid w:val="63FD0D1A"/>
    <w:rsid w:val="654C3137"/>
    <w:rsid w:val="65AA3D09"/>
    <w:rsid w:val="665A719A"/>
    <w:rsid w:val="669876A7"/>
    <w:rsid w:val="6754179B"/>
    <w:rsid w:val="68542C33"/>
    <w:rsid w:val="695707C3"/>
    <w:rsid w:val="6AB70DEA"/>
    <w:rsid w:val="6B0F4BAF"/>
    <w:rsid w:val="6B101C8B"/>
    <w:rsid w:val="6B3130C3"/>
    <w:rsid w:val="6B4D5203"/>
    <w:rsid w:val="6BBAACBF"/>
    <w:rsid w:val="6D190B8A"/>
    <w:rsid w:val="6D535020"/>
    <w:rsid w:val="6DBA4C9E"/>
    <w:rsid w:val="6DF25A22"/>
    <w:rsid w:val="6E7942B9"/>
    <w:rsid w:val="6E7F1E58"/>
    <w:rsid w:val="6F266631"/>
    <w:rsid w:val="6F776356"/>
    <w:rsid w:val="6FBB577F"/>
    <w:rsid w:val="6FE705E3"/>
    <w:rsid w:val="6FF8D841"/>
    <w:rsid w:val="701164BA"/>
    <w:rsid w:val="707BC733"/>
    <w:rsid w:val="716777E3"/>
    <w:rsid w:val="717A7814"/>
    <w:rsid w:val="71AC35A9"/>
    <w:rsid w:val="71DC0715"/>
    <w:rsid w:val="723F3F02"/>
    <w:rsid w:val="72E0270E"/>
    <w:rsid w:val="72E827A0"/>
    <w:rsid w:val="730E7AC2"/>
    <w:rsid w:val="73A12A11"/>
    <w:rsid w:val="73BFDB9E"/>
    <w:rsid w:val="73C82A0C"/>
    <w:rsid w:val="747014D9"/>
    <w:rsid w:val="75602BC1"/>
    <w:rsid w:val="75E9B2EC"/>
    <w:rsid w:val="76C514F7"/>
    <w:rsid w:val="76DB80BB"/>
    <w:rsid w:val="76F776BD"/>
    <w:rsid w:val="770D0FEA"/>
    <w:rsid w:val="77745416"/>
    <w:rsid w:val="77AF01AF"/>
    <w:rsid w:val="77D552D0"/>
    <w:rsid w:val="77FA6B4D"/>
    <w:rsid w:val="77FC4A4F"/>
    <w:rsid w:val="78434154"/>
    <w:rsid w:val="785479B0"/>
    <w:rsid w:val="78DF4ACE"/>
    <w:rsid w:val="79192363"/>
    <w:rsid w:val="79F3AB6C"/>
    <w:rsid w:val="7A893E80"/>
    <w:rsid w:val="7BFFE701"/>
    <w:rsid w:val="7CAEF34E"/>
    <w:rsid w:val="7CE15BCE"/>
    <w:rsid w:val="7D7A8898"/>
    <w:rsid w:val="7DFD7BCE"/>
    <w:rsid w:val="7EAC52F2"/>
    <w:rsid w:val="7EC37D02"/>
    <w:rsid w:val="7EF7D7D7"/>
    <w:rsid w:val="7F1602CF"/>
    <w:rsid w:val="7F62286D"/>
    <w:rsid w:val="7F7F533A"/>
    <w:rsid w:val="7F7FC032"/>
    <w:rsid w:val="7FADEE16"/>
    <w:rsid w:val="7FDE77FE"/>
    <w:rsid w:val="7FFD98FF"/>
    <w:rsid w:val="7FFFC923"/>
    <w:rsid w:val="9B5E0499"/>
    <w:rsid w:val="AEEBF1CE"/>
    <w:rsid w:val="AF5F971C"/>
    <w:rsid w:val="AFFBEC33"/>
    <w:rsid w:val="B77F4E75"/>
    <w:rsid w:val="B7FB6D34"/>
    <w:rsid w:val="B8D57508"/>
    <w:rsid w:val="BDCFA3C3"/>
    <w:rsid w:val="BDFCB211"/>
    <w:rsid w:val="BED513E1"/>
    <w:rsid w:val="C7BB7E1E"/>
    <w:rsid w:val="CBB70647"/>
    <w:rsid w:val="CC7F6092"/>
    <w:rsid w:val="D5DFDE19"/>
    <w:rsid w:val="D6FEE814"/>
    <w:rsid w:val="DA9B48C5"/>
    <w:rsid w:val="DF555120"/>
    <w:rsid w:val="DFEFCFDB"/>
    <w:rsid w:val="E9FF7676"/>
    <w:rsid w:val="EAFFE60D"/>
    <w:rsid w:val="EF6F4D58"/>
    <w:rsid w:val="EF9FF9DB"/>
    <w:rsid w:val="EFF30D94"/>
    <w:rsid w:val="EFF4C7BE"/>
    <w:rsid w:val="EFFF2E7A"/>
    <w:rsid w:val="F3FC423E"/>
    <w:rsid w:val="F65DEF66"/>
    <w:rsid w:val="F72FEB28"/>
    <w:rsid w:val="F8DBBB85"/>
    <w:rsid w:val="FD3DDC56"/>
    <w:rsid w:val="FDEF9191"/>
    <w:rsid w:val="FEFC58BF"/>
    <w:rsid w:val="FF4FFD1B"/>
    <w:rsid w:val="FF73156E"/>
    <w:rsid w:val="FF77CD43"/>
    <w:rsid w:val="FFBEE8D3"/>
    <w:rsid w:val="FFF7DA31"/>
    <w:rsid w:val="FFFF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qFormat/>
    <w:uiPriority w:val="0"/>
    <w:rPr>
      <w:color w:val="232323"/>
      <w:u w:val="none"/>
    </w:rPr>
  </w:style>
  <w:style w:type="character" w:styleId="11">
    <w:name w:val="Hyperlink"/>
    <w:basedOn w:val="9"/>
    <w:qFormat/>
    <w:uiPriority w:val="0"/>
    <w:rPr>
      <w:color w:val="232323"/>
      <w:u w:val="none"/>
    </w:rPr>
  </w:style>
  <w:style w:type="paragraph" w:customStyle="1" w:styleId="12">
    <w:name w:val="BZWFS"/>
    <w:link w:val="15"/>
    <w:qFormat/>
    <w:uiPriority w:val="0"/>
    <w:pPr>
      <w:widowControl w:val="0"/>
      <w:spacing w:line="560" w:lineRule="exact"/>
      <w:ind w:firstLine="640" w:firstLineChars="200"/>
      <w:jc w:val="both"/>
    </w:pPr>
    <w:rPr>
      <w:rFonts w:ascii="仿宋_GB2312" w:hAnsi="仿宋_GB2312" w:eastAsia="仿宋_GB2312" w:cs="Times New Roman"/>
      <w:sz w:val="32"/>
      <w:szCs w:val="32"/>
      <w:lang w:val="en-US" w:eastAsia="zh-CN" w:bidi="ar-SA"/>
    </w:rPr>
  </w:style>
  <w:style w:type="character" w:customStyle="1" w:styleId="13">
    <w:name w:val="BT02 Char"/>
    <w:link w:val="14"/>
    <w:qFormat/>
    <w:uiPriority w:val="0"/>
    <w:rPr>
      <w:rFonts w:ascii="楷体_GB2312" w:hAnsi="楷体_GB2312" w:eastAsia="楷体_GB2312"/>
      <w:b/>
      <w:sz w:val="32"/>
      <w:szCs w:val="32"/>
      <w:lang w:val="en-US" w:eastAsia="zh-CN" w:bidi="ar-SA"/>
    </w:rPr>
  </w:style>
  <w:style w:type="paragraph" w:customStyle="1" w:styleId="14">
    <w:name w:val="BT02"/>
    <w:next w:val="12"/>
    <w:link w:val="13"/>
    <w:qFormat/>
    <w:uiPriority w:val="0"/>
    <w:pPr>
      <w:widowControl w:val="0"/>
      <w:spacing w:line="560" w:lineRule="exact"/>
      <w:ind w:firstLine="880" w:firstLineChars="200"/>
      <w:jc w:val="both"/>
      <w:outlineLvl w:val="1"/>
    </w:pPr>
    <w:rPr>
      <w:rFonts w:ascii="楷体_GB2312" w:hAnsi="楷体_GB2312" w:eastAsia="楷体_GB2312" w:cs="Times New Roman"/>
      <w:b/>
      <w:sz w:val="32"/>
      <w:szCs w:val="32"/>
      <w:lang w:val="en-US" w:eastAsia="zh-CN" w:bidi="ar-SA"/>
    </w:rPr>
  </w:style>
  <w:style w:type="character" w:customStyle="1" w:styleId="15">
    <w:name w:val="BZWFS Char"/>
    <w:link w:val="12"/>
    <w:qFormat/>
    <w:uiPriority w:val="0"/>
    <w:rPr>
      <w:rFonts w:ascii="仿宋_GB2312" w:hAnsi="仿宋_GB2312" w:eastAsia="仿宋_GB2312"/>
      <w:sz w:val="32"/>
      <w:szCs w:val="32"/>
      <w:lang w:val="en-US" w:eastAsia="zh-CN" w:bidi="ar-SA"/>
    </w:rPr>
  </w:style>
  <w:style w:type="paragraph" w:customStyle="1" w:styleId="16">
    <w:name w:val="BT00"/>
    <w:qFormat/>
    <w:uiPriority w:val="0"/>
    <w:pPr>
      <w:widowControl w:val="0"/>
      <w:spacing w:line="336" w:lineRule="auto"/>
      <w:jc w:val="center"/>
    </w:pPr>
    <w:rPr>
      <w:rFonts w:ascii="宋体" w:hAnsi="宋体" w:eastAsia="宋体" w:cs="Times New Roman"/>
      <w:b/>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ssuper/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2018-11-11T16:51:00Z</dcterms:created>
  <dc:creator>高艳</dc:creator>
  <cp:lastModifiedBy>蔡德龙</cp:lastModifiedBy>
  <cp:lastPrinted>2020-12-10T23:13:00Z</cp:lastPrinted>
  <dcterms:modified xsi:type="dcterms:W3CDTF">2023-12-14T20:51:34Z</dcterms:modified>
  <dc:title>关于《福田区小散工程和零星作业安全生产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