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深圳市深汕特别合作区住房建设和水务局</w:t>
      </w:r>
      <w:r>
        <w:rPr>
          <w:rFonts w:hint="eastAsia" w:ascii="方正小标宋简体" w:hAnsi="方正小标宋简体" w:eastAsia="方正小标宋简体" w:cs="方正小标宋简体"/>
          <w:sz w:val="44"/>
          <w:szCs w:val="44"/>
          <w:lang w:val="en-US" w:eastAsia="zh-CN"/>
        </w:rPr>
        <w:t>2020年度</w:t>
      </w:r>
      <w:r>
        <w:rPr>
          <w:rFonts w:hint="eastAsia" w:ascii="方正小标宋简体" w:hAnsi="方正小标宋简体" w:eastAsia="方正小标宋简体" w:cs="方正小标宋简体"/>
          <w:sz w:val="44"/>
          <w:szCs w:val="44"/>
        </w:rPr>
        <w:t>部门整体绩效报告</w:t>
      </w:r>
    </w:p>
    <w:p>
      <w:pPr>
        <w:jc w:val="center"/>
        <w:rPr>
          <w:rFonts w:hint="eastAsia" w:ascii="方正小标宋简体" w:hAnsi="方正小标宋简体" w:eastAsia="方正小标宋简体" w:cs="方正小标宋简体"/>
          <w:sz w:val="44"/>
          <w:szCs w:val="44"/>
        </w:rPr>
      </w:pPr>
      <w:bookmarkStart w:id="3" w:name="_GoBack"/>
      <w:bookmarkEnd w:id="3"/>
    </w:p>
    <w:p>
      <w:pPr>
        <w:jc w:val="center"/>
        <w:rPr>
          <w:rFonts w:ascii="仿宋" w:hAnsi="仿宋" w:eastAsia="仿宋"/>
          <w:sz w:val="32"/>
          <w:szCs w:val="32"/>
        </w:rPr>
      </w:pPr>
    </w:p>
    <w:p>
      <w:pPr>
        <w:jc w:val="left"/>
        <w:rPr>
          <w:rFonts w:ascii="仿宋" w:hAnsi="仿宋" w:eastAsia="仿宋"/>
          <w:sz w:val="32"/>
          <w:szCs w:val="32"/>
        </w:rPr>
      </w:pPr>
    </w:p>
    <w:p>
      <w:pPr>
        <w:jc w:val="left"/>
        <w:rPr>
          <w:rFonts w:hint="eastAsia" w:ascii="仿宋_GB2312" w:hAnsi="仿宋_GB2312" w:eastAsia="仿宋_GB2312" w:cs="仿宋_GB2312"/>
          <w:sz w:val="32"/>
          <w:szCs w:val="32"/>
        </w:rPr>
      </w:pPr>
    </w:p>
    <w:p>
      <w:pPr>
        <w:ind w:left="1960" w:leftChars="400" w:hanging="1120" w:hangingChars="35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部门名称：深圳市深汕特别合作区住房建设和水务局</w:t>
      </w:r>
    </w:p>
    <w:p>
      <w:pPr>
        <w:ind w:left="1960" w:leftChars="400" w:hanging="1120" w:hangingChars="35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填报人：</w:t>
      </w:r>
      <w:r>
        <w:rPr>
          <w:rFonts w:hint="eastAsia" w:ascii="仿宋_GB2312" w:hAnsi="仿宋_GB2312" w:eastAsia="仿宋_GB2312" w:cs="仿宋_GB2312"/>
          <w:sz w:val="32"/>
          <w:szCs w:val="32"/>
          <w:lang w:val="en-US" w:eastAsia="zh-CN"/>
        </w:rPr>
        <w:t>高倞</w:t>
      </w:r>
    </w:p>
    <w:p>
      <w:pPr>
        <w:ind w:left="1960" w:leftChars="400" w:hanging="1120" w:hangingChars="35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lang w:val="en-US" w:eastAsia="zh-CN"/>
        </w:rPr>
        <w:t>0755-2210 1130</w:t>
      </w: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pStyle w:val="2"/>
        <w:rPr>
          <w:rFonts w:ascii="仿宋" w:hAnsi="仿宋" w:eastAsia="仿宋"/>
          <w:sz w:val="32"/>
          <w:szCs w:val="32"/>
        </w:rPr>
      </w:pPr>
    </w:p>
    <w:p>
      <w:pPr>
        <w:pStyle w:val="2"/>
        <w:rPr>
          <w:rFonts w:ascii="仿宋" w:hAnsi="仿宋" w:eastAsia="仿宋"/>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一、单位基本情况</w:t>
      </w:r>
    </w:p>
    <w:p>
      <w:pPr>
        <w:ind w:firstLine="640" w:firstLineChars="200"/>
        <w:jc w:val="left"/>
        <w:rPr>
          <w:rFonts w:ascii="楷体" w:hAnsi="楷体" w:eastAsia="楷体"/>
          <w:sz w:val="32"/>
          <w:szCs w:val="32"/>
        </w:rPr>
      </w:pPr>
      <w:r>
        <w:rPr>
          <w:rFonts w:hint="eastAsia" w:ascii="楷体" w:hAnsi="楷体" w:eastAsia="楷体"/>
          <w:sz w:val="32"/>
          <w:szCs w:val="32"/>
        </w:rPr>
        <w:t>（一）单位主要职能</w:t>
      </w:r>
    </w:p>
    <w:p>
      <w:pPr>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w:t>
      </w:r>
      <w:bookmarkStart w:id="0" w:name="_Hlk76393620"/>
      <w:r>
        <w:rPr>
          <w:rFonts w:hint="eastAsia" w:ascii="仿宋_GB2312" w:hAnsi="仿宋_GB2312" w:eastAsia="仿宋_GB2312" w:cs="仿宋_GB2312"/>
          <w:sz w:val="32"/>
          <w:szCs w:val="32"/>
        </w:rPr>
        <w:t>区党委工委、管委会</w:t>
      </w:r>
      <w:bookmarkEnd w:id="0"/>
      <w:r>
        <w:rPr>
          <w:rFonts w:hint="eastAsia" w:ascii="仿宋_GB2312" w:hAnsi="仿宋_GB2312" w:eastAsia="仿宋_GB2312" w:cs="仿宋_GB2312"/>
          <w:sz w:val="32"/>
          <w:szCs w:val="32"/>
        </w:rPr>
        <w:t>的坚强领导下，在上级部门的关心指导下，按照全区统一部署，</w:t>
      </w:r>
      <w:r>
        <w:rPr>
          <w:rFonts w:hint="eastAsia" w:ascii="仿宋_GB2312" w:hAnsi="宋体" w:eastAsia="仿宋_GB2312" w:cs="仿宋_GB2312"/>
          <w:sz w:val="32"/>
          <w:szCs w:val="32"/>
          <w:highlight w:val="none"/>
          <w:lang w:val="en-US" w:eastAsia="zh-CN"/>
        </w:rPr>
        <w:t>贯彻执行国家、省、市有关房地产市场、城市建设、工程建设、建筑业、建材业、燃气业、租赁、物业管理业、房屋使用安全及住房制度改革、保障性住房建设、建筑废弃物受纳、水务等法律法规和政策方针,拟订合作区住房建设、水务发展等相关规划，并经批准后实施；</w:t>
      </w:r>
      <w:r>
        <w:rPr>
          <w:rFonts w:hint="eastAsia" w:ascii="仿宋_GB2312" w:hAnsi="仿宋_GB2312" w:eastAsia="仿宋_GB2312" w:cs="仿宋_GB2312"/>
          <w:color w:val="auto"/>
          <w:sz w:val="32"/>
          <w:szCs w:val="32"/>
          <w:highlight w:val="none"/>
          <w:lang w:val="en-US" w:eastAsia="zh-CN"/>
        </w:rPr>
        <w:t>负责保障性住房和政策性住房的规划建设；负责房地产市场、房屋修缮、物业管理的监督管理；负责燃气行业、燃气安全的监督管理；承担地下综合管廊建设、管理等职责；负责人防工程从施工报建至竣工验收阶段的质量监督管理；承担建设工程消防设计审查验收职责；负责水资源和供水行业、水土保持工作和水库、河道、堤防、河口滩涂、滞洪区及其他水务设施、管理工作；</w:t>
      </w:r>
      <w:r>
        <w:rPr>
          <w:rFonts w:hint="eastAsia" w:ascii="仿宋_GB2312" w:hAnsi="宋体" w:eastAsia="仿宋_GB2312" w:cs="仿宋_GB2312"/>
          <w:sz w:val="32"/>
          <w:szCs w:val="32"/>
          <w:highlight w:val="none"/>
          <w:lang w:val="en-US" w:eastAsia="zh-CN"/>
        </w:rPr>
        <w:t>负责辖区“三防”具体业务；</w:t>
      </w:r>
      <w:r>
        <w:rPr>
          <w:rFonts w:hint="eastAsia" w:ascii="仿宋_GB2312" w:hAnsi="仿宋_GB2312" w:eastAsia="仿宋_GB2312" w:cs="仿宋_GB2312"/>
          <w:color w:val="auto"/>
          <w:sz w:val="32"/>
          <w:szCs w:val="32"/>
          <w:highlight w:val="none"/>
          <w:lang w:val="en-US" w:eastAsia="zh-CN"/>
        </w:rPr>
        <w:t>承办区党工委、管委会和上级部门交办的其他工作。</w:t>
      </w:r>
    </w:p>
    <w:p>
      <w:pPr>
        <w:ind w:firstLine="640" w:firstLineChars="200"/>
        <w:jc w:val="left"/>
        <w:rPr>
          <w:rFonts w:ascii="楷体" w:hAnsi="楷体" w:eastAsia="楷体"/>
          <w:sz w:val="32"/>
          <w:szCs w:val="32"/>
        </w:rPr>
      </w:pPr>
      <w:r>
        <w:rPr>
          <w:rFonts w:hint="eastAsia" w:ascii="楷体" w:hAnsi="楷体" w:eastAsia="楷体"/>
          <w:sz w:val="32"/>
          <w:szCs w:val="32"/>
        </w:rPr>
        <w:t>（二）年度总体工作和重点工作任务</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1.坚持住房定位属性，提升住有所居水平。一是全力维护房地产市场健康发展；二是积极推动完善住房保障体系；三是持续做好物业管理服务工作。 </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2.提速市政设施建设，构建新城发展格局。一是加快市政道路建设；二是完善燃气设施建设；三是推动工程配套建设。</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规范建筑市场秩序，持续优化营商环境。一是有序推进疫情下的复工复产；二是规范工程建设项目的审批；三是恨抓工程项目的安全监管；四是补齐乡村基层短板，助兴振兴战略实施；五是夯实水务工作基础，优化治水管水能力。</w:t>
      </w:r>
    </w:p>
    <w:p>
      <w:pPr>
        <w:ind w:firstLine="640" w:firstLineChars="200"/>
        <w:jc w:val="left"/>
        <w:rPr>
          <w:rFonts w:ascii="楷体" w:hAnsi="楷体" w:eastAsia="楷体"/>
          <w:sz w:val="32"/>
          <w:szCs w:val="32"/>
        </w:rPr>
      </w:pPr>
      <w:r>
        <w:rPr>
          <w:rFonts w:hint="eastAsia" w:ascii="楷体" w:hAnsi="楷体" w:eastAsia="楷体"/>
          <w:sz w:val="32"/>
          <w:szCs w:val="32"/>
        </w:rPr>
        <w:t>（三）2</w:t>
      </w:r>
      <w:r>
        <w:rPr>
          <w:rFonts w:ascii="楷体" w:hAnsi="楷体" w:eastAsia="楷体"/>
          <w:sz w:val="32"/>
          <w:szCs w:val="32"/>
        </w:rPr>
        <w:t>020</w:t>
      </w:r>
      <w:r>
        <w:rPr>
          <w:rFonts w:hint="eastAsia" w:ascii="楷体" w:hAnsi="楷体" w:eastAsia="楷体"/>
          <w:sz w:val="32"/>
          <w:szCs w:val="32"/>
        </w:rPr>
        <w:t>年单位整体预算编制情况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按照深汕特别合作区发展改革和财政局（以下简称“</w:t>
      </w:r>
      <w:r>
        <w:rPr>
          <w:rFonts w:hint="eastAsia" w:ascii="仿宋_GB2312" w:hAnsi="仿宋_GB2312" w:eastAsia="仿宋_GB2312" w:cs="仿宋_GB2312"/>
          <w:sz w:val="32"/>
          <w:szCs w:val="32"/>
          <w:lang w:eastAsia="zh-CN"/>
        </w:rPr>
        <w:t>区发改财政局</w:t>
      </w:r>
      <w:r>
        <w:rPr>
          <w:rFonts w:hint="eastAsia" w:ascii="仿宋_GB2312" w:hAnsi="仿宋_GB2312" w:eastAsia="仿宋_GB2312" w:cs="仿宋_GB2312"/>
          <w:sz w:val="32"/>
          <w:szCs w:val="32"/>
        </w:rPr>
        <w:t>”）2020年部门预算编报要求，深圳市深汕特别合作区住房建</w:t>
      </w:r>
      <w:r>
        <w:rPr>
          <w:rFonts w:hint="eastAsia" w:ascii="仿宋_GB2312" w:hAnsi="仿宋_GB2312" w:eastAsia="仿宋_GB2312" w:cs="仿宋_GB2312"/>
          <w:sz w:val="32"/>
          <w:szCs w:val="32"/>
          <w:lang w:val="en-US" w:eastAsia="zh-CN"/>
        </w:rPr>
        <w:t>设</w:t>
      </w:r>
      <w:r>
        <w:rPr>
          <w:rFonts w:hint="eastAsia" w:ascii="仿宋_GB2312" w:hAnsi="仿宋_GB2312" w:eastAsia="仿宋_GB2312" w:cs="仿宋_GB2312"/>
          <w:sz w:val="32"/>
          <w:szCs w:val="32"/>
        </w:rPr>
        <w:t>和水务局（以下简称“我局”）深刻理解预算指导思想，严格按照单位整体支出预算编制原则进行预算编制。我局2020年收入年初预算数为</w:t>
      </w:r>
      <w:r>
        <w:rPr>
          <w:rFonts w:hint="eastAsia" w:ascii="仿宋_GB2312" w:hAnsi="宋体" w:eastAsia="仿宋_GB2312" w:cs="仿宋_GB2312"/>
          <w:sz w:val="32"/>
          <w:szCs w:val="32"/>
          <w:highlight w:val="none"/>
          <w:lang w:val="en-US" w:eastAsia="zh-CN"/>
        </w:rPr>
        <w:t>5</w:t>
      </w:r>
      <w:r>
        <w:rPr>
          <w:rFonts w:hint="eastAsia"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val="en-US" w:eastAsia="zh-CN"/>
        </w:rPr>
        <w:t>148</w:t>
      </w:r>
      <w:r>
        <w:rPr>
          <w:rFonts w:hint="eastAsia"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val="en-US" w:eastAsia="zh-CN"/>
        </w:rPr>
        <w:t>93</w:t>
      </w:r>
      <w:r>
        <w:rPr>
          <w:rFonts w:hint="eastAsia" w:ascii="仿宋_GB2312" w:hAnsi="宋体" w:eastAsia="仿宋_GB2312" w:cs="仿宋_GB2312"/>
          <w:sz w:val="32"/>
          <w:szCs w:val="32"/>
          <w:highlight w:val="none"/>
        </w:rPr>
        <w:t xml:space="preserve"> 万元</w:t>
      </w:r>
      <w:r>
        <w:rPr>
          <w:rFonts w:hint="eastAsia" w:ascii="仿宋_GB2312" w:hAnsi="仿宋_GB2312" w:eastAsia="仿宋_GB2312" w:cs="仿宋_GB2312"/>
          <w:sz w:val="32"/>
          <w:szCs w:val="32"/>
        </w:rPr>
        <w:t>，收入调整预算数为305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875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万</w:t>
      </w:r>
      <w:r>
        <w:rPr>
          <w:rFonts w:hint="eastAsia" w:ascii="仿宋_GB2312" w:hAnsi="仿宋_GB2312" w:eastAsia="仿宋_GB2312" w:cs="仿宋_GB2312"/>
          <w:sz w:val="32"/>
          <w:szCs w:val="32"/>
        </w:rPr>
        <w:t>元，其中一般公共预算财政拨款收入102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083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2万</w:t>
      </w:r>
      <w:r>
        <w:rPr>
          <w:rFonts w:hint="eastAsia" w:ascii="仿宋_GB2312" w:hAnsi="仿宋_GB2312" w:eastAsia="仿宋_GB2312" w:cs="仿宋_GB2312"/>
          <w:sz w:val="32"/>
          <w:szCs w:val="32"/>
        </w:rPr>
        <w:t>元，政府性基金预算财政拨款收入98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506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56</w:t>
      </w:r>
      <w:r>
        <w:rPr>
          <w:rFonts w:hint="eastAsia" w:ascii="仿宋_GB2312" w:hAnsi="仿宋_GB2312" w:eastAsia="仿宋_GB2312" w:cs="仿宋_GB2312"/>
          <w:sz w:val="32"/>
          <w:szCs w:val="32"/>
          <w:lang w:val="en-US" w:eastAsia="zh-CN"/>
        </w:rPr>
        <w:t>万</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其他收入105,284.94万元</w:t>
      </w:r>
      <w:r>
        <w:rPr>
          <w:rFonts w:hint="eastAsia" w:ascii="仿宋_GB2312" w:hAnsi="仿宋_GB2312" w:eastAsia="仿宋_GB2312" w:cs="仿宋_GB2312"/>
          <w:sz w:val="32"/>
          <w:szCs w:val="32"/>
        </w:rPr>
        <w:t>；2020年支出预算数5,148.93 万元，支出调整预算数305,875.02万元，实现了收支平衡。</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我局预算编制按照</w:t>
      </w:r>
      <w:r>
        <w:rPr>
          <w:rFonts w:hint="eastAsia" w:ascii="仿宋_GB2312" w:hAnsi="仿宋_GB2312" w:eastAsia="仿宋_GB2312" w:cs="仿宋_GB2312"/>
          <w:sz w:val="32"/>
          <w:szCs w:val="32"/>
          <w:lang w:val="en-US" w:eastAsia="zh-CN"/>
        </w:rPr>
        <w:t>区发改财政局</w:t>
      </w:r>
      <w:r>
        <w:rPr>
          <w:rFonts w:hint="eastAsia" w:ascii="仿宋_GB2312" w:hAnsi="仿宋_GB2312" w:eastAsia="仿宋_GB2312" w:cs="仿宋_GB2312"/>
          <w:sz w:val="32"/>
          <w:szCs w:val="32"/>
        </w:rPr>
        <w:t>当年度预算编制的要求和规范，围绕项目产出和效果进行编制，按照要求补充填报项目绩效目标，绩效目标设置较为完整、明确。</w:t>
      </w:r>
    </w:p>
    <w:p>
      <w:pPr>
        <w:ind w:firstLine="640" w:firstLineChars="200"/>
        <w:jc w:val="left"/>
        <w:rPr>
          <w:rFonts w:ascii="楷体" w:hAnsi="楷体" w:eastAsia="楷体"/>
          <w:sz w:val="32"/>
          <w:szCs w:val="32"/>
        </w:rPr>
      </w:pPr>
      <w:r>
        <w:rPr>
          <w:rFonts w:hint="eastAsia" w:ascii="楷体" w:hAnsi="楷体" w:eastAsia="楷体"/>
          <w:sz w:val="32"/>
          <w:szCs w:val="32"/>
        </w:rPr>
        <w:t>（四）2</w:t>
      </w:r>
      <w:r>
        <w:rPr>
          <w:rFonts w:ascii="楷体" w:hAnsi="楷体" w:eastAsia="楷体"/>
          <w:sz w:val="32"/>
          <w:szCs w:val="32"/>
        </w:rPr>
        <w:t>020</w:t>
      </w:r>
      <w:r>
        <w:rPr>
          <w:rFonts w:hint="eastAsia" w:ascii="楷体" w:hAnsi="楷体" w:eastAsia="楷体"/>
          <w:sz w:val="32"/>
          <w:szCs w:val="32"/>
        </w:rPr>
        <w:t>年度单位整体支出预算执行情况</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1.资金管理</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（1）资金支出和结转结余</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截至2020年12月31日，我局部门支出预算数51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3万</w:t>
      </w:r>
      <w:r>
        <w:rPr>
          <w:rFonts w:hint="eastAsia" w:ascii="仿宋_GB2312" w:hAnsi="仿宋_GB2312" w:eastAsia="仿宋_GB2312" w:cs="仿宋_GB2312"/>
          <w:sz w:val="32"/>
          <w:szCs w:val="32"/>
        </w:rPr>
        <w:t>元，实际支出305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875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万</w:t>
      </w:r>
      <w:r>
        <w:rPr>
          <w:rFonts w:hint="eastAsia" w:ascii="仿宋_GB2312" w:hAnsi="仿宋_GB2312" w:eastAsia="仿宋_GB2312" w:cs="仿宋_GB2312"/>
          <w:sz w:val="32"/>
          <w:szCs w:val="32"/>
        </w:rPr>
        <w:t>元，其中人员经费0.00元，公用经费56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元，项目支出257,161.67 万元，年初结转和结余</w:t>
      </w:r>
      <w:r>
        <w:rPr>
          <w:rFonts w:hint="eastAsia" w:ascii="仿宋_GB2312" w:hAnsi="仿宋_GB2312" w:eastAsia="仿宋_GB2312" w:cs="仿宋_GB2312"/>
          <w:sz w:val="32"/>
          <w:szCs w:val="32"/>
          <w:lang w:val="en-US" w:eastAsia="zh-CN"/>
        </w:rPr>
        <w:t>48,656.91</w:t>
      </w:r>
      <w:r>
        <w:rPr>
          <w:rFonts w:hint="eastAsia" w:ascii="仿宋_GB2312" w:hAnsi="仿宋_GB2312" w:eastAsia="仿宋_GB2312" w:cs="仿宋_GB2312"/>
          <w:sz w:val="32"/>
          <w:szCs w:val="32"/>
        </w:rPr>
        <w:t>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（2）政府采购</w:t>
      </w:r>
    </w:p>
    <w:p>
      <w:pPr>
        <w:ind w:firstLine="640" w:firstLineChars="200"/>
        <w:rPr>
          <w:rFonts w:hint="eastAsia" w:ascii="仿宋_GB2312" w:hAnsi="仿宋_GB2312" w:eastAsia="仿宋_GB2312" w:cs="仿宋_GB2312"/>
          <w:sz w:val="32"/>
          <w:szCs w:val="32"/>
        </w:rPr>
      </w:pPr>
      <w:bookmarkStart w:id="1" w:name="_Hlk71339111"/>
      <w:r>
        <w:rPr>
          <w:rFonts w:hint="eastAsia" w:ascii="仿宋_GB2312" w:hAnsi="仿宋_GB2312" w:eastAsia="仿宋_GB2312" w:cs="仿宋_GB2312"/>
          <w:sz w:val="32"/>
          <w:szCs w:val="32"/>
        </w:rPr>
        <w:t>我局2020年政府采购计划总额为1346</w:t>
      </w:r>
      <w:r>
        <w:rPr>
          <w:rFonts w:hint="eastAsia" w:ascii="仿宋_GB2312" w:hAnsi="仿宋_GB2312" w:eastAsia="仿宋_GB2312" w:cs="仿宋_GB2312"/>
          <w:sz w:val="32"/>
          <w:szCs w:val="32"/>
          <w:lang w:val="en-US" w:eastAsia="zh-CN"/>
        </w:rPr>
        <w:t>89.96万</w:t>
      </w:r>
      <w:r>
        <w:rPr>
          <w:rFonts w:hint="eastAsia" w:ascii="仿宋_GB2312" w:hAnsi="仿宋_GB2312" w:eastAsia="仿宋_GB2312" w:cs="仿宋_GB2312"/>
          <w:sz w:val="32"/>
          <w:szCs w:val="32"/>
        </w:rPr>
        <w:t>元，政府采购实际支出数为</w:t>
      </w:r>
      <w:r>
        <w:rPr>
          <w:rFonts w:hint="eastAsia" w:ascii="仿宋_GB2312" w:eastAsia="仿宋_GB2312" w:cs="仿宋_GB2312"/>
          <w:sz w:val="32"/>
          <w:szCs w:val="32"/>
          <w:highlight w:val="none"/>
          <w:lang w:val="en-US" w:eastAsia="zh-CN"/>
        </w:rPr>
        <w:t>134,689.96万元</w:t>
      </w:r>
      <w:r>
        <w:rPr>
          <w:rFonts w:hint="eastAsia" w:ascii="仿宋_GB2312" w:hAnsi="仿宋_GB2312" w:eastAsia="仿宋_GB2312" w:cs="仿宋_GB2312"/>
          <w:sz w:val="32"/>
          <w:szCs w:val="32"/>
        </w:rPr>
        <w:t>，政府采购执行率为100%，政府采购执行情况良好。</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我局对属于政府采购的项目编制政府采购预算，严格按照行政事业单位常用办公设备和办公家具配置预算标准、政府集中采购目录、采购限额标准及政府采购预算编制执行的有关通知执行采购。</w:t>
      </w:r>
      <w:bookmarkEnd w:id="1"/>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（3）财务合规性</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我局资金管理、费用标准、支付符合有关制度规定；会计核算符合事业单位财务相关规章制度；支出依据合理、合规，无虚列项目支出，无截留、挤占、挪用项目资金的情况。</w:t>
      </w:r>
    </w:p>
    <w:p>
      <w:pPr>
        <w:ind w:firstLine="640" w:firstLineChars="200"/>
        <w:jc w:val="left"/>
        <w:rPr>
          <w:rFonts w:hint="eastAsia" w:ascii="仿宋_GB2312" w:hAnsi="仿宋_GB2312" w:eastAsia="仿宋_GB2312" w:cs="仿宋_GB2312"/>
          <w:sz w:val="32"/>
          <w:szCs w:val="32"/>
        </w:rPr>
      </w:pPr>
      <w:bookmarkStart w:id="2" w:name="_Hlk71339482"/>
      <w:r>
        <w:rPr>
          <w:rFonts w:hint="eastAsia" w:ascii="仿宋_GB2312" w:hAnsi="仿宋_GB2312" w:eastAsia="仿宋_GB2312" w:cs="仿宋_GB2312"/>
          <w:sz w:val="32"/>
          <w:szCs w:val="32"/>
        </w:rPr>
        <w:t>（4）预决算信息公开情况</w:t>
      </w:r>
      <w:bookmarkEnd w:id="2"/>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我局预决算信息按上级规定内容、在规定时限和范围进行公开。</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2.项目管理</w:t>
      </w:r>
    </w:p>
    <w:p>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2020年项目预算支出金额305550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8万元</w:t>
      </w:r>
      <w:r>
        <w:rPr>
          <w:rFonts w:hint="eastAsia" w:ascii="仿宋_GB2312" w:hAnsi="仿宋_GB2312" w:eastAsia="仿宋_GB2312" w:cs="仿宋_GB2312"/>
          <w:sz w:val="32"/>
          <w:szCs w:val="32"/>
        </w:rPr>
        <w:t>元，决算实际项目支出金额</w:t>
      </w:r>
      <w:r>
        <w:rPr>
          <w:rFonts w:hint="eastAsia" w:ascii="仿宋_GB2312" w:hAnsi="宋体" w:eastAsia="仿宋_GB2312"/>
          <w:sz w:val="32"/>
          <w:szCs w:val="32"/>
          <w:highlight w:val="none"/>
          <w:lang w:val="en-US" w:eastAsia="zh-CN"/>
        </w:rPr>
        <w:t>257</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218.11</w:t>
      </w:r>
      <w:r>
        <w:rPr>
          <w:rFonts w:hint="eastAsia" w:ascii="FangSong_GB2312" w:hAnsi="FangSong_GB2312" w:eastAsia="FangSong_GB2312"/>
          <w:sz w:val="32"/>
          <w:highlight w:val="none"/>
        </w:rPr>
        <w:t>万元</w:t>
      </w:r>
      <w:r>
        <w:rPr>
          <w:rFonts w:hint="eastAsia" w:ascii="仿宋_GB2312" w:hAnsi="仿宋_GB2312" w:eastAsia="仿宋_GB2312" w:cs="仿宋_GB2312"/>
          <w:sz w:val="32"/>
          <w:szCs w:val="32"/>
        </w:rPr>
        <w:t>，项目支出明细类别主要是：（1）城乡管理事务支出1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81.29万</w:t>
      </w:r>
      <w:r>
        <w:rPr>
          <w:rFonts w:hint="eastAsia" w:ascii="仿宋_GB2312" w:hAnsi="仿宋_GB2312" w:eastAsia="仿宋_GB2312" w:cs="仿宋_GB2312"/>
          <w:sz w:val="32"/>
          <w:szCs w:val="32"/>
        </w:rPr>
        <w:t>元；（2）城乡社区规划与管理143</w:t>
      </w:r>
      <w:r>
        <w:rPr>
          <w:rFonts w:hint="eastAsia" w:ascii="仿宋_GB2312" w:hAnsi="仿宋_GB2312" w:eastAsia="仿宋_GB2312" w:cs="仿宋_GB2312"/>
          <w:sz w:val="32"/>
          <w:szCs w:val="32"/>
          <w:lang w:val="en-US" w:eastAsia="zh-CN"/>
        </w:rPr>
        <w:t>.1万</w:t>
      </w:r>
      <w:r>
        <w:rPr>
          <w:rFonts w:hint="eastAsia" w:ascii="仿宋_GB2312" w:hAnsi="仿宋_GB2312" w:eastAsia="仿宋_GB2312" w:cs="仿宋_GB2312"/>
          <w:sz w:val="32"/>
          <w:szCs w:val="32"/>
        </w:rPr>
        <w:t>元；（3）城乡社区公共设施64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768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6万</w:t>
      </w:r>
      <w:r>
        <w:rPr>
          <w:rFonts w:hint="eastAsia" w:ascii="仿宋_GB2312" w:hAnsi="仿宋_GB2312" w:eastAsia="仿宋_GB2312" w:cs="仿宋_GB2312"/>
          <w:sz w:val="32"/>
          <w:szCs w:val="32"/>
        </w:rPr>
        <w:t>元；（4）国有土地使用权出让收入安排的支出77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009.69 </w:t>
      </w:r>
      <w:r>
        <w:rPr>
          <w:rFonts w:hint="eastAsia" w:ascii="仿宋_GB2312" w:hAnsi="仿宋_GB2312" w:eastAsia="仿宋_GB2312" w:cs="仿宋_GB2312"/>
          <w:sz w:val="32"/>
          <w:szCs w:val="32"/>
          <w:lang w:val="en-US" w:eastAsia="zh-CN"/>
        </w:rPr>
        <w:t>万</w:t>
      </w:r>
      <w:r>
        <w:rPr>
          <w:rFonts w:hint="eastAsia" w:ascii="仿宋_GB2312" w:hAnsi="仿宋_GB2312" w:eastAsia="仿宋_GB2312" w:cs="仿宋_GB2312"/>
          <w:sz w:val="32"/>
          <w:szCs w:val="32"/>
        </w:rPr>
        <w:t>元；（5）其他城乡社区支出</w:t>
      </w:r>
      <w:r>
        <w:rPr>
          <w:rFonts w:hint="eastAsia" w:ascii="仿宋_GB2312" w:hAnsi="仿宋_GB2312" w:eastAsia="仿宋_GB2312" w:cs="仿宋_GB2312"/>
          <w:sz w:val="32"/>
          <w:szCs w:val="32"/>
          <w:lang w:val="en-US" w:eastAsia="zh-CN"/>
        </w:rPr>
        <w:t>82,870.22万</w:t>
      </w:r>
      <w:r>
        <w:rPr>
          <w:rFonts w:hint="eastAsia" w:ascii="仿宋_GB2312" w:hAnsi="仿宋_GB2312" w:eastAsia="仿宋_GB2312" w:cs="仿宋_GB2312"/>
          <w:sz w:val="32"/>
          <w:szCs w:val="32"/>
        </w:rPr>
        <w:t>元；（6）水利支出31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044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6万</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val="en-US" w:eastAsia="zh-CN"/>
        </w:rPr>
        <w:t>;（7）防汛支出7.93万元。</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我局所有的项目均以实现单位职能为目的，是我局履职的具体体现。项目在设立初期都进行过立项调研，并得到审批，正是这些项目的预算安排保证了我局职能的正常履行。</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时针对预算项目支出的绩效评价管理，按照深汕特别合作区发展改革和财政局要求要求，在此次绩效自评工作中补充完善了所有项目的绩效目标，从项目产出、效果两个方面设定了完整、合理且明确可量化的考核指标。</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3.资产管理</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截至2020年12月31日，我局总资产</w:t>
      </w:r>
      <w:r>
        <w:rPr>
          <w:rFonts w:hint="eastAsia" w:ascii="仿宋_GB2312" w:hAnsi="仿宋_GB2312" w:eastAsia="仿宋_GB2312" w:cs="仿宋_GB2312"/>
          <w:sz w:val="32"/>
          <w:szCs w:val="32"/>
          <w:lang w:val="en-US" w:eastAsia="zh-CN"/>
        </w:rPr>
        <w:t>354,548.48万</w:t>
      </w:r>
      <w:r>
        <w:rPr>
          <w:rFonts w:hint="eastAsia" w:ascii="仿宋_GB2312" w:hAnsi="仿宋_GB2312" w:eastAsia="仿宋_GB2312" w:cs="仿宋_GB2312"/>
          <w:sz w:val="32"/>
          <w:szCs w:val="32"/>
        </w:rPr>
        <w:t>元，其中流动资产111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462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1万</w:t>
      </w:r>
      <w:r>
        <w:rPr>
          <w:rFonts w:hint="eastAsia" w:ascii="仿宋_GB2312" w:hAnsi="仿宋_GB2312" w:eastAsia="仿宋_GB2312" w:cs="仿宋_GB2312"/>
          <w:sz w:val="32"/>
          <w:szCs w:val="32"/>
        </w:rPr>
        <w:t>元、固定资产</w:t>
      </w:r>
      <w:r>
        <w:rPr>
          <w:rFonts w:hint="eastAsia" w:ascii="仿宋_GB2312" w:hAnsi="仿宋_GB2312" w:eastAsia="仿宋_GB2312" w:cs="仿宋_GB2312"/>
          <w:sz w:val="32"/>
          <w:szCs w:val="32"/>
          <w:lang w:val="en-US" w:eastAsia="zh-CN"/>
        </w:rPr>
        <w:t>764.18万</w:t>
      </w:r>
      <w:r>
        <w:rPr>
          <w:rFonts w:hint="eastAsia" w:ascii="仿宋_GB2312" w:hAnsi="仿宋_GB2312" w:eastAsia="仿宋_GB2312" w:cs="仿宋_GB2312"/>
          <w:sz w:val="32"/>
          <w:szCs w:val="32"/>
        </w:rPr>
        <w:t>元。实际在用固定资产</w:t>
      </w:r>
      <w:r>
        <w:rPr>
          <w:rFonts w:hint="eastAsia" w:ascii="仿宋_GB2312" w:hAnsi="仿宋_GB2312" w:eastAsia="仿宋_GB2312" w:cs="仿宋_GB2312"/>
          <w:sz w:val="32"/>
          <w:szCs w:val="32"/>
          <w:lang w:val="en-US" w:eastAsia="zh-CN"/>
        </w:rPr>
        <w:t>764.18万</w:t>
      </w:r>
      <w:r>
        <w:rPr>
          <w:rFonts w:hint="eastAsia" w:ascii="仿宋_GB2312" w:hAnsi="仿宋_GB2312" w:eastAsia="仿宋_GB2312" w:cs="仿宋_GB2312"/>
          <w:sz w:val="32"/>
          <w:szCs w:val="32"/>
        </w:rPr>
        <w:t>元，固定资产利用率100%，资产配置合理，使用状况良好，资产安全完整。同时，我局的固定资产配置、使用、安全等管理符合资产管理制度要求，每月亦及时上报资产月报，符合财政部门相关要求。</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4.人员管理</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我局2020年的核定编制数20人，2020年12月31日实际在编9人，年末其他人员0人，财政人员供给率45%，编外人员控制率为0%。 </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5.制度管理</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（1）为保证我局各项工作任务的顺利完成，加强财政资金收支管理，进一步提高我局财务管理水平，提高资金使用效益。我局在财务管理相关规定中对财政资金管理、内部财务管理作出了明确的规范。</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我局财务管理相关规定中对预算绩效管理做了较为宽泛的规定，主要还是依据市财委制定的《深圳市预算绩效管理暂行办法》（深财规〔2014〕8号）、《深圳市本级预算绩效目标管理工作规程（试行）》（深财规〔2014〕10号）及区财政局的规定开展预算绩效管理工作。</w:t>
      </w:r>
    </w:p>
    <w:p>
      <w:pPr>
        <w:ind w:firstLine="640" w:firstLineChars="200"/>
        <w:jc w:val="left"/>
        <w:rPr>
          <w:rFonts w:ascii="黑体" w:hAnsi="黑体" w:eastAsia="黑体"/>
          <w:sz w:val="32"/>
          <w:szCs w:val="32"/>
        </w:rPr>
      </w:pPr>
      <w:r>
        <w:rPr>
          <w:rFonts w:hint="eastAsia" w:ascii="黑体" w:hAnsi="黑体" w:eastAsia="黑体"/>
          <w:sz w:val="32"/>
          <w:szCs w:val="32"/>
        </w:rPr>
        <w:t>二、单位主要履职绩效分析</w:t>
      </w:r>
    </w:p>
    <w:p>
      <w:pPr>
        <w:ind w:firstLine="640" w:firstLineChars="200"/>
        <w:jc w:val="left"/>
        <w:rPr>
          <w:rFonts w:ascii="楷体" w:hAnsi="楷体" w:eastAsia="楷体"/>
          <w:sz w:val="32"/>
          <w:szCs w:val="32"/>
        </w:rPr>
      </w:pPr>
      <w:r>
        <w:rPr>
          <w:rFonts w:hint="eastAsia" w:ascii="楷体" w:hAnsi="楷体" w:eastAsia="楷体"/>
          <w:sz w:val="32"/>
          <w:szCs w:val="32"/>
        </w:rPr>
        <w:t>（一）主要履职目标</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有序推进住房保障工作，引入社会资本解决安置房及安居型商品房项目的首期建设的资金需求，并加强安置房建设后续监督，适时将该模式推广至小漠、鲘门片区，积极配合好深汕生态环境产业园土地整备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持续加速市政设施建设，主动协调，推动各道路建设项目征地拆迁工作，在资金得到保障的情况下，推动大道、望鹏大道、宜城大道（南段）开工建设，加快推进东部组团深汕湾机器人小镇市政道路和水系整治工程建设。加快合作区燃气场站选址工作，完成赤石北门站土地征收及招拍挂工作，尽快启动赤石北门站前期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不断完善水务保障能力，编制完成《深汕特别合作区水务发展“十四五”规划》、《深汕特别合作区水土保持规划》、《深汕特别合作区水利综合规划》。完成深汕特别合作区2020年水利设施水毁修复工程，完成深耕村滨河带景观提升工程。保障鹅埠污水处理厂顺利运行，推进西部水质净化厂配套管网建设，开展中心区水质净化厂、小漠水质净化厂前期规划设计及配套管网规划研究及方案设计。</w:t>
      </w:r>
    </w:p>
    <w:p>
      <w:pPr>
        <w:ind w:firstLine="640" w:firstLineChars="200"/>
        <w:jc w:val="left"/>
        <w:rPr>
          <w:rFonts w:ascii="楷体" w:hAnsi="楷体" w:eastAsia="楷体"/>
          <w:sz w:val="32"/>
          <w:szCs w:val="32"/>
        </w:rPr>
      </w:pPr>
      <w:r>
        <w:rPr>
          <w:rFonts w:hint="eastAsia" w:ascii="楷体" w:hAnsi="楷体" w:eastAsia="楷体"/>
          <w:sz w:val="32"/>
          <w:szCs w:val="32"/>
        </w:rPr>
        <w:t>（二）主要履职情况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全力维护房地产市场健康发展。推动完成72.6万平方米的商品住房新开工建设和20万平方米的销售任务，促进我区房地产经济指标平稳增长；推进商品房网签合同备案，合作区累计批准5372套商品房预售，已售3772套，备案1902套。</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积极推动完善住房保障体系。协调推进深耕村、海逸村一期、安居深乐村等10个项目19869套公共住房建设。完成我区2020年公共住房供应任务994套、竣工任务553套、筹集建设任务10498套，超额完成市下达筹集建设任务，完成率达102.15%。</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持续做好物业管理服务工作。完成辉煌花园、纯水岸花园（一期）、纯水岸花园（二期）、德信花园、纯水岸花园（三期）、深汕湾智苑、深汕绿地商务中心二期3A栋7个小区前期物业服务合同备案工作，并监督物业企业落实小区“打通生命通道”专项工作，指导开展住宅小区消防隐患、高空坠物排查和风险评估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加快市政道路建设。全年市政基础设施建设共计完成投资约37.25亿，完成年度计划的107.32%。科教大道、深汕大道改扩建工程等重点项目完成了20%的形象进度，实现了全年工作目标。完成深汕湾机器人小镇市政道路2公里碧道建设。广东省重点督办的鲘门镇新村三堆石山（1#坡）和民新村公路管养站后山（2#坡）两个地灾隐患点治理工程，主体工程已完工，完成了既定目标</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5.完善燃气设施建设。推进管道天然气建设，累计铺设中压管道38.2公里，共有用户1467户，新增186户，其中居民用户1400户，新增162户，非居民用户67户，新增24户，供气量为250.8万立方米</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推动工程配套建设。加快我区土石方受纳场建设，根据我区《总体规划》、《深汕特别合作区预拌混凝土搅拌站专项规划及布局选址研究（2019-2035年）》匡定受纳场适宜建设区，经区党工委同意通过引入市场主体竞争模式开展土石方受纳场建设。</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规范工程建设项目的审批。编制完成《建设工程招标项目定标工作规定》和《政府投资建设项目施工许可管理暂行办法》，修订完善了《建设工程施工许可暂行办法》，草拟了《小散工程和零星作业安全管理暂行办法（征求意见稿）》《特殊建设工程消防验收指南（暂行）》等系列制度，规范工程建设项目的审批改革。</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狠抓工程项目的安全监督。严管建设过程。先后开展了全区建设工程施工安全大排查大整治工作、“筑安2020”百日整治行动、汛期及台风季全区建设工程施工安全整治行动等系列活动，加强规范小散工程和零星作业安全生产管理，明确各参建单位主体责任、排除施工现场安全隐患。</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9.补齐乡村基层短板，助推振兴战略实施。分别投资了4.57亿元、1.8亿元开展“村村通”自来水管网改造工程建设和镇级污水处理设施及配套管网建设工程提升了居民的人居环境质量。</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10.夯实水务工作基础，优化治水管水能力。投资936.5万元完成小漠渔港出海口海堤修复工程，投资1.1亿元基本完成泗马岭水库、窑陂水库、下径水库除险加固工程。</w:t>
      </w:r>
    </w:p>
    <w:p>
      <w:pPr>
        <w:ind w:firstLine="640" w:firstLineChars="200"/>
        <w:jc w:val="left"/>
        <w:rPr>
          <w:rFonts w:ascii="楷体" w:hAnsi="楷体" w:eastAsia="楷体"/>
          <w:sz w:val="32"/>
          <w:szCs w:val="32"/>
        </w:rPr>
      </w:pPr>
      <w:r>
        <w:rPr>
          <w:rFonts w:hint="eastAsia" w:ascii="楷体" w:hAnsi="楷体" w:eastAsia="楷体"/>
          <w:sz w:val="32"/>
          <w:szCs w:val="32"/>
        </w:rPr>
        <w:t>（三）单位履职绩效情况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2020年主要工作任务已基本完成，现从预算使用的经济性、效率性、效果性、公平性四个方面来分析部门履职绩效情况。根据《2020年度部门整体支出绩效评价指标评分表》评分标准，我局 2020年部门整体支出绩效自评分数为91.63分。</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1.经济性</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（1）三公经费控制率。2020年度我局“三公”经费预算支出</w:t>
      </w:r>
      <w:r>
        <w:rPr>
          <w:rFonts w:hint="eastAsia" w:ascii="仿宋_GB2312" w:hAnsi="仿宋_GB2312" w:eastAsia="仿宋_GB2312" w:cs="仿宋_GB2312"/>
          <w:sz w:val="32"/>
          <w:szCs w:val="32"/>
          <w:lang w:val="en-US" w:eastAsia="zh-CN"/>
        </w:rPr>
        <w:t>25.36万</w:t>
      </w:r>
      <w:r>
        <w:rPr>
          <w:rFonts w:hint="eastAsia" w:ascii="仿宋_GB2312" w:hAnsi="仿宋_GB2312" w:eastAsia="仿宋_GB2312" w:cs="仿宋_GB2312"/>
          <w:sz w:val="32"/>
          <w:szCs w:val="32"/>
        </w:rPr>
        <w:t>元，实际支出</w:t>
      </w:r>
      <w:r>
        <w:rPr>
          <w:rFonts w:hint="eastAsia" w:ascii="仿宋_GB2312" w:hAnsi="仿宋_GB2312" w:eastAsia="仿宋_GB2312" w:cs="仿宋_GB2312"/>
          <w:sz w:val="32"/>
          <w:szCs w:val="32"/>
          <w:lang w:val="en-US" w:eastAsia="zh-CN"/>
        </w:rPr>
        <w:t>2.45万</w:t>
      </w:r>
      <w:r>
        <w:rPr>
          <w:rFonts w:hint="eastAsia" w:ascii="仿宋_GB2312" w:hAnsi="仿宋_GB2312" w:eastAsia="仿宋_GB2312" w:cs="仿宋_GB2312"/>
          <w:sz w:val="32"/>
          <w:szCs w:val="32"/>
        </w:rPr>
        <w:t>元，三公经费控制率为9.67%。</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（2）日常公用经费控制率。2020年度我局日常公用经费年初预算204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万</w:t>
      </w:r>
      <w:r>
        <w:rPr>
          <w:rFonts w:hint="eastAsia" w:ascii="仿宋_GB2312" w:hAnsi="仿宋_GB2312" w:eastAsia="仿宋_GB2312" w:cs="仿宋_GB2312"/>
          <w:sz w:val="32"/>
          <w:szCs w:val="32"/>
        </w:rPr>
        <w:t>元，预算调整数311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83</w:t>
      </w:r>
      <w:r>
        <w:rPr>
          <w:rFonts w:hint="eastAsia" w:ascii="仿宋_GB2312" w:hAnsi="仿宋_GB2312" w:eastAsia="仿宋_GB2312" w:cs="仿宋_GB2312"/>
          <w:sz w:val="32"/>
          <w:szCs w:val="32"/>
          <w:lang w:val="en-US" w:eastAsia="zh-CN"/>
        </w:rPr>
        <w:t>万</w:t>
      </w:r>
      <w:r>
        <w:rPr>
          <w:rFonts w:hint="eastAsia" w:ascii="仿宋_GB2312" w:hAnsi="仿宋_GB2312" w:eastAsia="仿宋_GB2312" w:cs="仿宋_GB2312"/>
          <w:sz w:val="32"/>
          <w:szCs w:val="32"/>
        </w:rPr>
        <w:t>元，实际支出56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5万</w:t>
      </w:r>
      <w:r>
        <w:rPr>
          <w:rFonts w:hint="eastAsia" w:ascii="仿宋_GB2312" w:hAnsi="仿宋_GB2312" w:eastAsia="仿宋_GB2312" w:cs="仿宋_GB2312"/>
          <w:sz w:val="32"/>
          <w:szCs w:val="32"/>
        </w:rPr>
        <w:t>元，日常公用经费控制率18.10%。</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2.效率性</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（1）预算执行情况</w:t>
      </w:r>
    </w:p>
    <w:p>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2020年度我局预算项目指标年初预算数4349</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3万</w:t>
      </w:r>
      <w:r>
        <w:rPr>
          <w:rFonts w:hint="eastAsia" w:ascii="仿宋_GB2312" w:hAnsi="仿宋_GB2312" w:eastAsia="仿宋_GB2312" w:cs="仿宋_GB2312"/>
          <w:sz w:val="32"/>
          <w:szCs w:val="32"/>
        </w:rPr>
        <w:t>元，调整预算数383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024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2万</w:t>
      </w:r>
      <w:r>
        <w:rPr>
          <w:rFonts w:hint="eastAsia" w:ascii="仿宋_GB2312" w:hAnsi="仿宋_GB2312" w:eastAsia="仿宋_GB2312" w:cs="仿宋_GB2312"/>
          <w:sz w:val="32"/>
          <w:szCs w:val="32"/>
        </w:rPr>
        <w:t>元，第一季度实际支出33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157</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62</w:t>
      </w:r>
      <w:r>
        <w:rPr>
          <w:rFonts w:hint="eastAsia" w:ascii="仿宋_GB2312" w:hAnsi="仿宋_GB2312" w:eastAsia="仿宋_GB2312" w:cs="仿宋_GB2312"/>
          <w:sz w:val="32"/>
          <w:szCs w:val="32"/>
          <w:lang w:val="en-US" w:eastAsia="zh-CN"/>
        </w:rPr>
        <w:t>万</w:t>
      </w:r>
      <w:r>
        <w:rPr>
          <w:rFonts w:hint="eastAsia" w:ascii="仿宋_GB2312" w:hAnsi="仿宋_GB2312" w:eastAsia="仿宋_GB2312" w:cs="仿宋_GB2312"/>
          <w:sz w:val="32"/>
          <w:szCs w:val="32"/>
        </w:rPr>
        <w:t>元，预算执行率为8.66%；第二季度实际支出43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744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68</w:t>
      </w:r>
      <w:r>
        <w:rPr>
          <w:rFonts w:hint="eastAsia" w:ascii="仿宋_GB2312" w:hAnsi="仿宋_GB2312" w:eastAsia="仿宋_GB2312" w:cs="仿宋_GB2312"/>
          <w:sz w:val="32"/>
          <w:szCs w:val="32"/>
          <w:lang w:val="en-US" w:eastAsia="zh-CN"/>
        </w:rPr>
        <w:t>万</w:t>
      </w:r>
      <w:r>
        <w:rPr>
          <w:rFonts w:hint="eastAsia" w:ascii="仿宋_GB2312" w:hAnsi="仿宋_GB2312" w:eastAsia="仿宋_GB2312" w:cs="仿宋_GB2312"/>
          <w:sz w:val="32"/>
          <w:szCs w:val="32"/>
        </w:rPr>
        <w:t>元，预算执行率为11.42%；第三季度实际支出81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098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6万</w:t>
      </w:r>
      <w:r>
        <w:rPr>
          <w:rFonts w:hint="eastAsia" w:ascii="仿宋_GB2312" w:hAnsi="仿宋_GB2312" w:eastAsia="仿宋_GB2312" w:cs="仿宋_GB2312"/>
          <w:sz w:val="32"/>
          <w:szCs w:val="32"/>
        </w:rPr>
        <w:t>元，预算执行率为21.17%；第四季度实际支出257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161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7万</w:t>
      </w:r>
      <w:r>
        <w:rPr>
          <w:rFonts w:hint="eastAsia" w:ascii="仿宋_GB2312" w:hAnsi="仿宋_GB2312" w:eastAsia="仿宋_GB2312" w:cs="仿宋_GB2312"/>
          <w:sz w:val="32"/>
          <w:szCs w:val="32"/>
        </w:rPr>
        <w:t>元，预算执行率为67.14%。</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（2）重点工作完成情况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该指标主要反映我局的重点工作的完成情况，截止至2020年年末，我局重点工作均已如期完成。</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（3）项目完成及时性</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2020年度我局纳入绩效自评范围项目数共计77个，项目均如期完成。</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3.效果性</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是深圳经济特区建立40周年，也是深汕特别合作区全面履职提升年，我局在区党工委、管委会的坚强领导下，在上级部门的关心指导下，按照全区统一部署，认真履职、主动作为、勇挑重担、不辱使命，较好地完成了年度工作任务。</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4.公平性</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该指标主要反映部门履行职能与增加公共利益、公共福利和保障公共安全方面的相关联程度。2020年度我局暂无重大纠纷、诉讼和上访事件，群众服务对象满意程度较高。</w:t>
      </w:r>
    </w:p>
    <w:p>
      <w:pPr>
        <w:ind w:left="283" w:firstLine="320" w:firstLineChars="100"/>
        <w:jc w:val="left"/>
        <w:rPr>
          <w:rFonts w:ascii="黑体" w:hAnsi="黑体" w:eastAsia="黑体"/>
          <w:sz w:val="32"/>
          <w:szCs w:val="32"/>
        </w:rPr>
      </w:pPr>
      <w:r>
        <w:rPr>
          <w:rFonts w:hint="eastAsia" w:ascii="黑体" w:hAnsi="黑体" w:eastAsia="黑体"/>
          <w:sz w:val="32"/>
          <w:szCs w:val="32"/>
        </w:rPr>
        <w:t>三、总体评价和整改措施</w:t>
      </w:r>
    </w:p>
    <w:p>
      <w:pPr>
        <w:ind w:firstLine="640" w:firstLineChars="200"/>
        <w:jc w:val="left"/>
        <w:rPr>
          <w:rFonts w:ascii="楷体" w:hAnsi="楷体" w:eastAsia="楷体"/>
          <w:sz w:val="32"/>
          <w:szCs w:val="32"/>
        </w:rPr>
      </w:pPr>
      <w:r>
        <w:rPr>
          <w:rFonts w:ascii="楷体" w:hAnsi="楷体" w:eastAsia="楷体"/>
          <w:sz w:val="32"/>
          <w:szCs w:val="32"/>
        </w:rPr>
        <w:t>(一）</w:t>
      </w:r>
      <w:r>
        <w:rPr>
          <w:rFonts w:hint="eastAsia" w:ascii="楷体" w:hAnsi="楷体" w:eastAsia="楷体"/>
          <w:sz w:val="32"/>
          <w:szCs w:val="32"/>
        </w:rPr>
        <w:t>预算绩效管理工作主要经验、做法</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我局一直积极参与</w:t>
      </w:r>
      <w:r>
        <w:rPr>
          <w:rFonts w:hint="eastAsia" w:ascii="仿宋_GB2312" w:hAnsi="仿宋_GB2312" w:eastAsia="仿宋_GB2312" w:cs="仿宋_GB2312"/>
          <w:sz w:val="32"/>
          <w:szCs w:val="32"/>
          <w:lang w:val="en-US" w:eastAsia="zh-CN"/>
        </w:rPr>
        <w:t>区发改财政局</w:t>
      </w:r>
      <w:r>
        <w:rPr>
          <w:rFonts w:hint="eastAsia" w:ascii="仿宋_GB2312" w:hAnsi="仿宋_GB2312" w:eastAsia="仿宋_GB2312" w:cs="仿宋_GB2312"/>
          <w:sz w:val="32"/>
          <w:szCs w:val="32"/>
        </w:rPr>
        <w:t>或其他部门组织的各类关于绩效管理工作培训，通过多次召开党组会议强调绩效管理的理念和重要性，聘请第三方参与我局的绩效评价工作，向全局人员普及了绩效预算、绩效管理的基本理念。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1.健全财务管理制度。适时、有针对性地进行了相关制度的增补，制度的建立更为完善。</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2.严格</w:t>
      </w:r>
      <w:r>
        <w:rPr>
          <w:rFonts w:hint="eastAsia" w:ascii="仿宋_GB2312" w:hAnsi="仿宋_GB2312" w:eastAsia="仿宋_GB2312" w:cs="仿宋_GB2312"/>
          <w:sz w:val="32"/>
          <w:szCs w:val="32"/>
          <w:lang w:eastAsia="zh-CN"/>
        </w:rPr>
        <w:t>贯彻落实中央八项规定</w:t>
      </w:r>
      <w:r>
        <w:rPr>
          <w:rFonts w:hint="eastAsia" w:ascii="仿宋_GB2312" w:hAnsi="仿宋_GB2312" w:eastAsia="仿宋_GB2312" w:cs="仿宋_GB2312"/>
          <w:sz w:val="32"/>
          <w:szCs w:val="32"/>
        </w:rPr>
        <w:t>和省、市、区有关规定精神，进一步加强公车管理，严格执行党政机关公务接待管理规定，尽力压缩“三公”经费等行政支出。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3.不断改善办公条件，促进行政质量提高。</w:t>
      </w:r>
    </w:p>
    <w:p>
      <w:pPr>
        <w:ind w:firstLine="640" w:firstLineChars="200"/>
        <w:jc w:val="left"/>
        <w:rPr>
          <w:rFonts w:ascii="楷体" w:hAnsi="楷体" w:eastAsia="楷体"/>
          <w:sz w:val="32"/>
          <w:szCs w:val="32"/>
        </w:rPr>
      </w:pPr>
      <w:r>
        <w:rPr>
          <w:rFonts w:ascii="楷体" w:hAnsi="楷体" w:eastAsia="楷体"/>
          <w:sz w:val="32"/>
          <w:szCs w:val="32"/>
        </w:rPr>
        <w:t>(二）</w:t>
      </w:r>
      <w:r>
        <w:rPr>
          <w:rFonts w:hint="eastAsia" w:ascii="楷体" w:hAnsi="楷体" w:eastAsia="楷体"/>
          <w:sz w:val="32"/>
          <w:szCs w:val="32"/>
        </w:rPr>
        <w:t>单位整体支出绩效存在问题及改进措施</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1.未制订全面的绩效管理制度或方案</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尚未制定资金管理和绩效运行监控机制，尚未对单位内部进行内部控制建设，对预算绩效管理缺乏系统化管理，主要还是依据市财委制定的《深圳市预算绩效管理暂行办法》（深财规〔2014〕8号）、《深圳市本级预算绩效目标管理工作规程（试行）》（深财规〔2014〕10号）及区财政局的规定开展预算绩效管理工作，未按照预算和绩效管理一体化的要求制定本部门全面实施预算绩效管理的制度或工作方案。</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改进措施：后续将完善相关制度，对单位进行内控建设。</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2.项目预算执行率有待进一步提升</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第一季度预算执行率为12.89%；第二季度预算执行率为17.01%；第三季度预算执行率为31.54%；第四季度预算执行率为38.56%。预算执行力度有待加强。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改进措施：原因为上半年受疫情影响，后续我局将采取疫情防控措施，制定科学合理的采购计划并严格执行，保证预算执行进度。</w:t>
      </w:r>
    </w:p>
    <w:p>
      <w:pPr>
        <w:ind w:firstLine="640" w:firstLineChars="200"/>
        <w:jc w:val="left"/>
        <w:rPr>
          <w:rFonts w:ascii="楷体" w:hAnsi="楷体" w:eastAsia="楷体"/>
          <w:sz w:val="32"/>
          <w:szCs w:val="32"/>
        </w:rPr>
      </w:pPr>
      <w:r>
        <w:rPr>
          <w:rFonts w:ascii="楷体" w:hAnsi="楷体" w:eastAsia="楷体"/>
          <w:sz w:val="32"/>
          <w:szCs w:val="32"/>
        </w:rPr>
        <w:t>(三）</w:t>
      </w:r>
      <w:r>
        <w:rPr>
          <w:rFonts w:hint="eastAsia" w:ascii="楷体" w:hAnsi="楷体" w:eastAsia="楷体"/>
          <w:sz w:val="32"/>
          <w:szCs w:val="32"/>
        </w:rPr>
        <w:t>后续工作计划、相关建议等</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1.逐步完善我局的绩效评价工作制度，有计划地建立和完善财政支出绩效评价相关制度，包括绩效目标审查制度、项目绩效考核制度、绩效奖惩制度等。</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建议财政部门进一步开展部门整体支出绩效评价业务工作培训。适时组织预算部门主要领导、分管负责人以及具体工作人员的培训教育，及时为部门开展绩效管理提供政策理论和专业操作技术指导，促进各预算部门绩效管理整体上台阶。</w:t>
      </w:r>
    </w:p>
    <w:p>
      <w:pPr>
        <w:ind w:left="283" w:firstLine="640" w:firstLineChars="200"/>
        <w:jc w:val="left"/>
        <w:rPr>
          <w:rFonts w:ascii="黑体" w:hAnsi="黑体" w:eastAsia="黑体"/>
          <w:sz w:val="32"/>
          <w:szCs w:val="32"/>
        </w:rPr>
      </w:pPr>
      <w:r>
        <w:rPr>
          <w:rFonts w:hint="eastAsia" w:ascii="黑体" w:hAnsi="黑体" w:eastAsia="黑体"/>
          <w:sz w:val="32"/>
          <w:szCs w:val="32"/>
        </w:rPr>
        <w:t>四、单位整体支出绩效评价指标评分情况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单位整体支出绩效评价指标评分情况参照《部门整体支出绩效评价共性指标体系框架（2020年度）》（附件1）。</w:t>
      </w:r>
    </w:p>
    <w:p>
      <w:pPr>
        <w:ind w:left="283" w:firstLine="320" w:firstLineChars="100"/>
        <w:jc w:val="left"/>
        <w:rPr>
          <w:rFonts w:ascii="黑体" w:hAnsi="黑体" w:eastAsia="黑体"/>
          <w:sz w:val="32"/>
          <w:szCs w:val="32"/>
        </w:rPr>
      </w:pPr>
    </w:p>
    <w:p>
      <w:pPr>
        <w:jc w:val="left"/>
        <w:rPr>
          <w:rFonts w:ascii="黑体" w:hAnsi="黑体" w:eastAsia="黑体"/>
          <w:sz w:val="32"/>
          <w:szCs w:val="32"/>
        </w:rPr>
        <w:sectPr>
          <w:pgSz w:w="11906" w:h="16838"/>
          <w:pgMar w:top="1440" w:right="1800" w:bottom="1440" w:left="1800" w:header="851" w:footer="992" w:gutter="0"/>
          <w:cols w:space="425" w:num="1"/>
          <w:docGrid w:type="lines" w:linePitch="312" w:charSpace="0"/>
        </w:sectPr>
      </w:pPr>
    </w:p>
    <w:p>
      <w:pPr>
        <w:tabs>
          <w:tab w:val="center" w:pos="6979"/>
        </w:tabs>
        <w:spacing w:line="620" w:lineRule="exact"/>
        <w:jc w:val="left"/>
        <w:rPr>
          <w:rFonts w:ascii="仿宋_GB2312" w:eastAsia="仿宋_GB2312"/>
          <w:sz w:val="28"/>
          <w:szCs w:val="28"/>
        </w:rPr>
      </w:pPr>
      <w:r>
        <w:rPr>
          <w:rFonts w:hint="eastAsia" w:ascii="仿宋_GB2312" w:eastAsia="仿宋_GB2312" w:cs="仿宋_GB2312"/>
          <w:sz w:val="28"/>
          <w:szCs w:val="28"/>
        </w:rPr>
        <w:t>附件</w:t>
      </w:r>
      <w:r>
        <w:rPr>
          <w:rFonts w:ascii="仿宋_GB2312" w:eastAsia="仿宋_GB2312" w:cs="仿宋_GB2312"/>
          <w:sz w:val="28"/>
          <w:szCs w:val="28"/>
        </w:rPr>
        <w:t>1</w:t>
      </w:r>
    </w:p>
    <w:p>
      <w:pPr>
        <w:tabs>
          <w:tab w:val="center" w:pos="6979"/>
        </w:tabs>
        <w:spacing w:line="620" w:lineRule="exact"/>
        <w:jc w:val="center"/>
        <w:rPr>
          <w:sz w:val="28"/>
          <w:szCs w:val="28"/>
        </w:rPr>
      </w:pPr>
      <w:r>
        <w:rPr>
          <w:rFonts w:hint="eastAsia" w:ascii="方正小标宋简体" w:eastAsia="方正小标宋简体" w:cs="方正小标宋简体"/>
          <w:sz w:val="30"/>
          <w:szCs w:val="30"/>
        </w:rPr>
        <w:t>部门整体支出绩效评价共性指标体系框架</w:t>
      </w:r>
    </w:p>
    <w:tbl>
      <w:tblPr>
        <w:tblStyle w:val="6"/>
        <w:tblW w:w="4996" w:type="pct"/>
        <w:tblInd w:w="0" w:type="dxa"/>
        <w:tblLayout w:type="autofit"/>
        <w:tblCellMar>
          <w:top w:w="0" w:type="dxa"/>
          <w:left w:w="108" w:type="dxa"/>
          <w:bottom w:w="0" w:type="dxa"/>
          <w:right w:w="108" w:type="dxa"/>
        </w:tblCellMar>
      </w:tblPr>
      <w:tblGrid>
        <w:gridCol w:w="426"/>
        <w:gridCol w:w="426"/>
        <w:gridCol w:w="426"/>
        <w:gridCol w:w="426"/>
        <w:gridCol w:w="636"/>
        <w:gridCol w:w="437"/>
        <w:gridCol w:w="1996"/>
        <w:gridCol w:w="8456"/>
        <w:gridCol w:w="934"/>
      </w:tblGrid>
      <w:tr>
        <w:tblPrEx>
          <w:tblCellMar>
            <w:top w:w="0" w:type="dxa"/>
            <w:left w:w="108" w:type="dxa"/>
            <w:bottom w:w="0" w:type="dxa"/>
            <w:right w:w="108" w:type="dxa"/>
          </w:tblCellMar>
        </w:tblPrEx>
        <w:trPr>
          <w:trHeight w:val="180" w:hRule="atLeast"/>
          <w:tblHeader/>
        </w:trPr>
        <w:tc>
          <w:tcPr>
            <w:tcW w:w="979" w:type="pct"/>
            <w:gridSpan w:val="6"/>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黑体" w:hAnsi="黑体" w:eastAsia="黑体"/>
                <w:kern w:val="0"/>
              </w:rPr>
            </w:pPr>
            <w:r>
              <w:rPr>
                <w:rFonts w:hint="eastAsia" w:ascii="黑体" w:hAnsi="黑体" w:eastAsia="黑体" w:cs="黑体"/>
                <w:kern w:val="0"/>
              </w:rPr>
              <w:t>评价指标</w:t>
            </w:r>
          </w:p>
        </w:tc>
        <w:tc>
          <w:tcPr>
            <w:tcW w:w="705" w:type="pct"/>
            <w:vMerge w:val="restart"/>
            <w:tcBorders>
              <w:top w:val="single" w:color="auto" w:sz="4" w:space="0"/>
              <w:left w:val="nil"/>
              <w:right w:val="single" w:color="auto" w:sz="4" w:space="0"/>
            </w:tcBorders>
            <w:vAlign w:val="center"/>
          </w:tcPr>
          <w:p>
            <w:pPr>
              <w:widowControl/>
              <w:spacing w:line="320" w:lineRule="exact"/>
              <w:jc w:val="center"/>
              <w:rPr>
                <w:rFonts w:ascii="黑体" w:hAnsi="黑体" w:eastAsia="黑体"/>
                <w:kern w:val="0"/>
              </w:rPr>
            </w:pPr>
            <w:r>
              <w:rPr>
                <w:rFonts w:hint="eastAsia" w:ascii="黑体" w:hAnsi="黑体" w:eastAsia="黑体" w:cs="黑体"/>
                <w:kern w:val="0"/>
              </w:rPr>
              <w:t>指标说明</w:t>
            </w:r>
          </w:p>
        </w:tc>
        <w:tc>
          <w:tcPr>
            <w:tcW w:w="2984" w:type="pct"/>
            <w:vMerge w:val="restart"/>
            <w:tcBorders>
              <w:top w:val="single" w:color="auto" w:sz="4" w:space="0"/>
              <w:left w:val="nil"/>
              <w:right w:val="single" w:color="auto" w:sz="4" w:space="0"/>
            </w:tcBorders>
            <w:vAlign w:val="center"/>
          </w:tcPr>
          <w:p>
            <w:pPr>
              <w:widowControl/>
              <w:spacing w:line="320" w:lineRule="exact"/>
              <w:jc w:val="center"/>
              <w:rPr>
                <w:rFonts w:ascii="黑体" w:hAnsi="黑体" w:eastAsia="黑体"/>
                <w:kern w:val="0"/>
              </w:rPr>
            </w:pPr>
            <w:r>
              <w:rPr>
                <w:rFonts w:hint="eastAsia" w:ascii="黑体" w:hAnsi="黑体" w:eastAsia="黑体" w:cs="黑体"/>
                <w:kern w:val="0"/>
              </w:rPr>
              <w:t>参考评分标准</w:t>
            </w:r>
          </w:p>
        </w:tc>
        <w:tc>
          <w:tcPr>
            <w:tcW w:w="330" w:type="pct"/>
            <w:vMerge w:val="restart"/>
            <w:tcBorders>
              <w:top w:val="single" w:color="auto" w:sz="4" w:space="0"/>
              <w:left w:val="nil"/>
              <w:right w:val="single" w:color="auto" w:sz="4" w:space="0"/>
            </w:tcBorders>
            <w:vAlign w:val="center"/>
          </w:tcPr>
          <w:p>
            <w:pPr>
              <w:widowControl/>
              <w:spacing w:line="320" w:lineRule="exact"/>
              <w:jc w:val="center"/>
              <w:rPr>
                <w:rFonts w:ascii="黑体" w:hAnsi="黑体" w:eastAsia="黑体" w:cs="黑体"/>
                <w:kern w:val="0"/>
              </w:rPr>
            </w:pPr>
            <w:r>
              <w:rPr>
                <w:rFonts w:hint="eastAsia" w:ascii="黑体" w:hAnsi="黑体" w:eastAsia="黑体" w:cs="黑体"/>
                <w:kern w:val="0"/>
              </w:rPr>
              <w:t>得分</w:t>
            </w:r>
          </w:p>
        </w:tc>
      </w:tr>
      <w:tr>
        <w:tblPrEx>
          <w:tblCellMar>
            <w:top w:w="0" w:type="dxa"/>
            <w:left w:w="108" w:type="dxa"/>
            <w:bottom w:w="0" w:type="dxa"/>
            <w:right w:w="108" w:type="dxa"/>
          </w:tblCellMar>
        </w:tblPrEx>
        <w:trPr>
          <w:trHeight w:val="463" w:hRule="atLeast"/>
          <w:tblHeader/>
        </w:trPr>
        <w:tc>
          <w:tcPr>
            <w:tcW w:w="300" w:type="pct"/>
            <w:gridSpan w:val="2"/>
            <w:tcBorders>
              <w:top w:val="nil"/>
              <w:left w:val="single" w:color="auto" w:sz="4" w:space="0"/>
              <w:bottom w:val="single" w:color="auto" w:sz="4" w:space="0"/>
              <w:right w:val="single" w:color="auto" w:sz="4" w:space="0"/>
            </w:tcBorders>
            <w:vAlign w:val="center"/>
          </w:tcPr>
          <w:p>
            <w:pPr>
              <w:widowControl/>
              <w:spacing w:line="320" w:lineRule="exact"/>
              <w:jc w:val="center"/>
              <w:rPr>
                <w:rFonts w:ascii="黑体" w:hAnsi="黑体" w:eastAsia="黑体"/>
                <w:kern w:val="0"/>
              </w:rPr>
            </w:pPr>
            <w:r>
              <w:rPr>
                <w:rFonts w:hint="eastAsia" w:ascii="黑体" w:hAnsi="黑体" w:eastAsia="黑体" w:cs="黑体"/>
                <w:kern w:val="0"/>
              </w:rPr>
              <w:t>一级指标</w:t>
            </w:r>
          </w:p>
        </w:tc>
        <w:tc>
          <w:tcPr>
            <w:tcW w:w="300" w:type="pct"/>
            <w:gridSpan w:val="2"/>
            <w:tcBorders>
              <w:top w:val="nil"/>
              <w:left w:val="nil"/>
              <w:bottom w:val="single" w:color="auto" w:sz="4" w:space="0"/>
              <w:right w:val="single" w:color="auto" w:sz="4" w:space="0"/>
            </w:tcBorders>
            <w:vAlign w:val="center"/>
          </w:tcPr>
          <w:p>
            <w:pPr>
              <w:widowControl/>
              <w:spacing w:line="320" w:lineRule="exact"/>
              <w:jc w:val="center"/>
              <w:rPr>
                <w:rFonts w:ascii="黑体" w:hAnsi="黑体" w:eastAsia="黑体"/>
                <w:kern w:val="0"/>
              </w:rPr>
            </w:pPr>
            <w:r>
              <w:rPr>
                <w:rFonts w:hint="eastAsia" w:ascii="黑体" w:hAnsi="黑体" w:eastAsia="黑体" w:cs="黑体"/>
                <w:kern w:val="0"/>
              </w:rPr>
              <w:t>二级指标</w:t>
            </w:r>
          </w:p>
        </w:tc>
        <w:tc>
          <w:tcPr>
            <w:tcW w:w="378" w:type="pct"/>
            <w:gridSpan w:val="2"/>
            <w:tcBorders>
              <w:top w:val="nil"/>
              <w:left w:val="nil"/>
              <w:bottom w:val="single" w:color="auto" w:sz="4" w:space="0"/>
              <w:right w:val="single" w:color="auto" w:sz="4" w:space="0"/>
            </w:tcBorders>
            <w:vAlign w:val="center"/>
          </w:tcPr>
          <w:p>
            <w:pPr>
              <w:widowControl/>
              <w:spacing w:line="320" w:lineRule="exact"/>
              <w:jc w:val="center"/>
              <w:rPr>
                <w:rFonts w:ascii="黑体" w:hAnsi="黑体" w:eastAsia="黑体"/>
                <w:kern w:val="0"/>
              </w:rPr>
            </w:pPr>
            <w:r>
              <w:rPr>
                <w:rFonts w:hint="eastAsia" w:ascii="黑体" w:hAnsi="黑体" w:eastAsia="黑体" w:cs="黑体"/>
                <w:kern w:val="0"/>
              </w:rPr>
              <w:t>三级指标</w:t>
            </w:r>
          </w:p>
        </w:tc>
        <w:tc>
          <w:tcPr>
            <w:tcW w:w="705" w:type="pct"/>
            <w:vMerge w:val="continue"/>
            <w:tcBorders>
              <w:left w:val="nil"/>
              <w:right w:val="single" w:color="auto" w:sz="4" w:space="0"/>
            </w:tcBorders>
            <w:vAlign w:val="center"/>
          </w:tcPr>
          <w:p>
            <w:pPr>
              <w:spacing w:line="320" w:lineRule="exact"/>
              <w:jc w:val="center"/>
              <w:rPr>
                <w:rFonts w:ascii="黑体" w:hAnsi="黑体" w:eastAsia="黑体"/>
                <w:kern w:val="0"/>
                <w:sz w:val="15"/>
                <w:szCs w:val="15"/>
              </w:rPr>
            </w:pPr>
          </w:p>
        </w:tc>
        <w:tc>
          <w:tcPr>
            <w:tcW w:w="2984" w:type="pct"/>
            <w:vMerge w:val="continue"/>
            <w:tcBorders>
              <w:left w:val="nil"/>
              <w:right w:val="single" w:color="auto" w:sz="4" w:space="0"/>
            </w:tcBorders>
            <w:vAlign w:val="center"/>
          </w:tcPr>
          <w:p>
            <w:pPr>
              <w:spacing w:line="320" w:lineRule="exact"/>
              <w:jc w:val="center"/>
              <w:rPr>
                <w:rFonts w:ascii="黑体" w:hAnsi="黑体" w:eastAsia="黑体"/>
                <w:kern w:val="0"/>
                <w:sz w:val="15"/>
                <w:szCs w:val="15"/>
              </w:rPr>
            </w:pPr>
          </w:p>
        </w:tc>
        <w:tc>
          <w:tcPr>
            <w:tcW w:w="330" w:type="pct"/>
            <w:vMerge w:val="continue"/>
            <w:tcBorders>
              <w:left w:val="nil"/>
              <w:right w:val="single" w:color="auto" w:sz="4" w:space="0"/>
            </w:tcBorders>
            <w:vAlign w:val="center"/>
          </w:tcPr>
          <w:p>
            <w:pPr>
              <w:widowControl/>
              <w:spacing w:line="320" w:lineRule="exact"/>
              <w:jc w:val="center"/>
              <w:rPr>
                <w:rFonts w:ascii="黑体" w:hAnsi="黑体" w:eastAsia="黑体" w:cs="黑体"/>
                <w:kern w:val="0"/>
              </w:rPr>
            </w:pPr>
          </w:p>
        </w:tc>
      </w:tr>
      <w:tr>
        <w:tblPrEx>
          <w:tblCellMar>
            <w:top w:w="0" w:type="dxa"/>
            <w:left w:w="108" w:type="dxa"/>
            <w:bottom w:w="0" w:type="dxa"/>
            <w:right w:w="108" w:type="dxa"/>
          </w:tblCellMar>
        </w:tblPrEx>
        <w:trPr>
          <w:trHeight w:val="180" w:hRule="atLeast"/>
          <w:tblHeader/>
        </w:trPr>
        <w:tc>
          <w:tcPr>
            <w:tcW w:w="150" w:type="pct"/>
            <w:tcBorders>
              <w:top w:val="nil"/>
              <w:left w:val="single" w:color="auto" w:sz="4" w:space="0"/>
              <w:bottom w:val="single" w:color="auto" w:sz="4" w:space="0"/>
              <w:right w:val="single" w:color="auto" w:sz="4" w:space="0"/>
            </w:tcBorders>
            <w:vAlign w:val="center"/>
          </w:tcPr>
          <w:p>
            <w:pPr>
              <w:widowControl/>
              <w:spacing w:line="320" w:lineRule="exact"/>
              <w:jc w:val="center"/>
              <w:rPr>
                <w:rFonts w:ascii="黑体" w:hAnsi="黑体" w:eastAsia="黑体"/>
                <w:kern w:val="0"/>
              </w:rPr>
            </w:pPr>
            <w:r>
              <w:rPr>
                <w:rFonts w:hint="eastAsia" w:ascii="黑体" w:hAnsi="黑体" w:eastAsia="黑体" w:cs="黑体"/>
                <w:kern w:val="0"/>
              </w:rPr>
              <w:t>名称</w:t>
            </w:r>
          </w:p>
        </w:tc>
        <w:tc>
          <w:tcPr>
            <w:tcW w:w="150" w:type="pct"/>
            <w:tcBorders>
              <w:top w:val="nil"/>
              <w:left w:val="nil"/>
              <w:bottom w:val="single" w:color="auto" w:sz="4" w:space="0"/>
              <w:right w:val="single" w:color="auto" w:sz="4" w:space="0"/>
            </w:tcBorders>
            <w:vAlign w:val="center"/>
          </w:tcPr>
          <w:p>
            <w:pPr>
              <w:widowControl/>
              <w:spacing w:line="320" w:lineRule="exact"/>
              <w:jc w:val="center"/>
              <w:rPr>
                <w:rFonts w:ascii="黑体" w:hAnsi="黑体" w:eastAsia="黑体"/>
                <w:kern w:val="0"/>
              </w:rPr>
            </w:pPr>
            <w:r>
              <w:rPr>
                <w:rFonts w:hint="eastAsia" w:ascii="黑体" w:hAnsi="黑体" w:eastAsia="黑体" w:cs="黑体"/>
                <w:kern w:val="0"/>
              </w:rPr>
              <w:t>参考分值</w:t>
            </w:r>
          </w:p>
        </w:tc>
        <w:tc>
          <w:tcPr>
            <w:tcW w:w="150" w:type="pct"/>
            <w:tcBorders>
              <w:top w:val="nil"/>
              <w:left w:val="nil"/>
              <w:bottom w:val="single" w:color="auto" w:sz="4" w:space="0"/>
              <w:right w:val="single" w:color="auto" w:sz="4" w:space="0"/>
            </w:tcBorders>
            <w:vAlign w:val="center"/>
          </w:tcPr>
          <w:p>
            <w:pPr>
              <w:widowControl/>
              <w:spacing w:line="320" w:lineRule="exact"/>
              <w:jc w:val="center"/>
              <w:rPr>
                <w:rFonts w:ascii="黑体" w:hAnsi="黑体" w:eastAsia="黑体"/>
                <w:kern w:val="0"/>
              </w:rPr>
            </w:pPr>
            <w:r>
              <w:rPr>
                <w:rFonts w:hint="eastAsia" w:ascii="黑体" w:hAnsi="黑体" w:eastAsia="黑体" w:cs="黑体"/>
                <w:kern w:val="0"/>
              </w:rPr>
              <w:t>名称</w:t>
            </w:r>
          </w:p>
        </w:tc>
        <w:tc>
          <w:tcPr>
            <w:tcW w:w="150" w:type="pct"/>
            <w:tcBorders>
              <w:top w:val="nil"/>
              <w:left w:val="nil"/>
              <w:bottom w:val="single" w:color="auto" w:sz="4" w:space="0"/>
              <w:right w:val="single" w:color="auto" w:sz="4" w:space="0"/>
            </w:tcBorders>
            <w:vAlign w:val="center"/>
          </w:tcPr>
          <w:p>
            <w:pPr>
              <w:widowControl/>
              <w:spacing w:line="320" w:lineRule="exact"/>
              <w:jc w:val="center"/>
              <w:rPr>
                <w:rFonts w:ascii="黑体" w:hAnsi="黑体" w:eastAsia="黑体"/>
                <w:kern w:val="0"/>
              </w:rPr>
            </w:pPr>
            <w:r>
              <w:rPr>
                <w:rFonts w:hint="eastAsia" w:ascii="黑体" w:hAnsi="黑体" w:eastAsia="黑体" w:cs="黑体"/>
                <w:kern w:val="0"/>
              </w:rPr>
              <w:t>参考分值</w:t>
            </w:r>
          </w:p>
        </w:tc>
        <w:tc>
          <w:tcPr>
            <w:tcW w:w="224" w:type="pct"/>
            <w:tcBorders>
              <w:top w:val="nil"/>
              <w:left w:val="nil"/>
              <w:bottom w:val="single" w:color="auto" w:sz="4" w:space="0"/>
              <w:right w:val="single" w:color="auto" w:sz="4" w:space="0"/>
            </w:tcBorders>
            <w:vAlign w:val="center"/>
          </w:tcPr>
          <w:p>
            <w:pPr>
              <w:widowControl/>
              <w:spacing w:line="320" w:lineRule="exact"/>
              <w:jc w:val="center"/>
              <w:rPr>
                <w:rFonts w:ascii="黑体" w:hAnsi="黑体" w:eastAsia="黑体"/>
                <w:kern w:val="0"/>
              </w:rPr>
            </w:pPr>
            <w:r>
              <w:rPr>
                <w:rFonts w:hint="eastAsia" w:ascii="黑体" w:hAnsi="黑体" w:eastAsia="黑体" w:cs="黑体"/>
                <w:kern w:val="0"/>
              </w:rPr>
              <w:t>名称</w:t>
            </w:r>
          </w:p>
        </w:tc>
        <w:tc>
          <w:tcPr>
            <w:tcW w:w="153" w:type="pct"/>
            <w:tcBorders>
              <w:top w:val="nil"/>
              <w:left w:val="nil"/>
              <w:bottom w:val="single" w:color="auto" w:sz="4" w:space="0"/>
              <w:right w:val="single" w:color="auto" w:sz="4" w:space="0"/>
            </w:tcBorders>
            <w:vAlign w:val="center"/>
          </w:tcPr>
          <w:p>
            <w:pPr>
              <w:widowControl/>
              <w:spacing w:line="320" w:lineRule="exact"/>
              <w:jc w:val="center"/>
              <w:rPr>
                <w:rFonts w:ascii="黑体" w:hAnsi="黑体" w:eastAsia="黑体"/>
                <w:kern w:val="0"/>
              </w:rPr>
            </w:pPr>
            <w:r>
              <w:rPr>
                <w:rFonts w:hint="eastAsia" w:ascii="黑体" w:hAnsi="黑体" w:eastAsia="黑体" w:cs="黑体"/>
                <w:kern w:val="0"/>
              </w:rPr>
              <w:t>参考分值</w:t>
            </w:r>
          </w:p>
        </w:tc>
        <w:tc>
          <w:tcPr>
            <w:tcW w:w="705" w:type="pct"/>
            <w:vMerge w:val="continue"/>
            <w:tcBorders>
              <w:left w:val="nil"/>
              <w:bottom w:val="single" w:color="auto" w:sz="4" w:space="0"/>
              <w:right w:val="single" w:color="auto" w:sz="4" w:space="0"/>
            </w:tcBorders>
            <w:vAlign w:val="center"/>
          </w:tcPr>
          <w:p>
            <w:pPr>
              <w:widowControl/>
              <w:spacing w:line="320" w:lineRule="exact"/>
              <w:jc w:val="center"/>
              <w:rPr>
                <w:rFonts w:ascii="黑体" w:hAnsi="黑体" w:eastAsia="黑体"/>
                <w:kern w:val="0"/>
                <w:sz w:val="15"/>
                <w:szCs w:val="15"/>
              </w:rPr>
            </w:pPr>
          </w:p>
        </w:tc>
        <w:tc>
          <w:tcPr>
            <w:tcW w:w="2984" w:type="pct"/>
            <w:vMerge w:val="continue"/>
            <w:tcBorders>
              <w:left w:val="nil"/>
              <w:bottom w:val="single" w:color="auto" w:sz="4" w:space="0"/>
              <w:right w:val="single" w:color="auto" w:sz="4" w:space="0"/>
            </w:tcBorders>
            <w:vAlign w:val="center"/>
          </w:tcPr>
          <w:p>
            <w:pPr>
              <w:widowControl/>
              <w:spacing w:line="320" w:lineRule="exact"/>
              <w:jc w:val="center"/>
              <w:rPr>
                <w:rFonts w:ascii="黑体" w:hAnsi="黑体" w:eastAsia="黑体"/>
                <w:kern w:val="0"/>
                <w:sz w:val="15"/>
                <w:szCs w:val="15"/>
              </w:rPr>
            </w:pPr>
          </w:p>
        </w:tc>
        <w:tc>
          <w:tcPr>
            <w:tcW w:w="330" w:type="pct"/>
            <w:vMerge w:val="continue"/>
            <w:tcBorders>
              <w:left w:val="nil"/>
              <w:bottom w:val="single" w:color="auto" w:sz="4" w:space="0"/>
              <w:right w:val="single" w:color="auto" w:sz="4" w:space="0"/>
            </w:tcBorders>
            <w:vAlign w:val="center"/>
          </w:tcPr>
          <w:p>
            <w:pPr>
              <w:widowControl/>
              <w:spacing w:line="320" w:lineRule="exact"/>
              <w:jc w:val="center"/>
              <w:rPr>
                <w:rFonts w:ascii="黑体" w:hAnsi="黑体" w:eastAsia="黑体" w:cs="黑体"/>
                <w:kern w:val="0"/>
              </w:rPr>
            </w:pPr>
          </w:p>
        </w:tc>
      </w:tr>
      <w:tr>
        <w:tblPrEx>
          <w:tblCellMar>
            <w:top w:w="0" w:type="dxa"/>
            <w:left w:w="108" w:type="dxa"/>
            <w:bottom w:w="0" w:type="dxa"/>
            <w:right w:w="108" w:type="dxa"/>
          </w:tblCellMar>
        </w:tblPrEx>
        <w:trPr>
          <w:trHeight w:val="2643" w:hRule="atLeast"/>
        </w:trPr>
        <w:tc>
          <w:tcPr>
            <w:tcW w:w="150" w:type="pct"/>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部门决策</w:t>
            </w:r>
          </w:p>
        </w:tc>
        <w:tc>
          <w:tcPr>
            <w:tcW w:w="150" w:type="pct"/>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r>
              <w:rPr>
                <w:rFonts w:ascii="宋体" w:hAnsi="宋体" w:cs="宋体"/>
                <w:kern w:val="0"/>
              </w:rPr>
              <w:t>25</w:t>
            </w:r>
          </w:p>
        </w:tc>
        <w:tc>
          <w:tcPr>
            <w:tcW w:w="150" w:type="pct"/>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预算编制</w:t>
            </w:r>
          </w:p>
        </w:tc>
        <w:tc>
          <w:tcPr>
            <w:tcW w:w="150" w:type="pct"/>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kern w:val="0"/>
              </w:rPr>
            </w:pPr>
            <w:r>
              <w:rPr>
                <w:rFonts w:ascii="宋体" w:hAnsi="宋体" w:cs="宋体"/>
                <w:kern w:val="0"/>
              </w:rPr>
              <w:t>10</w:t>
            </w:r>
          </w:p>
        </w:tc>
        <w:tc>
          <w:tcPr>
            <w:tcW w:w="224" w:type="pct"/>
            <w:tcBorders>
              <w:top w:val="nil"/>
              <w:left w:val="nil"/>
              <w:bottom w:val="single" w:color="auto" w:sz="4" w:space="0"/>
              <w:right w:val="single" w:color="auto" w:sz="4" w:space="0"/>
            </w:tcBorders>
            <w:vAlign w:val="center"/>
          </w:tcPr>
          <w:p>
            <w:pPr>
              <w:widowControl/>
              <w:spacing w:line="300" w:lineRule="exact"/>
              <w:jc w:val="left"/>
              <w:rPr>
                <w:rFonts w:ascii="宋体"/>
                <w:kern w:val="0"/>
              </w:rPr>
            </w:pPr>
            <w:r>
              <w:rPr>
                <w:rFonts w:hint="eastAsia" w:ascii="宋体" w:hAnsi="宋体" w:cs="宋体"/>
                <w:kern w:val="0"/>
              </w:rPr>
              <w:t>预算编制合理性</w:t>
            </w:r>
          </w:p>
        </w:tc>
        <w:tc>
          <w:tcPr>
            <w:tcW w:w="153" w:type="pct"/>
            <w:tcBorders>
              <w:top w:val="nil"/>
              <w:left w:val="nil"/>
              <w:bottom w:val="single" w:color="auto" w:sz="4" w:space="0"/>
              <w:right w:val="single" w:color="auto" w:sz="4" w:space="0"/>
            </w:tcBorders>
            <w:vAlign w:val="center"/>
          </w:tcPr>
          <w:p>
            <w:pPr>
              <w:widowControl/>
              <w:spacing w:line="300" w:lineRule="exact"/>
              <w:jc w:val="center"/>
              <w:rPr>
                <w:rFonts w:ascii="宋体"/>
                <w:kern w:val="0"/>
              </w:rPr>
            </w:pPr>
            <w:r>
              <w:rPr>
                <w:rFonts w:ascii="宋体" w:hAnsi="宋体" w:cs="宋体"/>
                <w:kern w:val="0"/>
              </w:rPr>
              <w:t>5</w:t>
            </w:r>
          </w:p>
        </w:tc>
        <w:tc>
          <w:tcPr>
            <w:tcW w:w="705" w:type="pct"/>
            <w:tcBorders>
              <w:top w:val="nil"/>
              <w:left w:val="nil"/>
              <w:bottom w:val="single" w:color="auto" w:sz="4" w:space="0"/>
              <w:right w:val="single" w:color="auto" w:sz="4" w:space="0"/>
            </w:tcBorders>
            <w:vAlign w:val="center"/>
          </w:tcPr>
          <w:p>
            <w:pPr>
              <w:widowControl/>
              <w:spacing w:line="300" w:lineRule="exact"/>
              <w:rPr>
                <w:rFonts w:ascii="宋体"/>
                <w:kern w:val="0"/>
              </w:rPr>
            </w:pPr>
            <w:r>
              <w:rPr>
                <w:rFonts w:hint="eastAsia" w:ascii="宋体" w:hAnsi="宋体" w:cs="宋体"/>
                <w:kern w:val="0"/>
              </w:rPr>
              <w:t>部门（单位）预算的合理性，即是否符合本部门职责、是否符合市委市政府的方针政策和工作要求，资金有无根据项目的轻重缓急进行分配。</w:t>
            </w:r>
          </w:p>
        </w:tc>
        <w:tc>
          <w:tcPr>
            <w:tcW w:w="2984" w:type="pct"/>
            <w:tcBorders>
              <w:top w:val="nil"/>
              <w:left w:val="nil"/>
              <w:bottom w:val="single" w:color="auto" w:sz="4" w:space="0"/>
              <w:right w:val="single" w:color="auto" w:sz="4" w:space="0"/>
            </w:tcBorders>
          </w:tcPr>
          <w:p>
            <w:pPr>
              <w:widowControl/>
              <w:spacing w:line="300" w:lineRule="exact"/>
              <w:jc w:val="left"/>
              <w:rPr>
                <w:rFonts w:ascii="宋体"/>
                <w:kern w:val="0"/>
              </w:rPr>
            </w:pPr>
            <w:r>
              <w:rPr>
                <w:rFonts w:ascii="宋体" w:hAnsi="宋体" w:cs="宋体"/>
                <w:kern w:val="0"/>
              </w:rPr>
              <w:t xml:space="preserve">   1.</w:t>
            </w:r>
            <w:r>
              <w:rPr>
                <w:rFonts w:hint="eastAsia" w:ascii="宋体" w:hAnsi="宋体" w:cs="宋体"/>
                <w:kern w:val="0"/>
              </w:rPr>
              <w:t>部门预算编制、分配符合本部门职责、符合市委市政府方针政策和工作要求（</w:t>
            </w:r>
            <w:r>
              <w:rPr>
                <w:rFonts w:ascii="宋体" w:hAnsi="宋体" w:cs="宋体"/>
                <w:kern w:val="0"/>
              </w:rPr>
              <w:t>1</w:t>
            </w:r>
            <w:r>
              <w:rPr>
                <w:rFonts w:hint="eastAsia" w:ascii="宋体" w:hAnsi="宋体" w:cs="宋体"/>
                <w:kern w:val="0"/>
              </w:rPr>
              <w:t>分）；</w:t>
            </w:r>
            <w:r>
              <w:rPr>
                <w:rFonts w:ascii="宋体"/>
                <w:kern w:val="0"/>
              </w:rPr>
              <w:br w:type="textWrapping"/>
            </w:r>
            <w:r>
              <w:rPr>
                <w:rFonts w:ascii="宋体" w:hAnsi="宋体" w:cs="宋体"/>
                <w:kern w:val="0"/>
              </w:rPr>
              <w:t xml:space="preserve">   2.</w:t>
            </w:r>
            <w:r>
              <w:rPr>
                <w:rFonts w:hint="eastAsia" w:ascii="宋体" w:hAnsi="宋体" w:cs="宋体"/>
                <w:kern w:val="0"/>
              </w:rPr>
              <w:t>部门预算资金能根据年度工作重点，在不同项目、不同用途之间合理分配（</w:t>
            </w:r>
            <w:r>
              <w:rPr>
                <w:rFonts w:ascii="宋体" w:hAnsi="宋体" w:cs="宋体"/>
                <w:kern w:val="0"/>
              </w:rPr>
              <w:t>1</w:t>
            </w:r>
            <w:r>
              <w:rPr>
                <w:rFonts w:hint="eastAsia" w:ascii="宋体" w:hAnsi="宋体" w:cs="宋体"/>
                <w:kern w:val="0"/>
              </w:rPr>
              <w:t>分）；</w:t>
            </w:r>
            <w:r>
              <w:rPr>
                <w:rFonts w:ascii="宋体" w:hAnsi="宋体" w:cs="宋体"/>
                <w:kern w:val="0"/>
              </w:rPr>
              <w:t xml:space="preserve">                                                            </w:t>
            </w:r>
            <w:r>
              <w:rPr>
                <w:rFonts w:ascii="宋体" w:hAnsi="宋体" w:cs="宋体"/>
                <w:kern w:val="0"/>
              </w:rPr>
              <w:br w:type="textWrapping"/>
            </w:r>
            <w:r>
              <w:rPr>
                <w:rFonts w:ascii="宋体" w:hAnsi="宋体" w:cs="宋体"/>
                <w:kern w:val="0"/>
              </w:rPr>
              <w:t xml:space="preserve">   3.</w:t>
            </w:r>
            <w:r>
              <w:rPr>
                <w:rFonts w:hint="eastAsia" w:ascii="宋体" w:hAnsi="宋体" w:cs="宋体"/>
                <w:kern w:val="0"/>
              </w:rPr>
              <w:t>专项资金预算编制细化程度合理，未出现因年中调剂导致部门预决算差异过大问题（</w:t>
            </w:r>
            <w:r>
              <w:rPr>
                <w:rFonts w:ascii="宋体" w:hAnsi="宋体" w:cs="宋体"/>
                <w:kern w:val="0"/>
              </w:rPr>
              <w:t>1</w:t>
            </w:r>
            <w:r>
              <w:rPr>
                <w:rFonts w:hint="eastAsia" w:ascii="宋体" w:hAnsi="宋体" w:cs="宋体"/>
                <w:kern w:val="0"/>
              </w:rPr>
              <w:t>分）；</w:t>
            </w:r>
            <w:r>
              <w:rPr>
                <w:rFonts w:ascii="宋体" w:hAnsi="宋体" w:cs="宋体"/>
                <w:kern w:val="0"/>
              </w:rPr>
              <w:t xml:space="preserve">                                                                                       </w:t>
            </w:r>
            <w:r>
              <w:rPr>
                <w:rFonts w:ascii="宋体" w:hAnsi="宋体" w:cs="宋体"/>
                <w:kern w:val="0"/>
              </w:rPr>
              <w:br w:type="textWrapping"/>
            </w:r>
            <w:r>
              <w:rPr>
                <w:rFonts w:ascii="宋体" w:hAnsi="宋体" w:cs="宋体"/>
                <w:kern w:val="0"/>
              </w:rPr>
              <w:t xml:space="preserve">   4.</w:t>
            </w:r>
            <w:r>
              <w:rPr>
                <w:rFonts w:hint="eastAsia" w:ascii="宋体" w:hAnsi="宋体" w:cs="宋体"/>
                <w:kern w:val="0"/>
              </w:rPr>
              <w:t>功能分类和经济分类编制准确，年度中间无大量调剂，未发生项目之间频繁调剂（</w:t>
            </w:r>
            <w:r>
              <w:rPr>
                <w:rFonts w:ascii="宋体" w:hAnsi="宋体" w:cs="宋体"/>
                <w:kern w:val="0"/>
              </w:rPr>
              <w:t>1</w:t>
            </w:r>
            <w:r>
              <w:rPr>
                <w:rFonts w:hint="eastAsia" w:ascii="宋体" w:hAnsi="宋体" w:cs="宋体"/>
                <w:kern w:val="0"/>
              </w:rPr>
              <w:t>分）；</w:t>
            </w:r>
            <w:r>
              <w:rPr>
                <w:rFonts w:ascii="宋体"/>
                <w:kern w:val="0"/>
              </w:rPr>
              <w:br w:type="textWrapping"/>
            </w:r>
            <w:r>
              <w:rPr>
                <w:rFonts w:ascii="宋体" w:hAnsi="宋体" w:cs="宋体"/>
                <w:kern w:val="0"/>
              </w:rPr>
              <w:t xml:space="preserve">   5.</w:t>
            </w:r>
            <w:r>
              <w:rPr>
                <w:rFonts w:hint="eastAsia" w:ascii="宋体" w:hAnsi="宋体" w:cs="宋体"/>
                <w:kern w:val="0"/>
              </w:rPr>
              <w:t>部门预算分配不固化，能根据实际情况合理调整，不存在项目支出进度慢、完成率低、绩效较差，但连年持续安排预算等不合理的情况（</w:t>
            </w:r>
            <w:r>
              <w:rPr>
                <w:rFonts w:ascii="宋体" w:hAnsi="宋体" w:cs="宋体"/>
                <w:kern w:val="0"/>
              </w:rPr>
              <w:t>1</w:t>
            </w:r>
            <w:r>
              <w:rPr>
                <w:rFonts w:hint="eastAsia" w:ascii="宋体" w:hAnsi="宋体" w:cs="宋体"/>
                <w:kern w:val="0"/>
              </w:rPr>
              <w:t>分）。</w:t>
            </w:r>
          </w:p>
        </w:tc>
        <w:tc>
          <w:tcPr>
            <w:tcW w:w="330" w:type="pct"/>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kern w:val="0"/>
              </w:rPr>
            </w:pPr>
            <w:r>
              <w:rPr>
                <w:rFonts w:hint="eastAsia" w:ascii="宋体" w:hAnsi="宋体" w:cs="宋体"/>
                <w:kern w:val="0"/>
              </w:rPr>
              <w:t>5</w:t>
            </w:r>
          </w:p>
        </w:tc>
      </w:tr>
      <w:tr>
        <w:tblPrEx>
          <w:tblCellMar>
            <w:top w:w="0" w:type="dxa"/>
            <w:left w:w="108" w:type="dxa"/>
            <w:bottom w:w="0" w:type="dxa"/>
            <w:right w:w="108" w:type="dxa"/>
          </w:tblCellMar>
        </w:tblPrEx>
        <w:trPr>
          <w:trHeight w:val="836" w:hRule="atLeast"/>
        </w:trPr>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kern w:val="0"/>
              </w:rPr>
            </w:pPr>
          </w:p>
        </w:tc>
        <w:tc>
          <w:tcPr>
            <w:tcW w:w="224" w:type="pct"/>
            <w:tcBorders>
              <w:top w:val="nil"/>
              <w:left w:val="nil"/>
              <w:bottom w:val="single" w:color="auto" w:sz="4" w:space="0"/>
              <w:right w:val="single" w:color="auto" w:sz="4" w:space="0"/>
            </w:tcBorders>
            <w:vAlign w:val="center"/>
          </w:tcPr>
          <w:p>
            <w:pPr>
              <w:widowControl/>
              <w:spacing w:line="300" w:lineRule="exact"/>
              <w:jc w:val="left"/>
              <w:rPr>
                <w:rFonts w:ascii="宋体"/>
                <w:kern w:val="0"/>
              </w:rPr>
            </w:pPr>
            <w:r>
              <w:rPr>
                <w:rFonts w:hint="eastAsia" w:ascii="宋体" w:hAnsi="宋体" w:cs="宋体"/>
                <w:kern w:val="0"/>
              </w:rPr>
              <w:t>预算编制规范性</w:t>
            </w:r>
          </w:p>
        </w:tc>
        <w:tc>
          <w:tcPr>
            <w:tcW w:w="153" w:type="pct"/>
            <w:tcBorders>
              <w:top w:val="nil"/>
              <w:left w:val="nil"/>
              <w:bottom w:val="single" w:color="auto" w:sz="4" w:space="0"/>
              <w:right w:val="single" w:color="auto" w:sz="4" w:space="0"/>
            </w:tcBorders>
            <w:vAlign w:val="center"/>
          </w:tcPr>
          <w:p>
            <w:pPr>
              <w:widowControl/>
              <w:spacing w:line="300" w:lineRule="exact"/>
              <w:jc w:val="center"/>
              <w:rPr>
                <w:rFonts w:ascii="宋体"/>
                <w:kern w:val="0"/>
              </w:rPr>
            </w:pPr>
            <w:r>
              <w:rPr>
                <w:rFonts w:ascii="宋体" w:hAnsi="宋体" w:cs="宋体"/>
                <w:kern w:val="0"/>
              </w:rPr>
              <w:t>5</w:t>
            </w:r>
          </w:p>
        </w:tc>
        <w:tc>
          <w:tcPr>
            <w:tcW w:w="705" w:type="pct"/>
            <w:tcBorders>
              <w:top w:val="nil"/>
              <w:left w:val="nil"/>
              <w:bottom w:val="single" w:color="auto" w:sz="4" w:space="0"/>
              <w:right w:val="single" w:color="auto" w:sz="4" w:space="0"/>
            </w:tcBorders>
            <w:vAlign w:val="center"/>
          </w:tcPr>
          <w:p>
            <w:pPr>
              <w:widowControl/>
              <w:spacing w:line="300" w:lineRule="exact"/>
              <w:rPr>
                <w:rFonts w:ascii="宋体"/>
                <w:kern w:val="0"/>
              </w:rPr>
            </w:pPr>
            <w:r>
              <w:rPr>
                <w:rFonts w:hint="eastAsia" w:ascii="宋体" w:hAnsi="宋体" w:cs="宋体"/>
                <w:kern w:val="0"/>
              </w:rPr>
              <w:t>部门（单位）预算编制是否符合财政部门当年度关于预算编制在规范性、完整性、细化程度等方面的原则和要求。</w:t>
            </w:r>
          </w:p>
        </w:tc>
        <w:tc>
          <w:tcPr>
            <w:tcW w:w="2984" w:type="pct"/>
            <w:tcBorders>
              <w:top w:val="nil"/>
              <w:left w:val="nil"/>
              <w:bottom w:val="single" w:color="auto" w:sz="4" w:space="0"/>
              <w:right w:val="single" w:color="auto" w:sz="4" w:space="0"/>
            </w:tcBorders>
          </w:tcPr>
          <w:p>
            <w:pPr>
              <w:widowControl/>
              <w:spacing w:line="300" w:lineRule="exact"/>
              <w:ind w:firstLine="315" w:firstLineChars="150"/>
              <w:jc w:val="left"/>
              <w:rPr>
                <w:rFonts w:ascii="宋体"/>
                <w:kern w:val="0"/>
              </w:rPr>
            </w:pPr>
            <w:r>
              <w:rPr>
                <w:rFonts w:ascii="宋体" w:hAnsi="宋体" w:cs="宋体"/>
                <w:kern w:val="0"/>
              </w:rPr>
              <w:t>1.</w:t>
            </w:r>
            <w:r>
              <w:rPr>
                <w:rFonts w:hint="eastAsia" w:ascii="宋体" w:hAnsi="宋体" w:cs="宋体"/>
                <w:kern w:val="0"/>
              </w:rPr>
              <w:t>部门（单位）预算编制符合财政部门当年度关于预算编制的各项原则和要求，符合专项资金预算编制、项目库管理、新增项目事前绩效评估等要求（</w:t>
            </w:r>
            <w:r>
              <w:rPr>
                <w:rFonts w:ascii="宋体" w:hAnsi="宋体" w:cs="宋体"/>
                <w:kern w:val="0"/>
              </w:rPr>
              <w:t>5</w:t>
            </w:r>
            <w:r>
              <w:rPr>
                <w:rFonts w:hint="eastAsia" w:ascii="宋体" w:hAnsi="宋体" w:cs="宋体"/>
                <w:kern w:val="0"/>
              </w:rPr>
              <w:t>分）；</w:t>
            </w:r>
          </w:p>
          <w:p>
            <w:pPr>
              <w:widowControl/>
              <w:spacing w:line="300" w:lineRule="exact"/>
              <w:ind w:firstLine="315" w:firstLineChars="150"/>
              <w:jc w:val="left"/>
              <w:rPr>
                <w:rFonts w:ascii="宋体"/>
                <w:kern w:val="0"/>
              </w:rPr>
            </w:pPr>
            <w:r>
              <w:rPr>
                <w:rFonts w:ascii="宋体" w:hAnsi="宋体" w:cs="宋体"/>
                <w:kern w:val="0"/>
              </w:rPr>
              <w:t>2.</w:t>
            </w:r>
            <w:r>
              <w:rPr>
                <w:rFonts w:hint="eastAsia" w:ascii="宋体" w:hAnsi="宋体" w:cs="宋体"/>
                <w:kern w:val="0"/>
              </w:rPr>
              <w:t>发现一项不符合的扣</w:t>
            </w:r>
            <w:r>
              <w:rPr>
                <w:rFonts w:ascii="宋体" w:hAnsi="宋体" w:cs="宋体"/>
                <w:kern w:val="0"/>
              </w:rPr>
              <w:t>1</w:t>
            </w:r>
            <w:r>
              <w:rPr>
                <w:rFonts w:hint="eastAsia" w:ascii="宋体" w:hAnsi="宋体" w:cs="宋体"/>
                <w:kern w:val="0"/>
              </w:rPr>
              <w:t>分，扣完为止。</w:t>
            </w:r>
          </w:p>
          <w:p>
            <w:pPr>
              <w:widowControl/>
              <w:spacing w:line="300" w:lineRule="exact"/>
              <w:ind w:firstLine="315" w:firstLineChars="150"/>
              <w:jc w:val="left"/>
              <w:rPr>
                <w:rFonts w:ascii="宋体"/>
                <w:kern w:val="0"/>
              </w:rPr>
            </w:pPr>
            <w:r>
              <w:rPr>
                <w:rFonts w:hint="eastAsia" w:ascii="宋体" w:hAnsi="宋体" w:cs="宋体"/>
                <w:kern w:val="0"/>
              </w:rPr>
              <w:t>本指标需对照相应年度由财政部门印发的部门预算编制工作方案、通知和有关制度文件，根据实际情况评分。</w:t>
            </w:r>
          </w:p>
        </w:tc>
        <w:tc>
          <w:tcPr>
            <w:tcW w:w="330" w:type="pct"/>
            <w:tcBorders>
              <w:top w:val="nil"/>
              <w:left w:val="nil"/>
              <w:bottom w:val="single" w:color="auto" w:sz="4" w:space="0"/>
              <w:right w:val="single" w:color="auto" w:sz="4" w:space="0"/>
            </w:tcBorders>
            <w:vAlign w:val="center"/>
          </w:tcPr>
          <w:p>
            <w:pPr>
              <w:widowControl/>
              <w:spacing w:line="300" w:lineRule="exact"/>
              <w:ind w:firstLine="315" w:firstLineChars="150"/>
              <w:rPr>
                <w:rFonts w:ascii="宋体" w:hAnsi="宋体" w:cs="宋体"/>
                <w:kern w:val="0"/>
              </w:rPr>
            </w:pPr>
            <w:r>
              <w:rPr>
                <w:rFonts w:hint="eastAsia" w:ascii="宋体" w:hAnsi="宋体" w:cs="宋体"/>
                <w:kern w:val="0"/>
              </w:rPr>
              <w:t>5</w:t>
            </w:r>
          </w:p>
        </w:tc>
      </w:tr>
      <w:tr>
        <w:tblPrEx>
          <w:tblCellMar>
            <w:top w:w="0" w:type="dxa"/>
            <w:left w:w="108" w:type="dxa"/>
            <w:bottom w:w="0" w:type="dxa"/>
            <w:right w:w="108" w:type="dxa"/>
          </w:tblCellMar>
        </w:tblPrEx>
        <w:trPr>
          <w:trHeight w:val="1621" w:hRule="atLeast"/>
        </w:trPr>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目标设置</w:t>
            </w:r>
          </w:p>
        </w:tc>
        <w:tc>
          <w:tcPr>
            <w:tcW w:w="150" w:type="pct"/>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15</w:t>
            </w:r>
          </w:p>
        </w:tc>
        <w:tc>
          <w:tcPr>
            <w:tcW w:w="224" w:type="pct"/>
            <w:tcBorders>
              <w:top w:val="nil"/>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绩效目标完整性</w:t>
            </w:r>
          </w:p>
        </w:tc>
        <w:tc>
          <w:tcPr>
            <w:tcW w:w="153" w:type="pct"/>
            <w:tcBorders>
              <w:top w:val="nil"/>
              <w:left w:val="nil"/>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8</w:t>
            </w:r>
          </w:p>
        </w:tc>
        <w:tc>
          <w:tcPr>
            <w:tcW w:w="705" w:type="pct"/>
            <w:tcBorders>
              <w:top w:val="nil"/>
              <w:left w:val="nil"/>
              <w:bottom w:val="single" w:color="auto" w:sz="4" w:space="0"/>
              <w:right w:val="single" w:color="auto" w:sz="4" w:space="0"/>
            </w:tcBorders>
            <w:vAlign w:val="center"/>
          </w:tcPr>
          <w:p>
            <w:pPr>
              <w:widowControl/>
              <w:spacing w:line="320" w:lineRule="exact"/>
              <w:rPr>
                <w:rFonts w:ascii="宋体"/>
                <w:kern w:val="0"/>
              </w:rPr>
            </w:pPr>
            <w:r>
              <w:rPr>
                <w:rFonts w:hint="eastAsia" w:ascii="宋体" w:hAnsi="宋体" w:cs="宋体"/>
                <w:kern w:val="0"/>
              </w:rPr>
              <w:t>部门（单位）是否按要求编报项目绩效目标，是否依据充分、内容完整、覆盖全面、符合实际。</w:t>
            </w:r>
          </w:p>
        </w:tc>
        <w:tc>
          <w:tcPr>
            <w:tcW w:w="2984" w:type="pct"/>
            <w:tcBorders>
              <w:top w:val="nil"/>
              <w:left w:val="nil"/>
              <w:bottom w:val="single" w:color="auto" w:sz="4" w:space="0"/>
              <w:right w:val="single" w:color="auto" w:sz="4" w:space="0"/>
            </w:tcBorders>
            <w:vAlign w:val="center"/>
          </w:tcPr>
          <w:p>
            <w:pPr>
              <w:widowControl/>
              <w:spacing w:line="320" w:lineRule="exact"/>
              <w:rPr>
                <w:rFonts w:ascii="宋体"/>
                <w:kern w:val="0"/>
              </w:rPr>
            </w:pPr>
            <w:r>
              <w:rPr>
                <w:rFonts w:ascii="宋体" w:hAnsi="宋体" w:cs="宋体"/>
                <w:kern w:val="0"/>
              </w:rPr>
              <w:t xml:space="preserve">   1.</w:t>
            </w:r>
            <w:r>
              <w:rPr>
                <w:rFonts w:hint="eastAsia" w:ascii="宋体" w:hAnsi="宋体" w:cs="宋体"/>
                <w:kern w:val="0"/>
              </w:rPr>
              <w:t>部门（单位）按要求编报部门整体和项目的绩效目标，实现绩效目标全覆盖（</w:t>
            </w:r>
            <w:r>
              <w:rPr>
                <w:rFonts w:ascii="宋体" w:hAnsi="宋体" w:cs="宋体"/>
                <w:kern w:val="0"/>
              </w:rPr>
              <w:t>8</w:t>
            </w:r>
            <w:r>
              <w:rPr>
                <w:rFonts w:hint="eastAsia" w:ascii="宋体" w:hAnsi="宋体" w:cs="宋体"/>
                <w:kern w:val="0"/>
              </w:rPr>
              <w:t>分）；</w:t>
            </w:r>
          </w:p>
          <w:p>
            <w:pPr>
              <w:widowControl/>
              <w:spacing w:line="320" w:lineRule="exact"/>
              <w:ind w:firstLine="315" w:firstLineChars="150"/>
              <w:rPr>
                <w:rFonts w:ascii="宋体"/>
                <w:kern w:val="0"/>
              </w:rPr>
            </w:pPr>
            <w:r>
              <w:rPr>
                <w:rFonts w:ascii="宋体" w:hAnsi="宋体" w:cs="宋体"/>
                <w:kern w:val="0"/>
              </w:rPr>
              <w:t>2.</w:t>
            </w:r>
            <w:r>
              <w:rPr>
                <w:rFonts w:hint="eastAsia" w:ascii="宋体" w:hAnsi="宋体" w:cs="宋体"/>
                <w:kern w:val="0"/>
              </w:rPr>
              <w:t>没按要求编报绩效目标或绩效目标不符合要求的，一项扣</w:t>
            </w:r>
            <w:r>
              <w:rPr>
                <w:rFonts w:ascii="宋体" w:hAnsi="宋体" w:cs="宋体"/>
                <w:kern w:val="0"/>
              </w:rPr>
              <w:t>1</w:t>
            </w:r>
            <w:r>
              <w:rPr>
                <w:rFonts w:hint="eastAsia" w:ascii="宋体" w:hAnsi="宋体" w:cs="宋体"/>
                <w:kern w:val="0"/>
              </w:rPr>
              <w:t>分，扣完为止。</w:t>
            </w:r>
          </w:p>
        </w:tc>
        <w:tc>
          <w:tcPr>
            <w:tcW w:w="330" w:type="pct"/>
            <w:tcBorders>
              <w:top w:val="nil"/>
              <w:left w:val="nil"/>
              <w:bottom w:val="single" w:color="auto" w:sz="4" w:space="0"/>
              <w:right w:val="single" w:color="auto" w:sz="4" w:space="0"/>
            </w:tcBorders>
            <w:vAlign w:val="center"/>
          </w:tcPr>
          <w:p>
            <w:pPr>
              <w:widowControl/>
              <w:spacing w:line="320" w:lineRule="exact"/>
              <w:ind w:firstLine="315" w:firstLineChars="150"/>
              <w:rPr>
                <w:rFonts w:ascii="宋体" w:hAnsi="宋体" w:cs="宋体"/>
                <w:kern w:val="0"/>
              </w:rPr>
            </w:pPr>
            <w:r>
              <w:rPr>
                <w:rFonts w:hint="eastAsia" w:ascii="宋体" w:hAnsi="宋体" w:cs="宋体"/>
                <w:kern w:val="0"/>
              </w:rPr>
              <w:t>8</w:t>
            </w:r>
          </w:p>
        </w:tc>
      </w:tr>
      <w:tr>
        <w:tblPrEx>
          <w:tblCellMar>
            <w:top w:w="0" w:type="dxa"/>
            <w:left w:w="108" w:type="dxa"/>
            <w:bottom w:w="0" w:type="dxa"/>
            <w:right w:w="108" w:type="dxa"/>
          </w:tblCellMar>
        </w:tblPrEx>
        <w:trPr>
          <w:trHeight w:val="1419" w:hRule="atLeast"/>
        </w:trPr>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kern w:val="0"/>
              </w:rPr>
            </w:pPr>
          </w:p>
        </w:tc>
        <w:tc>
          <w:tcPr>
            <w:tcW w:w="224" w:type="pct"/>
            <w:tcBorders>
              <w:top w:val="nil"/>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绩效指标明确性</w:t>
            </w:r>
          </w:p>
        </w:tc>
        <w:tc>
          <w:tcPr>
            <w:tcW w:w="153" w:type="pct"/>
            <w:tcBorders>
              <w:top w:val="nil"/>
              <w:left w:val="nil"/>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7</w:t>
            </w:r>
          </w:p>
        </w:tc>
        <w:tc>
          <w:tcPr>
            <w:tcW w:w="705" w:type="pct"/>
            <w:tcBorders>
              <w:top w:val="nil"/>
              <w:left w:val="nil"/>
              <w:bottom w:val="single" w:color="auto" w:sz="4" w:space="0"/>
              <w:right w:val="single" w:color="auto" w:sz="4" w:space="0"/>
            </w:tcBorders>
            <w:vAlign w:val="center"/>
          </w:tcPr>
          <w:p>
            <w:pPr>
              <w:widowControl/>
              <w:spacing w:line="320" w:lineRule="exact"/>
              <w:rPr>
                <w:rFonts w:ascii="宋体"/>
                <w:kern w:val="0"/>
              </w:rPr>
            </w:pPr>
            <w:r>
              <w:rPr>
                <w:rFonts w:hint="eastAsia" w:ascii="宋体" w:hAnsi="宋体" w:cs="宋体"/>
                <w:kern w:val="0"/>
              </w:rPr>
              <w:t>部门（单位）设定的绩效指标是否清晰、细化、可量化，用以反映和考核部门（单位）整体绩效目标的明细化情况。</w:t>
            </w:r>
          </w:p>
        </w:tc>
        <w:tc>
          <w:tcPr>
            <w:tcW w:w="2984" w:type="pct"/>
            <w:tcBorders>
              <w:top w:val="nil"/>
              <w:left w:val="nil"/>
              <w:bottom w:val="single" w:color="auto" w:sz="4" w:space="0"/>
              <w:right w:val="single" w:color="auto" w:sz="4" w:space="0"/>
            </w:tcBorders>
            <w:vAlign w:val="center"/>
          </w:tcPr>
          <w:p>
            <w:pPr>
              <w:widowControl/>
              <w:spacing w:line="320" w:lineRule="exact"/>
              <w:ind w:firstLine="420" w:firstLineChars="200"/>
              <w:rPr>
                <w:rFonts w:ascii="宋体"/>
                <w:kern w:val="0"/>
              </w:rPr>
            </w:pPr>
            <w:r>
              <w:rPr>
                <w:rFonts w:ascii="宋体" w:hAnsi="宋体" w:cs="宋体"/>
                <w:kern w:val="0"/>
              </w:rPr>
              <w:t>1.</w:t>
            </w:r>
            <w:r>
              <w:rPr>
                <w:rFonts w:hint="eastAsia" w:ascii="宋体" w:hAnsi="宋体" w:cs="宋体"/>
                <w:kern w:val="0"/>
              </w:rPr>
              <w:t>绩效指标将部门整体绩效目标细化分解为具体工作任务，与部门年度任务数或计划数相对应（</w:t>
            </w:r>
            <w:r>
              <w:rPr>
                <w:rFonts w:ascii="宋体" w:hAnsi="宋体" w:cs="宋体"/>
                <w:kern w:val="0"/>
              </w:rPr>
              <w:t>2</w:t>
            </w:r>
            <w:r>
              <w:rPr>
                <w:rFonts w:hint="eastAsia" w:ascii="宋体" w:hAnsi="宋体" w:cs="宋体"/>
                <w:kern w:val="0"/>
              </w:rPr>
              <w:t>分）；</w:t>
            </w:r>
          </w:p>
          <w:p>
            <w:pPr>
              <w:widowControl/>
              <w:spacing w:line="320" w:lineRule="exact"/>
              <w:ind w:firstLine="420" w:firstLineChars="200"/>
              <w:rPr>
                <w:rFonts w:ascii="宋体"/>
                <w:kern w:val="0"/>
              </w:rPr>
            </w:pPr>
            <w:r>
              <w:rPr>
                <w:rFonts w:ascii="宋体" w:hAnsi="宋体" w:cs="宋体"/>
                <w:kern w:val="0"/>
              </w:rPr>
              <w:t>2.</w:t>
            </w:r>
            <w:r>
              <w:rPr>
                <w:rFonts w:hint="eastAsia" w:ascii="宋体" w:hAnsi="宋体" w:cs="宋体"/>
                <w:kern w:val="0"/>
              </w:rPr>
              <w:t>绩效指标中包含能够明确体现部门（单位）履职效果的社会、经济、生态效益指标（</w:t>
            </w:r>
            <w:r>
              <w:rPr>
                <w:rFonts w:ascii="宋体" w:hAnsi="宋体" w:cs="宋体"/>
                <w:kern w:val="0"/>
              </w:rPr>
              <w:t>2</w:t>
            </w:r>
            <w:r>
              <w:rPr>
                <w:rFonts w:hint="eastAsia" w:ascii="宋体" w:hAnsi="宋体" w:cs="宋体"/>
                <w:kern w:val="0"/>
              </w:rPr>
              <w:t>分）；</w:t>
            </w:r>
            <w:r>
              <w:rPr>
                <w:rFonts w:ascii="宋体"/>
                <w:kern w:val="0"/>
              </w:rPr>
              <w:br w:type="textWrapping"/>
            </w:r>
            <w:r>
              <w:rPr>
                <w:rFonts w:ascii="宋体" w:hAnsi="宋体" w:cs="宋体"/>
                <w:kern w:val="0"/>
              </w:rPr>
              <w:t xml:space="preserve">    3.</w:t>
            </w:r>
            <w:r>
              <w:rPr>
                <w:rFonts w:hint="eastAsia" w:ascii="宋体" w:hAnsi="宋体" w:cs="宋体"/>
                <w:kern w:val="0"/>
              </w:rPr>
              <w:t>绩效指标具有清晰、可衡量的指标值（</w:t>
            </w:r>
            <w:r>
              <w:rPr>
                <w:rFonts w:ascii="宋体" w:hAnsi="宋体" w:cs="宋体"/>
                <w:kern w:val="0"/>
              </w:rPr>
              <w:t>1</w:t>
            </w:r>
            <w:r>
              <w:rPr>
                <w:rFonts w:hint="eastAsia" w:ascii="宋体" w:hAnsi="宋体" w:cs="宋体"/>
                <w:kern w:val="0"/>
              </w:rPr>
              <w:t>分）；</w:t>
            </w:r>
            <w:r>
              <w:rPr>
                <w:rFonts w:ascii="宋体"/>
                <w:kern w:val="0"/>
              </w:rPr>
              <w:br w:type="textWrapping"/>
            </w:r>
            <w:r>
              <w:rPr>
                <w:rFonts w:ascii="宋体" w:hAnsi="宋体" w:cs="宋体"/>
                <w:kern w:val="0"/>
              </w:rPr>
              <w:t xml:space="preserve">    4</w:t>
            </w:r>
            <w:r>
              <w:rPr>
                <w:rFonts w:ascii="宋体" w:cs="宋体"/>
                <w:kern w:val="0"/>
              </w:rPr>
              <w:t>.</w:t>
            </w:r>
            <w:r>
              <w:rPr>
                <w:rFonts w:hint="eastAsia" w:ascii="宋体" w:hAnsi="宋体" w:cs="宋体"/>
                <w:kern w:val="0"/>
              </w:rPr>
              <w:t>绩效指标包含可量化的指标（</w:t>
            </w:r>
            <w:r>
              <w:rPr>
                <w:rFonts w:ascii="宋体" w:hAnsi="宋体" w:cs="宋体"/>
                <w:kern w:val="0"/>
              </w:rPr>
              <w:t>1</w:t>
            </w:r>
            <w:r>
              <w:rPr>
                <w:rFonts w:hint="eastAsia" w:ascii="宋体" w:hAnsi="宋体" w:cs="宋体"/>
                <w:kern w:val="0"/>
              </w:rPr>
              <w:t>分）；</w:t>
            </w:r>
          </w:p>
          <w:p>
            <w:pPr>
              <w:widowControl/>
              <w:spacing w:line="320" w:lineRule="exact"/>
              <w:rPr>
                <w:rFonts w:ascii="宋体"/>
                <w:kern w:val="0"/>
              </w:rPr>
            </w:pPr>
            <w:r>
              <w:rPr>
                <w:rFonts w:ascii="宋体" w:hAnsi="宋体" w:cs="宋体"/>
                <w:kern w:val="0"/>
              </w:rPr>
              <w:t xml:space="preserve">    5</w:t>
            </w:r>
            <w:r>
              <w:rPr>
                <w:rFonts w:ascii="宋体" w:cs="宋体"/>
                <w:kern w:val="0"/>
              </w:rPr>
              <w:t>.</w:t>
            </w:r>
            <w:r>
              <w:rPr>
                <w:rFonts w:hint="eastAsia" w:ascii="宋体" w:hAnsi="宋体" w:cs="宋体"/>
                <w:kern w:val="0"/>
              </w:rPr>
              <w:t>绩效目标的目标值测算能提供相关依据或符合客观实际情况（</w:t>
            </w:r>
            <w:r>
              <w:rPr>
                <w:rFonts w:ascii="宋体" w:hAnsi="宋体" w:cs="宋体"/>
                <w:kern w:val="0"/>
              </w:rPr>
              <w:t>1</w:t>
            </w:r>
            <w:r>
              <w:rPr>
                <w:rFonts w:hint="eastAsia" w:ascii="宋体" w:hAnsi="宋体" w:cs="宋体"/>
                <w:kern w:val="0"/>
              </w:rPr>
              <w:t>分）。</w:t>
            </w:r>
          </w:p>
        </w:tc>
        <w:tc>
          <w:tcPr>
            <w:tcW w:w="330" w:type="pct"/>
            <w:tcBorders>
              <w:top w:val="nil"/>
              <w:left w:val="nil"/>
              <w:bottom w:val="single" w:color="auto" w:sz="4" w:space="0"/>
              <w:right w:val="single" w:color="auto" w:sz="4" w:space="0"/>
            </w:tcBorders>
            <w:vAlign w:val="center"/>
          </w:tcPr>
          <w:p>
            <w:pPr>
              <w:widowControl/>
              <w:spacing w:line="320" w:lineRule="exact"/>
              <w:jc w:val="center"/>
              <w:rPr>
                <w:rFonts w:ascii="宋体" w:hAnsi="宋体" w:cs="宋体"/>
                <w:kern w:val="0"/>
              </w:rPr>
            </w:pPr>
            <w:r>
              <w:rPr>
                <w:rFonts w:hint="eastAsia" w:ascii="宋体" w:hAnsi="宋体" w:cs="宋体"/>
                <w:kern w:val="0"/>
              </w:rPr>
              <w:t>7</w:t>
            </w:r>
          </w:p>
        </w:tc>
      </w:tr>
      <w:tr>
        <w:tblPrEx>
          <w:tblCellMar>
            <w:top w:w="0" w:type="dxa"/>
            <w:left w:w="108" w:type="dxa"/>
            <w:bottom w:w="0" w:type="dxa"/>
            <w:right w:w="108" w:type="dxa"/>
          </w:tblCellMar>
        </w:tblPrEx>
        <w:trPr>
          <w:trHeight w:val="1359" w:hRule="atLeast"/>
        </w:trPr>
        <w:tc>
          <w:tcPr>
            <w:tcW w:w="150" w:type="pct"/>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部门管理</w:t>
            </w:r>
          </w:p>
        </w:tc>
        <w:tc>
          <w:tcPr>
            <w:tcW w:w="150" w:type="pct"/>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r>
              <w:rPr>
                <w:rFonts w:ascii="宋体" w:hAnsi="宋体" w:cs="宋体"/>
                <w:kern w:val="0"/>
              </w:rPr>
              <w:t>20</w:t>
            </w:r>
          </w:p>
        </w:tc>
        <w:tc>
          <w:tcPr>
            <w:tcW w:w="150" w:type="pct"/>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资金管理</w:t>
            </w:r>
          </w:p>
        </w:tc>
        <w:tc>
          <w:tcPr>
            <w:tcW w:w="150" w:type="pct"/>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8</w:t>
            </w:r>
          </w:p>
        </w:tc>
        <w:tc>
          <w:tcPr>
            <w:tcW w:w="224" w:type="pct"/>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政府采购执行情况</w:t>
            </w:r>
          </w:p>
        </w:tc>
        <w:tc>
          <w:tcPr>
            <w:tcW w:w="153" w:type="pct"/>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2</w:t>
            </w:r>
          </w:p>
        </w:tc>
        <w:tc>
          <w:tcPr>
            <w:tcW w:w="705" w:type="pct"/>
            <w:tcBorders>
              <w:top w:val="single" w:color="auto" w:sz="4" w:space="0"/>
              <w:left w:val="nil"/>
              <w:bottom w:val="single" w:color="auto" w:sz="4" w:space="0"/>
              <w:right w:val="single" w:color="auto" w:sz="4" w:space="0"/>
            </w:tcBorders>
            <w:vAlign w:val="center"/>
          </w:tcPr>
          <w:p>
            <w:pPr>
              <w:widowControl/>
              <w:spacing w:line="320" w:lineRule="exact"/>
              <w:rPr>
                <w:rFonts w:ascii="宋体"/>
                <w:kern w:val="0"/>
              </w:rPr>
            </w:pPr>
            <w:r>
              <w:rPr>
                <w:rFonts w:hint="eastAsia" w:ascii="宋体" w:hAnsi="宋体" w:cs="宋体"/>
                <w:kern w:val="0"/>
              </w:rPr>
              <w:t>部门（单位）本年度实际政府采购金额与年度政府采购预算的比率，用以反映和考核部门（单位）政府采购预算执行情况；政府采购政策功能的执行和落实情况。</w:t>
            </w:r>
          </w:p>
        </w:tc>
        <w:tc>
          <w:tcPr>
            <w:tcW w:w="2984" w:type="pct"/>
            <w:tcBorders>
              <w:top w:val="single" w:color="auto" w:sz="4" w:space="0"/>
              <w:left w:val="nil"/>
              <w:bottom w:val="single" w:color="auto" w:sz="4" w:space="0"/>
              <w:right w:val="single" w:color="auto" w:sz="4" w:space="0"/>
            </w:tcBorders>
            <w:vAlign w:val="center"/>
          </w:tcPr>
          <w:p>
            <w:pPr>
              <w:widowControl/>
              <w:spacing w:line="320" w:lineRule="exact"/>
              <w:ind w:firstLine="405"/>
              <w:rPr>
                <w:rFonts w:ascii="宋体"/>
                <w:kern w:val="0"/>
              </w:rPr>
            </w:pPr>
            <w:r>
              <w:rPr>
                <w:rFonts w:ascii="宋体" w:hAnsi="宋体" w:cs="宋体"/>
                <w:kern w:val="0"/>
              </w:rPr>
              <w:t>1.</w:t>
            </w:r>
            <w:r>
              <w:rPr>
                <w:rFonts w:hint="eastAsia" w:ascii="宋体" w:hAnsi="宋体" w:cs="宋体"/>
                <w:kern w:val="0"/>
              </w:rPr>
              <w:t>政府采购执行率得分</w:t>
            </w:r>
            <w:r>
              <w:rPr>
                <w:rFonts w:ascii="宋体" w:hAnsi="宋体" w:cs="宋体"/>
                <w:kern w:val="0"/>
              </w:rPr>
              <w:t>=</w:t>
            </w:r>
            <w:r>
              <w:rPr>
                <w:rFonts w:hint="eastAsia" w:ascii="宋体" w:hAnsi="宋体" w:cs="宋体"/>
                <w:kern w:val="0"/>
              </w:rPr>
              <w:t>政府采购执行率×</w:t>
            </w:r>
            <w:r>
              <w:rPr>
                <w:rFonts w:ascii="宋体" w:hAnsi="宋体" w:cs="宋体"/>
                <w:kern w:val="0"/>
              </w:rPr>
              <w:t>1</w:t>
            </w:r>
            <w:r>
              <w:rPr>
                <w:rFonts w:hint="eastAsia" w:ascii="宋体" w:hAnsi="宋体" w:cs="宋体"/>
                <w:kern w:val="0"/>
              </w:rPr>
              <w:t>分</w:t>
            </w:r>
            <w:r>
              <w:rPr>
                <w:rFonts w:ascii="宋体"/>
                <w:kern w:val="0"/>
              </w:rPr>
              <w:br w:type="textWrapping"/>
            </w:r>
            <w:r>
              <w:rPr>
                <w:rFonts w:ascii="宋体" w:hAnsi="宋体" w:cs="宋体"/>
                <w:kern w:val="0"/>
              </w:rPr>
              <w:t xml:space="preserve">    </w:t>
            </w:r>
            <w:r>
              <w:rPr>
                <w:rFonts w:hint="eastAsia" w:ascii="宋体" w:hAnsi="宋体" w:cs="宋体"/>
                <w:kern w:val="0"/>
              </w:rPr>
              <w:t>政府采购执行率</w:t>
            </w:r>
            <w:r>
              <w:rPr>
                <w:rFonts w:ascii="宋体" w:hAnsi="宋体" w:cs="宋体"/>
                <w:kern w:val="0"/>
              </w:rPr>
              <w:t>=</w:t>
            </w:r>
            <w:r>
              <w:rPr>
                <w:rFonts w:hint="eastAsia" w:ascii="宋体" w:hAnsi="宋体" w:cs="宋体"/>
                <w:kern w:val="0"/>
              </w:rPr>
              <w:t>（实际采购金额合计数</w:t>
            </w:r>
            <w:r>
              <w:rPr>
                <w:rFonts w:ascii="宋体" w:hAnsi="宋体" w:cs="宋体"/>
                <w:kern w:val="0"/>
              </w:rPr>
              <w:t>/</w:t>
            </w:r>
            <w:r>
              <w:rPr>
                <w:rFonts w:hint="eastAsia" w:ascii="宋体" w:hAnsi="宋体" w:cs="宋体"/>
                <w:kern w:val="0"/>
              </w:rPr>
              <w:t>采购计划金额合计数）×</w:t>
            </w:r>
            <w:r>
              <w:rPr>
                <w:rFonts w:ascii="宋体" w:hAnsi="宋体" w:cs="宋体"/>
                <w:kern w:val="0"/>
              </w:rPr>
              <w:t>100%</w:t>
            </w:r>
            <w:r>
              <w:rPr>
                <w:rFonts w:ascii="宋体" w:hAnsi="宋体" w:cs="宋体"/>
                <w:kern w:val="0"/>
              </w:rPr>
              <w:br w:type="textWrapping"/>
            </w:r>
            <w:r>
              <w:rPr>
                <w:rFonts w:ascii="宋体" w:hAnsi="宋体" w:cs="宋体"/>
                <w:kern w:val="0"/>
              </w:rPr>
              <w:t xml:space="preserve">    </w:t>
            </w:r>
            <w:r>
              <w:rPr>
                <w:rFonts w:hint="eastAsia" w:ascii="宋体" w:hAnsi="宋体" w:cs="宋体"/>
                <w:kern w:val="0"/>
              </w:rPr>
              <w:t>如实际采购金额大于采购计划金额，本项得</w:t>
            </w:r>
            <w:r>
              <w:rPr>
                <w:rFonts w:ascii="宋体" w:cs="宋体"/>
                <w:kern w:val="0"/>
              </w:rPr>
              <w:t>0</w:t>
            </w:r>
            <w:r>
              <w:rPr>
                <w:rFonts w:hint="eastAsia" w:ascii="宋体" w:hAnsi="宋体" w:cs="宋体"/>
                <w:kern w:val="0"/>
              </w:rPr>
              <w:t>分。</w:t>
            </w:r>
            <w:r>
              <w:rPr>
                <w:rFonts w:ascii="宋体"/>
                <w:kern w:val="0"/>
              </w:rPr>
              <w:br w:type="textWrapping"/>
            </w:r>
            <w:r>
              <w:rPr>
                <w:rFonts w:ascii="宋体" w:hAnsi="宋体" w:cs="宋体"/>
                <w:kern w:val="0"/>
              </w:rPr>
              <w:t xml:space="preserve">    </w:t>
            </w:r>
            <w:r>
              <w:rPr>
                <w:rFonts w:hint="eastAsia" w:ascii="宋体" w:hAnsi="宋体" w:cs="宋体"/>
                <w:kern w:val="0"/>
              </w:rPr>
              <w:t>政府采购预算是指采购机关根据事业发展计划和行政任务编制的、并经过规定程序批准的年度政府采购计划。</w:t>
            </w:r>
          </w:p>
          <w:p>
            <w:pPr>
              <w:widowControl/>
              <w:spacing w:line="320" w:lineRule="exact"/>
              <w:ind w:firstLine="405"/>
              <w:rPr>
                <w:rFonts w:ascii="宋体"/>
                <w:kern w:val="0"/>
              </w:rPr>
            </w:pPr>
            <w:r>
              <w:rPr>
                <w:rFonts w:ascii="宋体" w:hAnsi="宋体" w:cs="宋体"/>
                <w:kern w:val="0"/>
              </w:rPr>
              <w:t>2.</w:t>
            </w:r>
            <w:r>
              <w:rPr>
                <w:rFonts w:hint="eastAsia" w:ascii="宋体" w:hAnsi="宋体" w:cs="宋体"/>
                <w:kern w:val="0"/>
              </w:rPr>
              <w:t>政府采购政策功能的执行和落实情况（</w:t>
            </w:r>
            <w:r>
              <w:rPr>
                <w:rFonts w:ascii="宋体" w:hAnsi="宋体" w:cs="宋体"/>
                <w:kern w:val="0"/>
              </w:rPr>
              <w:t>1</w:t>
            </w:r>
            <w:r>
              <w:rPr>
                <w:rFonts w:hint="eastAsia" w:ascii="宋体" w:hAnsi="宋体" w:cs="宋体"/>
                <w:kern w:val="0"/>
              </w:rPr>
              <w:t>分），落实不到位的酌情扣分。</w:t>
            </w:r>
          </w:p>
        </w:tc>
        <w:tc>
          <w:tcPr>
            <w:tcW w:w="330" w:type="pct"/>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hAnsi="宋体" w:cs="宋体"/>
                <w:kern w:val="0"/>
              </w:rPr>
            </w:pPr>
            <w:r>
              <w:rPr>
                <w:rFonts w:hint="eastAsia" w:ascii="宋体" w:hAnsi="宋体" w:cs="宋体"/>
                <w:kern w:val="0"/>
              </w:rPr>
              <w:t>2</w:t>
            </w:r>
          </w:p>
        </w:tc>
      </w:tr>
      <w:tr>
        <w:tblPrEx>
          <w:tblCellMar>
            <w:top w:w="0" w:type="dxa"/>
            <w:left w:w="108" w:type="dxa"/>
            <w:bottom w:w="0" w:type="dxa"/>
            <w:right w:w="108" w:type="dxa"/>
          </w:tblCellMar>
        </w:tblPrEx>
        <w:trPr>
          <w:trHeight w:val="1119" w:hRule="atLeast"/>
        </w:trPr>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kern w:val="0"/>
              </w:rPr>
            </w:pPr>
          </w:p>
        </w:tc>
        <w:tc>
          <w:tcPr>
            <w:tcW w:w="224" w:type="pct"/>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财务合规性</w:t>
            </w:r>
          </w:p>
        </w:tc>
        <w:tc>
          <w:tcPr>
            <w:tcW w:w="153" w:type="pct"/>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3</w:t>
            </w:r>
          </w:p>
        </w:tc>
        <w:tc>
          <w:tcPr>
            <w:tcW w:w="705" w:type="pct"/>
            <w:tcBorders>
              <w:top w:val="single" w:color="auto" w:sz="4" w:space="0"/>
              <w:left w:val="nil"/>
              <w:bottom w:val="single" w:color="auto" w:sz="4" w:space="0"/>
              <w:right w:val="single" w:color="auto" w:sz="4" w:space="0"/>
            </w:tcBorders>
            <w:vAlign w:val="center"/>
          </w:tcPr>
          <w:p>
            <w:pPr>
              <w:widowControl/>
              <w:spacing w:line="320" w:lineRule="exact"/>
              <w:rPr>
                <w:rFonts w:ascii="宋体"/>
                <w:kern w:val="0"/>
              </w:rPr>
            </w:pPr>
            <w:r>
              <w:rPr>
                <w:rFonts w:hint="eastAsia" w:ascii="宋体" w:hAnsi="宋体" w:cs="宋体"/>
                <w:kern w:val="0"/>
              </w:rPr>
              <w:t>部门（单位）资金支出规范性，包括资金管理、费用支出等制度是否严格执行；资金调整、调剂是否规范；会计核算是否规范、是否存在支出依据不合规、虚列项目支出的情况；是否存在截留、挤占、挪用项目资金情况。</w:t>
            </w:r>
          </w:p>
        </w:tc>
        <w:tc>
          <w:tcPr>
            <w:tcW w:w="2984" w:type="pct"/>
            <w:tcBorders>
              <w:top w:val="single" w:color="auto" w:sz="4" w:space="0"/>
              <w:left w:val="nil"/>
              <w:bottom w:val="single" w:color="auto" w:sz="4" w:space="0"/>
              <w:right w:val="single" w:color="auto" w:sz="4" w:space="0"/>
            </w:tcBorders>
            <w:vAlign w:val="center"/>
          </w:tcPr>
          <w:p>
            <w:pPr>
              <w:widowControl/>
              <w:spacing w:line="320" w:lineRule="exact"/>
              <w:ind w:firstLine="420"/>
              <w:rPr>
                <w:rFonts w:ascii="宋体"/>
                <w:kern w:val="0"/>
              </w:rPr>
            </w:pPr>
            <w:r>
              <w:rPr>
                <w:rFonts w:ascii="宋体" w:hAnsi="宋体" w:cs="宋体"/>
                <w:kern w:val="0"/>
              </w:rPr>
              <w:t>1.</w:t>
            </w:r>
            <w:r>
              <w:rPr>
                <w:rFonts w:hint="eastAsia" w:ascii="宋体" w:hAnsi="宋体" w:cs="宋体"/>
                <w:kern w:val="0"/>
              </w:rPr>
              <w:t>资金支出规范性（</w:t>
            </w:r>
            <w:r>
              <w:rPr>
                <w:rFonts w:ascii="宋体" w:hAnsi="宋体" w:cs="宋体"/>
                <w:kern w:val="0"/>
              </w:rPr>
              <w:t>1</w:t>
            </w:r>
            <w:r>
              <w:rPr>
                <w:rFonts w:hint="eastAsia" w:ascii="宋体" w:hAnsi="宋体" w:cs="宋体"/>
                <w:kern w:val="0"/>
              </w:rPr>
              <w:t>分）。资金管理、费用标准、支付符合有关制度规定，按事项完成进度支付资金的，得</w:t>
            </w:r>
            <w:r>
              <w:rPr>
                <w:rFonts w:ascii="宋体" w:hAnsi="宋体" w:cs="宋体"/>
                <w:kern w:val="0"/>
              </w:rPr>
              <w:t>1</w:t>
            </w:r>
            <w:r>
              <w:rPr>
                <w:rFonts w:hint="eastAsia" w:ascii="宋体" w:hAnsi="宋体" w:cs="宋体"/>
                <w:kern w:val="0"/>
              </w:rPr>
              <w:t>分，否则酌情扣分。</w:t>
            </w:r>
            <w:r>
              <w:rPr>
                <w:rFonts w:ascii="宋体"/>
                <w:kern w:val="0"/>
              </w:rPr>
              <w:br w:type="textWrapping"/>
            </w:r>
            <w:r>
              <w:rPr>
                <w:rFonts w:ascii="宋体" w:hAnsi="宋体" w:cs="宋体"/>
                <w:kern w:val="0"/>
              </w:rPr>
              <w:t xml:space="preserve">    2.</w:t>
            </w:r>
            <w:r>
              <w:rPr>
                <w:rFonts w:hint="eastAsia" w:ascii="宋体" w:hAnsi="宋体" w:cs="宋体"/>
                <w:kern w:val="0"/>
              </w:rPr>
              <w:t>资金调整、调剂规范性（</w:t>
            </w:r>
            <w:r>
              <w:rPr>
                <w:rFonts w:ascii="宋体" w:hAnsi="宋体" w:cs="宋体"/>
                <w:kern w:val="0"/>
              </w:rPr>
              <w:t>1</w:t>
            </w:r>
            <w:r>
              <w:rPr>
                <w:rFonts w:hint="eastAsia" w:ascii="宋体" w:hAnsi="宋体" w:cs="宋体"/>
                <w:kern w:val="0"/>
              </w:rPr>
              <w:t>分）。调整、调剂资金累计在本单位部门预算总规模</w:t>
            </w:r>
            <w:r>
              <w:rPr>
                <w:rFonts w:ascii="宋体" w:hAnsi="宋体" w:cs="宋体"/>
                <w:kern w:val="0"/>
              </w:rPr>
              <w:t>10%</w:t>
            </w:r>
            <w:r>
              <w:rPr>
                <w:rFonts w:hint="eastAsia" w:ascii="宋体" w:hAnsi="宋体" w:cs="宋体"/>
                <w:kern w:val="0"/>
              </w:rPr>
              <w:t>以内的，得</w:t>
            </w:r>
            <w:r>
              <w:rPr>
                <w:rFonts w:ascii="宋体" w:hAnsi="宋体" w:cs="宋体"/>
                <w:kern w:val="0"/>
              </w:rPr>
              <w:t>1</w:t>
            </w:r>
            <w:r>
              <w:rPr>
                <w:rFonts w:hint="eastAsia" w:ascii="宋体" w:hAnsi="宋体" w:cs="宋体"/>
                <w:kern w:val="0"/>
              </w:rPr>
              <w:t>分；超出</w:t>
            </w:r>
            <w:r>
              <w:rPr>
                <w:rFonts w:ascii="宋体" w:hAnsi="宋体" w:cs="宋体"/>
                <w:kern w:val="0"/>
              </w:rPr>
              <w:t>10%</w:t>
            </w:r>
            <w:r>
              <w:rPr>
                <w:rFonts w:hint="eastAsia" w:ascii="宋体" w:hAnsi="宋体" w:cs="宋体"/>
                <w:kern w:val="0"/>
              </w:rPr>
              <w:t>的，超出一个百分点扣</w:t>
            </w:r>
            <w:r>
              <w:rPr>
                <w:rFonts w:ascii="宋体" w:hAnsi="宋体" w:cs="宋体"/>
                <w:kern w:val="0"/>
              </w:rPr>
              <w:t>0.1</w:t>
            </w:r>
            <w:r>
              <w:rPr>
                <w:rFonts w:hint="eastAsia" w:ascii="宋体" w:hAnsi="宋体" w:cs="宋体"/>
                <w:kern w:val="0"/>
              </w:rPr>
              <w:t>分，直至</w:t>
            </w:r>
            <w:r>
              <w:rPr>
                <w:rFonts w:ascii="宋体" w:hAnsi="宋体" w:cs="宋体"/>
                <w:kern w:val="0"/>
              </w:rPr>
              <w:t>1</w:t>
            </w:r>
            <w:r>
              <w:rPr>
                <w:rFonts w:hint="eastAsia" w:ascii="宋体" w:hAnsi="宋体" w:cs="宋体"/>
                <w:kern w:val="0"/>
              </w:rPr>
              <w:t>分扣完为止。</w:t>
            </w:r>
          </w:p>
          <w:p>
            <w:pPr>
              <w:widowControl/>
              <w:spacing w:line="320" w:lineRule="exact"/>
              <w:ind w:firstLine="420" w:firstLineChars="200"/>
              <w:rPr>
                <w:rFonts w:ascii="宋体"/>
                <w:kern w:val="0"/>
              </w:rPr>
            </w:pPr>
            <w:r>
              <w:rPr>
                <w:rFonts w:ascii="宋体" w:hAnsi="宋体" w:cs="宋体"/>
                <w:kern w:val="0"/>
              </w:rPr>
              <w:t>3.</w:t>
            </w:r>
            <w:r>
              <w:rPr>
                <w:rFonts w:hint="eastAsia" w:ascii="宋体" w:hAnsi="宋体" w:cs="宋体"/>
                <w:kern w:val="0"/>
              </w:rPr>
              <w:t>会计核算规范性（</w:t>
            </w:r>
            <w:r>
              <w:rPr>
                <w:rFonts w:ascii="宋体" w:hAnsi="宋体" w:cs="宋体"/>
                <w:kern w:val="0"/>
              </w:rPr>
              <w:t>1</w:t>
            </w:r>
            <w:r>
              <w:rPr>
                <w:rFonts w:hint="eastAsia" w:ascii="宋体" w:hAnsi="宋体" w:cs="宋体"/>
                <w:kern w:val="0"/>
              </w:rPr>
              <w:t>分）。规范执行会计核算制度得</w:t>
            </w:r>
            <w:r>
              <w:rPr>
                <w:rFonts w:ascii="宋体" w:hAnsi="宋体" w:cs="宋体"/>
                <w:kern w:val="0"/>
              </w:rPr>
              <w:t>1</w:t>
            </w:r>
            <w:r>
              <w:rPr>
                <w:rFonts w:hint="eastAsia" w:ascii="宋体" w:hAnsi="宋体" w:cs="宋体"/>
                <w:kern w:val="0"/>
              </w:rPr>
              <w:t>分，未按规定设专账核算、支出凭证不符合规定或其他核算不规范，酌情扣分。</w:t>
            </w:r>
          </w:p>
          <w:p>
            <w:pPr>
              <w:widowControl/>
              <w:spacing w:line="320" w:lineRule="exact"/>
              <w:ind w:firstLine="420"/>
              <w:rPr>
                <w:rFonts w:ascii="宋体"/>
                <w:kern w:val="0"/>
              </w:rPr>
            </w:pPr>
            <w:r>
              <w:rPr>
                <w:rFonts w:ascii="宋体" w:hAnsi="宋体" w:cs="宋体"/>
                <w:kern w:val="0"/>
              </w:rPr>
              <w:t>4.</w:t>
            </w:r>
            <w:r>
              <w:rPr>
                <w:rFonts w:hint="eastAsia" w:ascii="宋体" w:hAnsi="宋体" w:cs="宋体"/>
                <w:kern w:val="0"/>
              </w:rPr>
              <w:t>发生超范围、超标准支出，虚列支出，截留、挤占、挪用资金的，以及其他不符合制度规定支出，本项指标得</w:t>
            </w:r>
            <w:r>
              <w:rPr>
                <w:rFonts w:ascii="宋体" w:cs="宋体"/>
                <w:kern w:val="0"/>
              </w:rPr>
              <w:t>0</w:t>
            </w:r>
            <w:r>
              <w:rPr>
                <w:rFonts w:hint="eastAsia" w:ascii="宋体" w:hAnsi="宋体" w:cs="宋体"/>
                <w:kern w:val="0"/>
              </w:rPr>
              <w:t>分。</w:t>
            </w:r>
          </w:p>
        </w:tc>
        <w:tc>
          <w:tcPr>
            <w:tcW w:w="330" w:type="pct"/>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hAnsi="宋体" w:cs="宋体"/>
                <w:kern w:val="0"/>
              </w:rPr>
            </w:pPr>
            <w:r>
              <w:rPr>
                <w:rFonts w:hint="eastAsia" w:ascii="宋体" w:hAnsi="宋体" w:cs="宋体"/>
                <w:kern w:val="0"/>
              </w:rPr>
              <w:t>3</w:t>
            </w:r>
          </w:p>
        </w:tc>
      </w:tr>
      <w:tr>
        <w:tblPrEx>
          <w:tblCellMar>
            <w:top w:w="0" w:type="dxa"/>
            <w:left w:w="108" w:type="dxa"/>
            <w:bottom w:w="0" w:type="dxa"/>
            <w:right w:w="108" w:type="dxa"/>
          </w:tblCellMar>
        </w:tblPrEx>
        <w:trPr>
          <w:trHeight w:val="2254" w:hRule="atLeast"/>
        </w:trPr>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kern w:val="0"/>
              </w:rPr>
            </w:pPr>
          </w:p>
        </w:tc>
        <w:tc>
          <w:tcPr>
            <w:tcW w:w="224" w:type="pct"/>
            <w:tcBorders>
              <w:top w:val="nil"/>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预决算信息公开</w:t>
            </w:r>
          </w:p>
        </w:tc>
        <w:tc>
          <w:tcPr>
            <w:tcW w:w="153" w:type="pct"/>
            <w:tcBorders>
              <w:top w:val="nil"/>
              <w:left w:val="nil"/>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3</w:t>
            </w:r>
          </w:p>
        </w:tc>
        <w:tc>
          <w:tcPr>
            <w:tcW w:w="705" w:type="pct"/>
            <w:tcBorders>
              <w:top w:val="nil"/>
              <w:left w:val="nil"/>
              <w:bottom w:val="single" w:color="auto" w:sz="4" w:space="0"/>
              <w:right w:val="single" w:color="auto" w:sz="4" w:space="0"/>
            </w:tcBorders>
            <w:vAlign w:val="center"/>
          </w:tcPr>
          <w:p>
            <w:pPr>
              <w:widowControl/>
              <w:spacing w:line="320" w:lineRule="exact"/>
              <w:rPr>
                <w:rFonts w:ascii="宋体"/>
                <w:kern w:val="0"/>
              </w:rPr>
            </w:pPr>
            <w:r>
              <w:rPr>
                <w:rFonts w:hint="eastAsia" w:ascii="宋体" w:hAnsi="宋体" w:cs="宋体"/>
                <w:kern w:val="0"/>
              </w:rPr>
              <w:t>部门（单位）在被评价年度是否按照政府信息公开有关规定公开相关预决算信息，用以反映部门（单位）预决算管理的公开透明情况。</w:t>
            </w:r>
          </w:p>
        </w:tc>
        <w:tc>
          <w:tcPr>
            <w:tcW w:w="2984" w:type="pct"/>
            <w:tcBorders>
              <w:top w:val="nil"/>
              <w:left w:val="nil"/>
              <w:bottom w:val="single" w:color="auto" w:sz="4" w:space="0"/>
              <w:right w:val="single" w:color="auto" w:sz="4" w:space="0"/>
            </w:tcBorders>
            <w:vAlign w:val="center"/>
          </w:tcPr>
          <w:p>
            <w:pPr>
              <w:widowControl/>
              <w:spacing w:line="320" w:lineRule="exact"/>
              <w:ind w:firstLine="405"/>
              <w:rPr>
                <w:rFonts w:ascii="宋体"/>
                <w:kern w:val="0"/>
              </w:rPr>
            </w:pPr>
            <w:r>
              <w:rPr>
                <w:rFonts w:ascii="宋体" w:hAnsi="宋体" w:cs="宋体"/>
                <w:kern w:val="0"/>
              </w:rPr>
              <w:t>1.</w:t>
            </w:r>
            <w:r>
              <w:rPr>
                <w:rFonts w:hint="eastAsia" w:ascii="宋体" w:hAnsi="宋体" w:cs="宋体"/>
                <w:kern w:val="0"/>
              </w:rPr>
              <w:t>部门预算公开（</w:t>
            </w:r>
            <w:r>
              <w:rPr>
                <w:rFonts w:ascii="宋体" w:hAnsi="宋体" w:cs="宋体"/>
                <w:kern w:val="0"/>
              </w:rPr>
              <w:t>1.5</w:t>
            </w:r>
            <w:r>
              <w:rPr>
                <w:rFonts w:hint="eastAsia" w:ascii="宋体" w:hAnsi="宋体" w:cs="宋体"/>
                <w:kern w:val="0"/>
              </w:rPr>
              <w:t>分），按以下标准分档计分：</w:t>
            </w:r>
            <w:r>
              <w:rPr>
                <w:rFonts w:ascii="宋体"/>
                <w:kern w:val="0"/>
              </w:rPr>
              <w:br w:type="textWrapping"/>
            </w:r>
            <w:r>
              <w:rPr>
                <w:rFonts w:ascii="宋体" w:hAnsi="宋体" w:cs="宋体"/>
                <w:kern w:val="0"/>
              </w:rPr>
              <w:t xml:space="preserve">    </w:t>
            </w:r>
            <w:r>
              <w:rPr>
                <w:rFonts w:hint="eastAsia" w:ascii="宋体" w:hAnsi="宋体" w:cs="宋体"/>
                <w:kern w:val="0"/>
              </w:rPr>
              <w:t>（</w:t>
            </w:r>
            <w:r>
              <w:rPr>
                <w:rFonts w:ascii="宋体" w:hAnsi="宋体" w:cs="宋体"/>
                <w:kern w:val="0"/>
              </w:rPr>
              <w:t>1</w:t>
            </w:r>
            <w:r>
              <w:rPr>
                <w:rFonts w:hint="eastAsia" w:ascii="宋体" w:hAnsi="宋体" w:cs="宋体"/>
                <w:kern w:val="0"/>
              </w:rPr>
              <w:t>）按规定内容、时限、范围等各项要求进行公开的，得</w:t>
            </w:r>
            <w:r>
              <w:rPr>
                <w:rFonts w:ascii="宋体" w:hAnsi="宋体" w:cs="宋体"/>
                <w:kern w:val="0"/>
              </w:rPr>
              <w:t>1.5</w:t>
            </w:r>
            <w:r>
              <w:rPr>
                <w:rFonts w:hint="eastAsia" w:ascii="宋体" w:hAnsi="宋体" w:cs="宋体"/>
                <w:kern w:val="0"/>
              </w:rPr>
              <w:t>分。</w:t>
            </w:r>
            <w:r>
              <w:rPr>
                <w:rFonts w:ascii="宋体"/>
                <w:kern w:val="0"/>
              </w:rPr>
              <w:br w:type="textWrapping"/>
            </w:r>
            <w:r>
              <w:rPr>
                <w:rFonts w:ascii="宋体" w:hAnsi="宋体" w:cs="宋体"/>
                <w:kern w:val="0"/>
              </w:rPr>
              <w:t xml:space="preserve">    </w:t>
            </w:r>
            <w:r>
              <w:rPr>
                <w:rFonts w:hint="eastAsia" w:ascii="宋体" w:hAnsi="宋体" w:cs="宋体"/>
                <w:kern w:val="0"/>
              </w:rPr>
              <w:t>（</w:t>
            </w:r>
            <w:r>
              <w:rPr>
                <w:rFonts w:ascii="宋体" w:hAnsi="宋体" w:cs="宋体"/>
                <w:kern w:val="0"/>
              </w:rPr>
              <w:t>2</w:t>
            </w:r>
            <w:r>
              <w:rPr>
                <w:rFonts w:hint="eastAsia" w:ascii="宋体" w:hAnsi="宋体" w:cs="宋体"/>
                <w:kern w:val="0"/>
              </w:rPr>
              <w:t>）进行了公开，存在不符合时限、内容、范围等要求的，得</w:t>
            </w:r>
            <w:r>
              <w:rPr>
                <w:rFonts w:ascii="宋体" w:hAnsi="宋体" w:cs="宋体"/>
                <w:kern w:val="0"/>
              </w:rPr>
              <w:t>1</w:t>
            </w:r>
            <w:r>
              <w:rPr>
                <w:rFonts w:hint="eastAsia" w:ascii="宋体" w:hAnsi="宋体" w:cs="宋体"/>
                <w:kern w:val="0"/>
              </w:rPr>
              <w:t>分。</w:t>
            </w:r>
            <w:r>
              <w:rPr>
                <w:rFonts w:ascii="宋体"/>
                <w:kern w:val="0"/>
              </w:rPr>
              <w:br w:type="textWrapping"/>
            </w:r>
            <w:r>
              <w:rPr>
                <w:rFonts w:ascii="宋体" w:hAnsi="宋体" w:cs="宋体"/>
                <w:kern w:val="0"/>
              </w:rPr>
              <w:t xml:space="preserve">    </w:t>
            </w:r>
            <w:r>
              <w:rPr>
                <w:rFonts w:hint="eastAsia" w:ascii="宋体" w:hAnsi="宋体" w:cs="宋体"/>
                <w:kern w:val="0"/>
              </w:rPr>
              <w:t>（</w:t>
            </w:r>
            <w:r>
              <w:rPr>
                <w:rFonts w:ascii="宋体" w:hAnsi="宋体" w:cs="宋体"/>
                <w:kern w:val="0"/>
              </w:rPr>
              <w:t>3</w:t>
            </w:r>
            <w:r>
              <w:rPr>
                <w:rFonts w:hint="eastAsia" w:ascii="宋体" w:hAnsi="宋体" w:cs="宋体"/>
                <w:kern w:val="0"/>
              </w:rPr>
              <w:t>）没有进行公开的，得</w:t>
            </w:r>
            <w:r>
              <w:rPr>
                <w:rFonts w:ascii="宋体" w:cs="宋体"/>
                <w:kern w:val="0"/>
              </w:rPr>
              <w:t>0</w:t>
            </w:r>
            <w:r>
              <w:rPr>
                <w:rFonts w:hint="eastAsia" w:ascii="宋体" w:hAnsi="宋体" w:cs="宋体"/>
                <w:kern w:val="0"/>
              </w:rPr>
              <w:t>分。</w:t>
            </w:r>
            <w:r>
              <w:rPr>
                <w:rFonts w:ascii="宋体"/>
                <w:kern w:val="0"/>
              </w:rPr>
              <w:br w:type="textWrapping"/>
            </w:r>
            <w:r>
              <w:rPr>
                <w:rFonts w:ascii="宋体" w:hAnsi="宋体" w:cs="宋体"/>
                <w:kern w:val="0"/>
              </w:rPr>
              <w:t xml:space="preserve">    2.</w:t>
            </w:r>
            <w:r>
              <w:rPr>
                <w:rFonts w:hint="eastAsia" w:ascii="宋体" w:hAnsi="宋体" w:cs="宋体"/>
                <w:kern w:val="0"/>
              </w:rPr>
              <w:t>部门决算公开（</w:t>
            </w:r>
            <w:r>
              <w:rPr>
                <w:rFonts w:ascii="宋体" w:hAnsi="宋体" w:cs="宋体"/>
                <w:kern w:val="0"/>
              </w:rPr>
              <w:t>1.5</w:t>
            </w:r>
            <w:r>
              <w:rPr>
                <w:rFonts w:hint="eastAsia" w:ascii="宋体" w:hAnsi="宋体" w:cs="宋体"/>
                <w:kern w:val="0"/>
              </w:rPr>
              <w:t>分），按以下标准分档计分：</w:t>
            </w:r>
            <w:r>
              <w:rPr>
                <w:rFonts w:ascii="宋体"/>
                <w:kern w:val="0"/>
              </w:rPr>
              <w:br w:type="textWrapping"/>
            </w:r>
            <w:r>
              <w:rPr>
                <w:rFonts w:ascii="宋体" w:hAnsi="宋体" w:cs="宋体"/>
                <w:kern w:val="0"/>
              </w:rPr>
              <w:t xml:space="preserve">    </w:t>
            </w:r>
            <w:r>
              <w:rPr>
                <w:rFonts w:hint="eastAsia" w:ascii="宋体" w:hAnsi="宋体" w:cs="宋体"/>
                <w:kern w:val="0"/>
              </w:rPr>
              <w:t>（</w:t>
            </w:r>
            <w:r>
              <w:rPr>
                <w:rFonts w:ascii="宋体" w:hAnsi="宋体" w:cs="宋体"/>
                <w:kern w:val="0"/>
              </w:rPr>
              <w:t>1</w:t>
            </w:r>
            <w:r>
              <w:rPr>
                <w:rFonts w:hint="eastAsia" w:ascii="宋体" w:hAnsi="宋体" w:cs="宋体"/>
                <w:kern w:val="0"/>
              </w:rPr>
              <w:t>）按规定内容、时限、范围等各项要求进行公开的，得</w:t>
            </w:r>
            <w:r>
              <w:rPr>
                <w:rFonts w:ascii="宋体" w:hAnsi="宋体" w:cs="宋体"/>
                <w:kern w:val="0"/>
              </w:rPr>
              <w:t>1.5</w:t>
            </w:r>
            <w:r>
              <w:rPr>
                <w:rFonts w:hint="eastAsia" w:ascii="宋体" w:hAnsi="宋体" w:cs="宋体"/>
                <w:kern w:val="0"/>
              </w:rPr>
              <w:t>分。</w:t>
            </w:r>
            <w:r>
              <w:rPr>
                <w:rFonts w:ascii="宋体"/>
                <w:kern w:val="0"/>
              </w:rPr>
              <w:br w:type="textWrapping"/>
            </w:r>
            <w:r>
              <w:rPr>
                <w:rFonts w:ascii="宋体" w:hAnsi="宋体" w:cs="宋体"/>
                <w:kern w:val="0"/>
              </w:rPr>
              <w:t xml:space="preserve">    </w:t>
            </w:r>
            <w:r>
              <w:rPr>
                <w:rFonts w:hint="eastAsia" w:ascii="宋体" w:hAnsi="宋体" w:cs="宋体"/>
                <w:kern w:val="0"/>
              </w:rPr>
              <w:t>（</w:t>
            </w:r>
            <w:r>
              <w:rPr>
                <w:rFonts w:ascii="宋体" w:hAnsi="宋体" w:cs="宋体"/>
                <w:kern w:val="0"/>
              </w:rPr>
              <w:t>2</w:t>
            </w:r>
            <w:r>
              <w:rPr>
                <w:rFonts w:hint="eastAsia" w:ascii="宋体" w:hAnsi="宋体" w:cs="宋体"/>
                <w:kern w:val="0"/>
              </w:rPr>
              <w:t>）进行了公开，存在不符合时限、内容、范围等要求的，得</w:t>
            </w:r>
            <w:r>
              <w:rPr>
                <w:rFonts w:ascii="宋体" w:hAnsi="宋体" w:cs="宋体"/>
                <w:kern w:val="0"/>
              </w:rPr>
              <w:t>1</w:t>
            </w:r>
            <w:r>
              <w:rPr>
                <w:rFonts w:hint="eastAsia" w:ascii="宋体" w:hAnsi="宋体" w:cs="宋体"/>
                <w:kern w:val="0"/>
              </w:rPr>
              <w:t>分。</w:t>
            </w:r>
            <w:r>
              <w:rPr>
                <w:rFonts w:ascii="宋体"/>
                <w:kern w:val="0"/>
              </w:rPr>
              <w:br w:type="textWrapping"/>
            </w:r>
            <w:r>
              <w:rPr>
                <w:rFonts w:ascii="宋体" w:hAnsi="宋体" w:cs="宋体"/>
                <w:kern w:val="0"/>
              </w:rPr>
              <w:t xml:space="preserve">    </w:t>
            </w:r>
            <w:r>
              <w:rPr>
                <w:rFonts w:hint="eastAsia" w:ascii="宋体" w:hAnsi="宋体" w:cs="宋体"/>
                <w:kern w:val="0"/>
              </w:rPr>
              <w:t>（</w:t>
            </w:r>
            <w:r>
              <w:rPr>
                <w:rFonts w:ascii="宋体" w:hAnsi="宋体" w:cs="宋体"/>
                <w:kern w:val="0"/>
              </w:rPr>
              <w:t>3</w:t>
            </w:r>
            <w:r>
              <w:rPr>
                <w:rFonts w:hint="eastAsia" w:ascii="宋体" w:hAnsi="宋体" w:cs="宋体"/>
                <w:kern w:val="0"/>
              </w:rPr>
              <w:t>）没有进行公开的，得</w:t>
            </w:r>
            <w:r>
              <w:rPr>
                <w:rFonts w:ascii="宋体" w:cs="宋体"/>
                <w:kern w:val="0"/>
              </w:rPr>
              <w:t>0</w:t>
            </w:r>
            <w:r>
              <w:rPr>
                <w:rFonts w:hint="eastAsia" w:ascii="宋体" w:hAnsi="宋体" w:cs="宋体"/>
                <w:kern w:val="0"/>
              </w:rPr>
              <w:t>分。</w:t>
            </w:r>
          </w:p>
          <w:p>
            <w:pPr>
              <w:widowControl/>
              <w:spacing w:line="320" w:lineRule="exact"/>
              <w:rPr>
                <w:rFonts w:ascii="宋体"/>
                <w:kern w:val="0"/>
              </w:rPr>
            </w:pPr>
            <w:r>
              <w:rPr>
                <w:rFonts w:ascii="宋体" w:hAnsi="宋体" w:cs="宋体"/>
                <w:kern w:val="0"/>
              </w:rPr>
              <w:t xml:space="preserve">    3.</w:t>
            </w:r>
            <w:r>
              <w:rPr>
                <w:rFonts w:hint="eastAsia" w:ascii="宋体" w:hAnsi="宋体" w:cs="宋体"/>
                <w:kern w:val="0"/>
              </w:rPr>
              <w:t>涉密部门（单位）按规定不需要公开相关预决算信息的直接得分。</w:t>
            </w:r>
          </w:p>
        </w:tc>
        <w:tc>
          <w:tcPr>
            <w:tcW w:w="330" w:type="pct"/>
            <w:tcBorders>
              <w:top w:val="nil"/>
              <w:left w:val="nil"/>
              <w:bottom w:val="single" w:color="auto" w:sz="4" w:space="0"/>
              <w:right w:val="single" w:color="auto" w:sz="4" w:space="0"/>
            </w:tcBorders>
            <w:vAlign w:val="center"/>
          </w:tcPr>
          <w:p>
            <w:pPr>
              <w:widowControl/>
              <w:spacing w:line="320" w:lineRule="exact"/>
              <w:jc w:val="center"/>
              <w:rPr>
                <w:rFonts w:ascii="宋体" w:hAnsi="宋体" w:cs="宋体"/>
                <w:kern w:val="0"/>
              </w:rPr>
            </w:pPr>
            <w:r>
              <w:rPr>
                <w:rFonts w:hint="eastAsia" w:ascii="宋体" w:hAnsi="宋体" w:cs="宋体"/>
                <w:kern w:val="0"/>
              </w:rPr>
              <w:t>3</w:t>
            </w:r>
          </w:p>
        </w:tc>
      </w:tr>
      <w:tr>
        <w:tblPrEx>
          <w:tblCellMar>
            <w:top w:w="0" w:type="dxa"/>
            <w:left w:w="108" w:type="dxa"/>
            <w:bottom w:w="0" w:type="dxa"/>
            <w:right w:w="108" w:type="dxa"/>
          </w:tblCellMar>
        </w:tblPrEx>
        <w:trPr>
          <w:trHeight w:val="90" w:hRule="atLeast"/>
        </w:trPr>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项目管理</w:t>
            </w:r>
          </w:p>
        </w:tc>
        <w:tc>
          <w:tcPr>
            <w:tcW w:w="150" w:type="pct"/>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4</w:t>
            </w:r>
          </w:p>
        </w:tc>
        <w:tc>
          <w:tcPr>
            <w:tcW w:w="224" w:type="pct"/>
            <w:tcBorders>
              <w:top w:val="nil"/>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项目实施程序</w:t>
            </w:r>
          </w:p>
        </w:tc>
        <w:tc>
          <w:tcPr>
            <w:tcW w:w="153" w:type="pct"/>
            <w:tcBorders>
              <w:top w:val="nil"/>
              <w:left w:val="nil"/>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2</w:t>
            </w:r>
          </w:p>
        </w:tc>
        <w:tc>
          <w:tcPr>
            <w:tcW w:w="705" w:type="pct"/>
            <w:tcBorders>
              <w:top w:val="nil"/>
              <w:left w:val="nil"/>
              <w:bottom w:val="single" w:color="auto" w:sz="4" w:space="0"/>
              <w:right w:val="single" w:color="auto" w:sz="4" w:space="0"/>
            </w:tcBorders>
            <w:vAlign w:val="center"/>
          </w:tcPr>
          <w:p>
            <w:pPr>
              <w:widowControl/>
              <w:spacing w:line="320" w:lineRule="exact"/>
              <w:rPr>
                <w:rFonts w:ascii="宋体"/>
                <w:kern w:val="0"/>
              </w:rPr>
            </w:pPr>
            <w:r>
              <w:rPr>
                <w:rFonts w:hint="eastAsia" w:ascii="宋体" w:hAnsi="宋体" w:cs="宋体"/>
                <w:kern w:val="0"/>
              </w:rPr>
              <w:t>部门（单位）所有项目支出实施过程是否规范</w:t>
            </w:r>
            <w:r>
              <w:rPr>
                <w:rFonts w:ascii="宋体" w:cs="宋体"/>
                <w:kern w:val="0"/>
              </w:rPr>
              <w:t>,</w:t>
            </w:r>
            <w:r>
              <w:rPr>
                <w:rFonts w:hint="eastAsia" w:ascii="宋体" w:hAnsi="宋体" w:cs="宋体"/>
                <w:kern w:val="0"/>
              </w:rPr>
              <w:t>包括是否符合申报条件；申报、批复程序是否符合相关管理办法；项目招投标、调整、完成验收等是否履行相应手续等。</w:t>
            </w:r>
          </w:p>
        </w:tc>
        <w:tc>
          <w:tcPr>
            <w:tcW w:w="2984" w:type="pct"/>
            <w:tcBorders>
              <w:top w:val="nil"/>
              <w:left w:val="nil"/>
              <w:bottom w:val="single" w:color="auto" w:sz="4" w:space="0"/>
              <w:right w:val="single" w:color="auto" w:sz="4" w:space="0"/>
            </w:tcBorders>
            <w:vAlign w:val="center"/>
          </w:tcPr>
          <w:p>
            <w:pPr>
              <w:widowControl/>
              <w:spacing w:line="320" w:lineRule="exact"/>
              <w:rPr>
                <w:rFonts w:ascii="宋体"/>
                <w:kern w:val="0"/>
              </w:rPr>
            </w:pPr>
            <w:r>
              <w:rPr>
                <w:rFonts w:ascii="宋体" w:hAnsi="宋体" w:cs="宋体"/>
                <w:kern w:val="0"/>
              </w:rPr>
              <w:t xml:space="preserve">    1.</w:t>
            </w:r>
            <w:r>
              <w:rPr>
                <w:rFonts w:hint="eastAsia" w:ascii="宋体" w:hAnsi="宋体" w:cs="宋体"/>
                <w:kern w:val="0"/>
              </w:rPr>
              <w:t>项目的设立、调整按规定履行报批程序（</w:t>
            </w:r>
            <w:r>
              <w:rPr>
                <w:rFonts w:ascii="宋体" w:hAnsi="宋体" w:cs="宋体"/>
                <w:kern w:val="0"/>
              </w:rPr>
              <w:t>1</w:t>
            </w:r>
            <w:r>
              <w:rPr>
                <w:rFonts w:hint="eastAsia" w:ascii="宋体" w:hAnsi="宋体" w:cs="宋体"/>
                <w:kern w:val="0"/>
              </w:rPr>
              <w:t>分）；</w:t>
            </w:r>
            <w:r>
              <w:rPr>
                <w:rFonts w:ascii="宋体"/>
                <w:kern w:val="0"/>
              </w:rPr>
              <w:br w:type="textWrapping"/>
            </w:r>
            <w:r>
              <w:rPr>
                <w:rFonts w:ascii="宋体" w:hAnsi="宋体" w:cs="宋体"/>
                <w:kern w:val="0"/>
              </w:rPr>
              <w:t xml:space="preserve">    2.</w:t>
            </w:r>
            <w:r>
              <w:rPr>
                <w:rFonts w:hint="eastAsia" w:ascii="宋体" w:hAnsi="宋体" w:cs="宋体"/>
                <w:kern w:val="0"/>
              </w:rPr>
              <w:t>项目招投标、建设、验收以及方案实施均严格执行相关制度规定（</w:t>
            </w:r>
            <w:r>
              <w:rPr>
                <w:rFonts w:ascii="宋体" w:hAnsi="宋体" w:cs="宋体"/>
                <w:kern w:val="0"/>
              </w:rPr>
              <w:t>1</w:t>
            </w:r>
            <w:r>
              <w:rPr>
                <w:rFonts w:hint="eastAsia" w:ascii="宋体" w:hAnsi="宋体" w:cs="宋体"/>
                <w:kern w:val="0"/>
              </w:rPr>
              <w:t>分）。</w:t>
            </w:r>
          </w:p>
        </w:tc>
        <w:tc>
          <w:tcPr>
            <w:tcW w:w="330" w:type="pct"/>
            <w:tcBorders>
              <w:top w:val="nil"/>
              <w:left w:val="nil"/>
              <w:bottom w:val="single" w:color="auto" w:sz="4" w:space="0"/>
              <w:right w:val="single" w:color="auto" w:sz="4" w:space="0"/>
            </w:tcBorders>
            <w:vAlign w:val="center"/>
          </w:tcPr>
          <w:p>
            <w:pPr>
              <w:widowControl/>
              <w:spacing w:line="320" w:lineRule="exact"/>
              <w:jc w:val="center"/>
              <w:rPr>
                <w:rFonts w:ascii="宋体" w:hAnsi="宋体" w:cs="宋体"/>
                <w:kern w:val="0"/>
              </w:rPr>
            </w:pPr>
            <w:r>
              <w:rPr>
                <w:rFonts w:hint="eastAsia" w:ascii="宋体" w:hAnsi="宋体" w:cs="宋体"/>
                <w:kern w:val="0"/>
              </w:rPr>
              <w:t>2</w:t>
            </w:r>
          </w:p>
        </w:tc>
      </w:tr>
      <w:tr>
        <w:tblPrEx>
          <w:tblCellMar>
            <w:top w:w="0" w:type="dxa"/>
            <w:left w:w="108" w:type="dxa"/>
            <w:bottom w:w="0" w:type="dxa"/>
            <w:right w:w="108" w:type="dxa"/>
          </w:tblCellMar>
        </w:tblPrEx>
        <w:trPr>
          <w:trHeight w:val="1527" w:hRule="atLeast"/>
        </w:trPr>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kern w:val="0"/>
              </w:rPr>
            </w:pPr>
          </w:p>
        </w:tc>
        <w:tc>
          <w:tcPr>
            <w:tcW w:w="224" w:type="pct"/>
            <w:tcBorders>
              <w:top w:val="nil"/>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项目</w:t>
            </w:r>
          </w:p>
          <w:p>
            <w:pPr>
              <w:widowControl/>
              <w:spacing w:line="320" w:lineRule="exact"/>
              <w:jc w:val="left"/>
              <w:rPr>
                <w:rFonts w:ascii="宋体"/>
                <w:kern w:val="0"/>
              </w:rPr>
            </w:pPr>
            <w:r>
              <w:rPr>
                <w:rFonts w:hint="eastAsia" w:ascii="宋体" w:hAnsi="宋体" w:cs="宋体"/>
                <w:kern w:val="0"/>
              </w:rPr>
              <w:t>监管</w:t>
            </w:r>
          </w:p>
        </w:tc>
        <w:tc>
          <w:tcPr>
            <w:tcW w:w="153" w:type="pct"/>
            <w:tcBorders>
              <w:top w:val="nil"/>
              <w:left w:val="nil"/>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2</w:t>
            </w:r>
          </w:p>
        </w:tc>
        <w:tc>
          <w:tcPr>
            <w:tcW w:w="705" w:type="pct"/>
            <w:tcBorders>
              <w:top w:val="nil"/>
              <w:left w:val="nil"/>
              <w:bottom w:val="single" w:color="auto" w:sz="4" w:space="0"/>
              <w:right w:val="single" w:color="auto" w:sz="4" w:space="0"/>
            </w:tcBorders>
            <w:vAlign w:val="center"/>
          </w:tcPr>
          <w:p>
            <w:pPr>
              <w:widowControl/>
              <w:spacing w:line="320" w:lineRule="exact"/>
              <w:rPr>
                <w:rFonts w:ascii="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部门（单位）对所实施项目（包括部门主管的专项资金和专项经费分配给市、区实施的项目）的检查、监控、督促整改等管理情况。</w:t>
            </w:r>
          </w:p>
        </w:tc>
        <w:tc>
          <w:tcPr>
            <w:tcW w:w="2984" w:type="pct"/>
            <w:tcBorders>
              <w:top w:val="nil"/>
              <w:left w:val="nil"/>
              <w:bottom w:val="single" w:color="auto" w:sz="4" w:space="0"/>
              <w:right w:val="single" w:color="auto" w:sz="4" w:space="0"/>
            </w:tcBorders>
            <w:vAlign w:val="center"/>
          </w:tcPr>
          <w:p>
            <w:pPr>
              <w:widowControl/>
              <w:spacing w:line="320" w:lineRule="exact"/>
              <w:ind w:firstLine="420"/>
              <w:rPr>
                <w:rFonts w:ascii="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14:textFill>
                  <w14:solidFill>
                    <w14:schemeClr w14:val="tx1"/>
                  </w14:solidFill>
                </w14:textFill>
              </w:rPr>
              <w:t>资金使用单位、基层资金管理单位建立有效资金管理和绩效运行监控机制，且执行情况良好（</w:t>
            </w:r>
            <w:r>
              <w:rPr>
                <w:rFonts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14:textFill>
                  <w14:solidFill>
                    <w14:schemeClr w14:val="tx1"/>
                  </w14:solidFill>
                </w14:textFill>
              </w:rPr>
              <w:t>分）；</w:t>
            </w:r>
            <w:r>
              <w:rPr>
                <w:rFonts w:ascii="宋体"/>
                <w:color w:val="000000" w:themeColor="text1"/>
                <w:kern w:val="0"/>
                <w14:textFill>
                  <w14:solidFill>
                    <w14:schemeClr w14:val="tx1"/>
                  </w14:solidFill>
                </w14:textFill>
              </w:rPr>
              <w:br w:type="textWrapping"/>
            </w:r>
            <w:r>
              <w:rPr>
                <w:rFonts w:ascii="宋体" w:hAnsi="宋体" w:cs="宋体"/>
                <w:color w:val="000000" w:themeColor="text1"/>
                <w:kern w:val="0"/>
                <w14:textFill>
                  <w14:solidFill>
                    <w14:schemeClr w14:val="tx1"/>
                  </w14:solidFill>
                </w14:textFill>
              </w:rPr>
              <w:t xml:space="preserve">    2.</w:t>
            </w:r>
            <w:r>
              <w:rPr>
                <w:rFonts w:hint="eastAsia" w:ascii="宋体" w:hAnsi="宋体" w:cs="宋体"/>
                <w:color w:val="000000" w:themeColor="text1"/>
                <w:kern w:val="0"/>
                <w14:textFill>
                  <w14:solidFill>
                    <w14:schemeClr w14:val="tx1"/>
                  </w14:solidFill>
                </w14:textFill>
              </w:rPr>
              <w:t>各主管部门按规定对主管的财政资金（含专项资金和专项经费）开展有效的检查、监控、督促整改（</w:t>
            </w:r>
            <w:r>
              <w:rPr>
                <w:rFonts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14:textFill>
                  <w14:solidFill>
                    <w14:schemeClr w14:val="tx1"/>
                  </w14:solidFill>
                </w14:textFill>
              </w:rPr>
              <w:t>分），如无法提供开展检查监督相关证明材料，或被评价年度部门主管的专项资金绩效评价结果为差的，得</w:t>
            </w:r>
            <w:r>
              <w:rPr>
                <w:rFonts w:ascii="宋体" w:cs="宋体"/>
                <w:color w:val="000000" w:themeColor="text1"/>
                <w:kern w:val="0"/>
                <w14:textFill>
                  <w14:solidFill>
                    <w14:schemeClr w14:val="tx1"/>
                  </w14:solidFill>
                </w14:textFill>
              </w:rPr>
              <w:t>0</w:t>
            </w:r>
            <w:r>
              <w:rPr>
                <w:rFonts w:hint="eastAsia" w:ascii="宋体" w:hAnsi="宋体" w:cs="宋体"/>
                <w:color w:val="000000" w:themeColor="text1"/>
                <w:kern w:val="0"/>
                <w14:textFill>
                  <w14:solidFill>
                    <w14:schemeClr w14:val="tx1"/>
                  </w14:solidFill>
                </w14:textFill>
              </w:rPr>
              <w:t>分。</w:t>
            </w:r>
          </w:p>
        </w:tc>
        <w:tc>
          <w:tcPr>
            <w:tcW w:w="330" w:type="pct"/>
            <w:tcBorders>
              <w:top w:val="nil"/>
              <w:left w:val="nil"/>
              <w:bottom w:val="single" w:color="auto" w:sz="4" w:space="0"/>
              <w:right w:val="single" w:color="auto" w:sz="4" w:space="0"/>
            </w:tcBorders>
            <w:vAlign w:val="center"/>
          </w:tcPr>
          <w:p>
            <w:pPr>
              <w:widowControl/>
              <w:spacing w:line="320" w:lineRule="exact"/>
              <w:jc w:val="center"/>
              <w:rPr>
                <w:rFonts w:ascii="宋体" w:hAnsi="宋体" w:cs="宋体"/>
                <w:kern w:val="0"/>
              </w:rPr>
            </w:pPr>
            <w:r>
              <w:rPr>
                <w:rFonts w:hint="eastAsia" w:ascii="宋体" w:hAnsi="宋体" w:cs="宋体"/>
                <w:kern w:val="0"/>
              </w:rPr>
              <w:t>1</w:t>
            </w:r>
          </w:p>
        </w:tc>
      </w:tr>
      <w:tr>
        <w:tblPrEx>
          <w:tblCellMar>
            <w:top w:w="0" w:type="dxa"/>
            <w:left w:w="108" w:type="dxa"/>
            <w:bottom w:w="0" w:type="dxa"/>
            <w:right w:w="108" w:type="dxa"/>
          </w:tblCellMar>
        </w:tblPrEx>
        <w:trPr>
          <w:trHeight w:val="694" w:hRule="atLeast"/>
        </w:trPr>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资产管理</w:t>
            </w:r>
          </w:p>
        </w:tc>
        <w:tc>
          <w:tcPr>
            <w:tcW w:w="150" w:type="pct"/>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3</w:t>
            </w:r>
          </w:p>
        </w:tc>
        <w:tc>
          <w:tcPr>
            <w:tcW w:w="224" w:type="pct"/>
            <w:tcBorders>
              <w:top w:val="nil"/>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资产管理安全性</w:t>
            </w:r>
          </w:p>
        </w:tc>
        <w:tc>
          <w:tcPr>
            <w:tcW w:w="153" w:type="pct"/>
            <w:tcBorders>
              <w:top w:val="nil"/>
              <w:left w:val="nil"/>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2</w:t>
            </w:r>
          </w:p>
        </w:tc>
        <w:tc>
          <w:tcPr>
            <w:tcW w:w="705" w:type="pct"/>
            <w:tcBorders>
              <w:top w:val="nil"/>
              <w:left w:val="nil"/>
              <w:bottom w:val="single" w:color="auto" w:sz="4" w:space="0"/>
              <w:right w:val="single" w:color="auto" w:sz="4" w:space="0"/>
            </w:tcBorders>
            <w:vAlign w:val="center"/>
          </w:tcPr>
          <w:p>
            <w:pPr>
              <w:widowControl/>
              <w:spacing w:line="320" w:lineRule="exact"/>
              <w:rPr>
                <w:rFonts w:ascii="宋体"/>
                <w:kern w:val="0"/>
              </w:rPr>
            </w:pPr>
            <w:r>
              <w:rPr>
                <w:rFonts w:hint="eastAsia" w:ascii="宋体" w:hAnsi="宋体" w:cs="宋体"/>
                <w:kern w:val="0"/>
              </w:rPr>
              <w:t>部门（单位）的资产是否保存完整、使用合规、配置合理、处置规范、收入及时足额上缴，用于反映和考核部门（单位）资产安全运行情况。</w:t>
            </w:r>
          </w:p>
        </w:tc>
        <w:tc>
          <w:tcPr>
            <w:tcW w:w="2984" w:type="pct"/>
            <w:tcBorders>
              <w:top w:val="nil"/>
              <w:left w:val="nil"/>
              <w:bottom w:val="single" w:color="auto" w:sz="4" w:space="0"/>
              <w:right w:val="single" w:color="auto" w:sz="4" w:space="0"/>
            </w:tcBorders>
            <w:vAlign w:val="center"/>
          </w:tcPr>
          <w:p>
            <w:pPr>
              <w:widowControl/>
              <w:spacing w:line="320" w:lineRule="exact"/>
              <w:rPr>
                <w:rFonts w:ascii="宋体"/>
                <w:kern w:val="0"/>
              </w:rPr>
            </w:pPr>
            <w:r>
              <w:rPr>
                <w:rFonts w:ascii="宋体" w:hAnsi="宋体" w:cs="宋体"/>
                <w:kern w:val="0"/>
              </w:rPr>
              <w:t xml:space="preserve">    1.</w:t>
            </w:r>
            <w:r>
              <w:rPr>
                <w:rFonts w:hint="eastAsia" w:ascii="宋体" w:hAnsi="宋体" w:cs="宋体"/>
                <w:kern w:val="0"/>
              </w:rPr>
              <w:t>资产配置合理、保管完整，账实相符（</w:t>
            </w:r>
            <w:r>
              <w:rPr>
                <w:rFonts w:ascii="宋体" w:hAnsi="宋体" w:cs="宋体"/>
                <w:kern w:val="0"/>
              </w:rPr>
              <w:t>1</w:t>
            </w:r>
            <w:r>
              <w:rPr>
                <w:rFonts w:hint="eastAsia" w:ascii="宋体" w:hAnsi="宋体" w:cs="宋体"/>
                <w:kern w:val="0"/>
              </w:rPr>
              <w:t>分）；</w:t>
            </w:r>
            <w:r>
              <w:rPr>
                <w:rFonts w:ascii="宋体"/>
                <w:kern w:val="0"/>
              </w:rPr>
              <w:br w:type="textWrapping"/>
            </w:r>
            <w:r>
              <w:rPr>
                <w:rFonts w:ascii="宋体" w:hAnsi="宋体" w:cs="宋体"/>
                <w:kern w:val="0"/>
              </w:rPr>
              <w:t xml:space="preserve">    2.</w:t>
            </w:r>
            <w:r>
              <w:rPr>
                <w:rFonts w:hint="eastAsia" w:ascii="宋体" w:hAnsi="宋体" w:cs="宋体"/>
                <w:kern w:val="0"/>
              </w:rPr>
              <w:t>资产处置规范，有偿使用及处置收入及时足额上缴（</w:t>
            </w:r>
            <w:r>
              <w:rPr>
                <w:rFonts w:ascii="宋体" w:hAnsi="宋体" w:cs="宋体"/>
                <w:kern w:val="0"/>
              </w:rPr>
              <w:t>1</w:t>
            </w:r>
            <w:r>
              <w:rPr>
                <w:rFonts w:hint="eastAsia" w:ascii="宋体" w:hAnsi="宋体" w:cs="宋体"/>
                <w:kern w:val="0"/>
              </w:rPr>
              <w:t>分）。</w:t>
            </w:r>
          </w:p>
        </w:tc>
        <w:tc>
          <w:tcPr>
            <w:tcW w:w="330" w:type="pct"/>
            <w:tcBorders>
              <w:top w:val="nil"/>
              <w:left w:val="nil"/>
              <w:bottom w:val="single" w:color="auto" w:sz="4" w:space="0"/>
              <w:right w:val="single" w:color="auto" w:sz="4" w:space="0"/>
            </w:tcBorders>
            <w:vAlign w:val="center"/>
          </w:tcPr>
          <w:p>
            <w:pPr>
              <w:widowControl/>
              <w:spacing w:line="320" w:lineRule="exact"/>
              <w:jc w:val="center"/>
              <w:rPr>
                <w:rFonts w:ascii="宋体" w:hAnsi="宋体" w:cs="宋体"/>
                <w:kern w:val="0"/>
              </w:rPr>
            </w:pPr>
            <w:r>
              <w:rPr>
                <w:rFonts w:hint="eastAsia" w:ascii="宋体" w:hAnsi="宋体" w:cs="宋体"/>
                <w:kern w:val="0"/>
              </w:rPr>
              <w:t>2</w:t>
            </w:r>
          </w:p>
        </w:tc>
      </w:tr>
      <w:tr>
        <w:tblPrEx>
          <w:tblCellMar>
            <w:top w:w="0" w:type="dxa"/>
            <w:left w:w="108" w:type="dxa"/>
            <w:bottom w:w="0" w:type="dxa"/>
            <w:right w:w="108" w:type="dxa"/>
          </w:tblCellMar>
        </w:tblPrEx>
        <w:trPr>
          <w:trHeight w:val="1314" w:hRule="atLeast"/>
        </w:trPr>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kern w:val="0"/>
              </w:rPr>
            </w:pPr>
          </w:p>
        </w:tc>
        <w:tc>
          <w:tcPr>
            <w:tcW w:w="224" w:type="pct"/>
            <w:tcBorders>
              <w:top w:val="nil"/>
              <w:left w:val="nil"/>
              <w:bottom w:val="single" w:color="auto" w:sz="4" w:space="0"/>
              <w:right w:val="single" w:color="auto" w:sz="4" w:space="0"/>
            </w:tcBorders>
            <w:vAlign w:val="center"/>
          </w:tcPr>
          <w:p>
            <w:pPr>
              <w:widowControl/>
              <w:spacing w:line="300" w:lineRule="exact"/>
              <w:jc w:val="left"/>
              <w:rPr>
                <w:rFonts w:ascii="宋体"/>
                <w:kern w:val="0"/>
              </w:rPr>
            </w:pPr>
            <w:r>
              <w:rPr>
                <w:rFonts w:hint="eastAsia" w:ascii="宋体" w:hAnsi="宋体" w:cs="宋体"/>
                <w:kern w:val="0"/>
              </w:rPr>
              <w:t>固定资产利用率</w:t>
            </w:r>
          </w:p>
        </w:tc>
        <w:tc>
          <w:tcPr>
            <w:tcW w:w="153" w:type="pct"/>
            <w:tcBorders>
              <w:top w:val="nil"/>
              <w:left w:val="nil"/>
              <w:bottom w:val="single" w:color="auto" w:sz="4" w:space="0"/>
              <w:right w:val="single" w:color="auto" w:sz="4" w:space="0"/>
            </w:tcBorders>
            <w:vAlign w:val="center"/>
          </w:tcPr>
          <w:p>
            <w:pPr>
              <w:widowControl/>
              <w:spacing w:line="300" w:lineRule="exact"/>
              <w:jc w:val="center"/>
              <w:rPr>
                <w:rFonts w:ascii="宋体"/>
                <w:kern w:val="0"/>
              </w:rPr>
            </w:pPr>
            <w:r>
              <w:rPr>
                <w:rFonts w:ascii="宋体" w:hAnsi="宋体" w:cs="宋体"/>
                <w:kern w:val="0"/>
              </w:rPr>
              <w:t>1</w:t>
            </w:r>
          </w:p>
        </w:tc>
        <w:tc>
          <w:tcPr>
            <w:tcW w:w="705" w:type="pct"/>
            <w:tcBorders>
              <w:top w:val="nil"/>
              <w:left w:val="nil"/>
              <w:bottom w:val="single" w:color="auto" w:sz="4" w:space="0"/>
              <w:right w:val="single" w:color="auto" w:sz="4" w:space="0"/>
            </w:tcBorders>
            <w:vAlign w:val="center"/>
          </w:tcPr>
          <w:p>
            <w:pPr>
              <w:widowControl/>
              <w:spacing w:line="300" w:lineRule="exact"/>
              <w:rPr>
                <w:rFonts w:ascii="宋体"/>
                <w:kern w:val="0"/>
              </w:rPr>
            </w:pPr>
            <w:r>
              <w:rPr>
                <w:rFonts w:hint="eastAsia" w:ascii="宋体" w:hAnsi="宋体" w:cs="宋体"/>
                <w:kern w:val="0"/>
              </w:rPr>
              <w:t>部门（单位）实际在用固定资产总额与所有固定资产总额的比例，用以反映和考核部门（单位）固定资产使用效率程度。</w:t>
            </w:r>
          </w:p>
        </w:tc>
        <w:tc>
          <w:tcPr>
            <w:tcW w:w="2984" w:type="pct"/>
            <w:tcBorders>
              <w:top w:val="nil"/>
              <w:left w:val="nil"/>
              <w:bottom w:val="single" w:color="auto" w:sz="4" w:space="0"/>
              <w:right w:val="single" w:color="auto" w:sz="4" w:space="0"/>
            </w:tcBorders>
            <w:vAlign w:val="center"/>
          </w:tcPr>
          <w:p>
            <w:pPr>
              <w:widowControl/>
              <w:spacing w:line="300" w:lineRule="exact"/>
              <w:ind w:firstLine="420" w:firstLineChars="200"/>
              <w:rPr>
                <w:rFonts w:ascii="宋体" w:hAnsi="宋体" w:cs="宋体"/>
                <w:kern w:val="0"/>
              </w:rPr>
            </w:pPr>
            <w:r>
              <w:rPr>
                <w:rFonts w:hint="eastAsia" w:ascii="宋体" w:hAnsi="宋体" w:cs="宋体"/>
                <w:kern w:val="0"/>
              </w:rPr>
              <w:t>固定资产利用率</w:t>
            </w:r>
            <w:r>
              <w:rPr>
                <w:rFonts w:ascii="宋体" w:hAnsi="宋体" w:cs="宋体"/>
                <w:kern w:val="0"/>
              </w:rPr>
              <w:t>=</w:t>
            </w:r>
            <w:r>
              <w:rPr>
                <w:rFonts w:hint="eastAsia" w:ascii="宋体" w:hAnsi="宋体" w:cs="宋体"/>
                <w:kern w:val="0"/>
              </w:rPr>
              <w:t>（实际在用固定资产总额</w:t>
            </w:r>
            <w:r>
              <w:rPr>
                <w:rFonts w:ascii="宋体" w:hAnsi="宋体" w:cs="宋体"/>
                <w:kern w:val="0"/>
              </w:rPr>
              <w:t>/</w:t>
            </w:r>
            <w:r>
              <w:rPr>
                <w:rFonts w:hint="eastAsia" w:ascii="宋体" w:hAnsi="宋体" w:cs="宋体"/>
                <w:kern w:val="0"/>
              </w:rPr>
              <w:t>所有固定资产总额）×</w:t>
            </w:r>
            <w:r>
              <w:rPr>
                <w:rFonts w:ascii="宋体" w:hAnsi="宋体" w:cs="宋体"/>
                <w:kern w:val="0"/>
              </w:rPr>
              <w:t xml:space="preserve">100%    </w:t>
            </w:r>
          </w:p>
          <w:p>
            <w:pPr>
              <w:widowControl/>
              <w:spacing w:line="300" w:lineRule="exact"/>
              <w:ind w:firstLine="420" w:firstLineChars="200"/>
              <w:rPr>
                <w:rFonts w:ascii="宋体"/>
                <w:kern w:val="0"/>
              </w:rPr>
            </w:pPr>
            <w:r>
              <w:rPr>
                <w:rFonts w:ascii="宋体" w:hAnsi="宋体" w:cs="宋体"/>
                <w:kern w:val="0"/>
              </w:rPr>
              <w:t>1.</w:t>
            </w:r>
            <w:r>
              <w:rPr>
                <w:rFonts w:hint="eastAsia" w:ascii="宋体" w:hAnsi="宋体" w:cs="宋体"/>
                <w:kern w:val="0"/>
              </w:rPr>
              <w:t>固定资产利用率≥</w:t>
            </w:r>
            <w:r>
              <w:rPr>
                <w:rFonts w:ascii="宋体" w:hAnsi="宋体" w:cs="宋体"/>
                <w:kern w:val="0"/>
              </w:rPr>
              <w:t>90%</w:t>
            </w:r>
            <w:r>
              <w:rPr>
                <w:rFonts w:hint="eastAsia" w:ascii="宋体" w:hAnsi="宋体" w:cs="宋体"/>
                <w:kern w:val="0"/>
              </w:rPr>
              <w:t>的，得</w:t>
            </w:r>
            <w:r>
              <w:rPr>
                <w:rFonts w:ascii="宋体" w:hAnsi="宋体" w:cs="宋体"/>
                <w:kern w:val="0"/>
              </w:rPr>
              <w:t>1</w:t>
            </w:r>
            <w:r>
              <w:rPr>
                <w:rFonts w:hint="eastAsia" w:ascii="宋体" w:hAnsi="宋体" w:cs="宋体"/>
                <w:kern w:val="0"/>
              </w:rPr>
              <w:t>分；</w:t>
            </w:r>
            <w:r>
              <w:rPr>
                <w:rFonts w:ascii="宋体"/>
                <w:kern w:val="0"/>
              </w:rPr>
              <w:br w:type="textWrapping"/>
            </w:r>
            <w:r>
              <w:rPr>
                <w:rFonts w:ascii="宋体" w:hAnsi="宋体" w:cs="宋体"/>
                <w:kern w:val="0"/>
              </w:rPr>
              <w:t xml:space="preserve">    2.90%</w:t>
            </w:r>
            <w:r>
              <w:rPr>
                <w:rFonts w:hint="eastAsia" w:ascii="宋体" w:hAnsi="宋体" w:cs="宋体"/>
                <w:kern w:val="0"/>
              </w:rPr>
              <w:t>＞固定资产利用率≥</w:t>
            </w:r>
            <w:r>
              <w:rPr>
                <w:rFonts w:ascii="宋体" w:hAnsi="宋体" w:cs="宋体"/>
                <w:kern w:val="0"/>
              </w:rPr>
              <w:t>75%</w:t>
            </w:r>
            <w:r>
              <w:rPr>
                <w:rFonts w:hint="eastAsia" w:ascii="宋体" w:hAnsi="宋体" w:cs="宋体"/>
                <w:kern w:val="0"/>
              </w:rPr>
              <w:t>的，得</w:t>
            </w:r>
            <w:r>
              <w:rPr>
                <w:rFonts w:ascii="宋体" w:hAnsi="宋体" w:cs="宋体"/>
                <w:kern w:val="0"/>
              </w:rPr>
              <w:t>0.7</w:t>
            </w:r>
            <w:r>
              <w:rPr>
                <w:rFonts w:hint="eastAsia" w:ascii="宋体" w:hAnsi="宋体" w:cs="宋体"/>
                <w:kern w:val="0"/>
              </w:rPr>
              <w:t>分；</w:t>
            </w:r>
            <w:r>
              <w:rPr>
                <w:rFonts w:ascii="宋体"/>
                <w:kern w:val="0"/>
              </w:rPr>
              <w:br w:type="textWrapping"/>
            </w:r>
            <w:r>
              <w:rPr>
                <w:rFonts w:ascii="宋体" w:hAnsi="宋体" w:cs="宋体"/>
                <w:kern w:val="0"/>
              </w:rPr>
              <w:t xml:space="preserve">    3.75%</w:t>
            </w:r>
            <w:r>
              <w:rPr>
                <w:rFonts w:hint="eastAsia" w:ascii="宋体" w:hAnsi="宋体" w:cs="宋体"/>
                <w:kern w:val="0"/>
              </w:rPr>
              <w:t>＞固定资产利用率≥</w:t>
            </w:r>
            <w:r>
              <w:rPr>
                <w:rFonts w:ascii="宋体" w:hAnsi="宋体" w:cs="宋体"/>
                <w:kern w:val="0"/>
              </w:rPr>
              <w:t>60%</w:t>
            </w:r>
            <w:r>
              <w:rPr>
                <w:rFonts w:hint="eastAsia" w:ascii="宋体" w:hAnsi="宋体" w:cs="宋体"/>
                <w:kern w:val="0"/>
              </w:rPr>
              <w:t>的，得</w:t>
            </w:r>
            <w:r>
              <w:rPr>
                <w:rFonts w:ascii="宋体" w:cs="宋体"/>
                <w:kern w:val="0"/>
              </w:rPr>
              <w:t>0.</w:t>
            </w:r>
            <w:r>
              <w:rPr>
                <w:rFonts w:ascii="宋体" w:hAnsi="宋体" w:cs="宋体"/>
                <w:kern w:val="0"/>
              </w:rPr>
              <w:t>4</w:t>
            </w:r>
            <w:r>
              <w:rPr>
                <w:rFonts w:hint="eastAsia" w:ascii="宋体" w:hAnsi="宋体" w:cs="宋体"/>
                <w:kern w:val="0"/>
              </w:rPr>
              <w:t>分；</w:t>
            </w:r>
            <w:r>
              <w:rPr>
                <w:rFonts w:ascii="宋体"/>
                <w:kern w:val="0"/>
              </w:rPr>
              <w:br w:type="textWrapping"/>
            </w:r>
            <w:r>
              <w:rPr>
                <w:rFonts w:ascii="宋体" w:hAnsi="宋体" w:cs="宋体"/>
                <w:kern w:val="0"/>
              </w:rPr>
              <w:t xml:space="preserve">    4.</w:t>
            </w:r>
            <w:r>
              <w:rPr>
                <w:rFonts w:hint="eastAsia" w:ascii="宋体" w:hAnsi="宋体" w:cs="宋体"/>
                <w:kern w:val="0"/>
              </w:rPr>
              <w:t>固定资产利用率＜</w:t>
            </w:r>
            <w:r>
              <w:rPr>
                <w:rFonts w:ascii="宋体" w:hAnsi="宋体" w:cs="宋体"/>
                <w:kern w:val="0"/>
              </w:rPr>
              <w:t>60%</w:t>
            </w:r>
            <w:r>
              <w:rPr>
                <w:rFonts w:hint="eastAsia" w:ascii="宋体" w:hAnsi="宋体" w:cs="宋体"/>
                <w:kern w:val="0"/>
              </w:rPr>
              <w:t>的，得</w:t>
            </w:r>
            <w:r>
              <w:rPr>
                <w:rFonts w:ascii="宋体" w:cs="宋体"/>
                <w:kern w:val="0"/>
              </w:rPr>
              <w:t>0</w:t>
            </w:r>
            <w:r>
              <w:rPr>
                <w:rFonts w:hint="eastAsia" w:ascii="宋体" w:hAnsi="宋体" w:cs="宋体"/>
                <w:kern w:val="0"/>
              </w:rPr>
              <w:t>分。</w:t>
            </w:r>
          </w:p>
        </w:tc>
        <w:tc>
          <w:tcPr>
            <w:tcW w:w="330" w:type="pct"/>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kern w:val="0"/>
              </w:rPr>
            </w:pPr>
            <w:r>
              <w:rPr>
                <w:rFonts w:hint="eastAsia" w:ascii="宋体" w:hAnsi="宋体" w:cs="宋体"/>
                <w:kern w:val="0"/>
              </w:rPr>
              <w:t>1</w:t>
            </w:r>
          </w:p>
        </w:tc>
      </w:tr>
      <w:tr>
        <w:tblPrEx>
          <w:tblCellMar>
            <w:top w:w="0" w:type="dxa"/>
            <w:left w:w="108" w:type="dxa"/>
            <w:bottom w:w="0" w:type="dxa"/>
            <w:right w:w="108" w:type="dxa"/>
          </w:tblCellMar>
        </w:tblPrEx>
        <w:trPr>
          <w:trHeight w:val="1559" w:hRule="atLeast"/>
        </w:trPr>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restart"/>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人员管理</w:t>
            </w:r>
          </w:p>
        </w:tc>
        <w:tc>
          <w:tcPr>
            <w:tcW w:w="150" w:type="pct"/>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2</w:t>
            </w:r>
          </w:p>
        </w:tc>
        <w:tc>
          <w:tcPr>
            <w:tcW w:w="224" w:type="pct"/>
            <w:tcBorders>
              <w:top w:val="single" w:color="auto" w:sz="4" w:space="0"/>
              <w:left w:val="nil"/>
              <w:bottom w:val="single" w:color="auto" w:sz="4" w:space="0"/>
              <w:right w:val="single" w:color="auto" w:sz="4" w:space="0"/>
            </w:tcBorders>
            <w:vAlign w:val="center"/>
          </w:tcPr>
          <w:p>
            <w:pPr>
              <w:widowControl/>
              <w:spacing w:line="300" w:lineRule="exact"/>
              <w:jc w:val="left"/>
              <w:rPr>
                <w:rFonts w:ascii="宋体"/>
                <w:kern w:val="0"/>
                <w:sz w:val="18"/>
                <w:szCs w:val="18"/>
              </w:rPr>
            </w:pPr>
            <w:r>
              <w:rPr>
                <w:rFonts w:hint="eastAsia" w:ascii="宋体" w:hAnsi="宋体" w:cs="宋体"/>
                <w:kern w:val="0"/>
              </w:rPr>
              <w:t>财政供养人员控制率</w:t>
            </w:r>
          </w:p>
        </w:tc>
        <w:tc>
          <w:tcPr>
            <w:tcW w:w="153" w:type="pct"/>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kern w:val="0"/>
                <w:sz w:val="18"/>
                <w:szCs w:val="18"/>
              </w:rPr>
            </w:pPr>
            <w:r>
              <w:rPr>
                <w:rFonts w:ascii="宋体" w:hAnsi="宋体" w:cs="宋体"/>
                <w:kern w:val="0"/>
              </w:rPr>
              <w:t>1</w:t>
            </w:r>
          </w:p>
        </w:tc>
        <w:tc>
          <w:tcPr>
            <w:tcW w:w="705" w:type="pct"/>
            <w:tcBorders>
              <w:top w:val="single" w:color="auto" w:sz="4" w:space="0"/>
              <w:left w:val="nil"/>
              <w:bottom w:val="single" w:color="auto" w:sz="4" w:space="0"/>
              <w:right w:val="single" w:color="auto" w:sz="4" w:space="0"/>
            </w:tcBorders>
            <w:vAlign w:val="center"/>
          </w:tcPr>
          <w:p>
            <w:pPr>
              <w:widowControl/>
              <w:spacing w:line="300" w:lineRule="exact"/>
              <w:rPr>
                <w:rFonts w:ascii="宋体"/>
                <w:kern w:val="0"/>
                <w:sz w:val="18"/>
                <w:szCs w:val="18"/>
              </w:rPr>
            </w:pPr>
            <w:r>
              <w:rPr>
                <w:rFonts w:hint="eastAsia" w:ascii="宋体" w:hAnsi="宋体" w:cs="宋体"/>
                <w:kern w:val="0"/>
              </w:rPr>
              <w:t>部门（单位）本年度在编人数（含工勤人员）与核定编制数（含工勤人员）的比率。</w:t>
            </w:r>
          </w:p>
        </w:tc>
        <w:tc>
          <w:tcPr>
            <w:tcW w:w="2984" w:type="pct"/>
            <w:tcBorders>
              <w:top w:val="single" w:color="auto" w:sz="4" w:space="0"/>
              <w:left w:val="nil"/>
              <w:bottom w:val="single" w:color="auto" w:sz="4" w:space="0"/>
              <w:right w:val="single" w:color="auto" w:sz="4" w:space="0"/>
            </w:tcBorders>
            <w:vAlign w:val="center"/>
          </w:tcPr>
          <w:p>
            <w:pPr>
              <w:widowControl/>
              <w:spacing w:line="300" w:lineRule="exact"/>
              <w:ind w:firstLine="420" w:firstLineChars="200"/>
              <w:rPr>
                <w:rFonts w:ascii="宋体"/>
                <w:kern w:val="0"/>
                <w:sz w:val="18"/>
                <w:szCs w:val="18"/>
              </w:rPr>
            </w:pPr>
            <w:r>
              <w:rPr>
                <w:rFonts w:hint="eastAsia" w:ascii="宋体" w:hAnsi="宋体" w:cs="宋体"/>
                <w:kern w:val="0"/>
              </w:rPr>
              <w:t>财政供养人员控制率</w:t>
            </w:r>
            <w:r>
              <w:rPr>
                <w:rFonts w:ascii="宋体" w:hAnsi="宋体" w:cs="宋体"/>
                <w:kern w:val="0"/>
              </w:rPr>
              <w:t>=</w:t>
            </w:r>
            <w:r>
              <w:rPr>
                <w:rFonts w:hint="eastAsia" w:ascii="宋体" w:hAnsi="宋体" w:cs="宋体"/>
                <w:kern w:val="0"/>
              </w:rPr>
              <w:t>本年度在编人数（含工勤人员）</w:t>
            </w:r>
            <w:r>
              <w:rPr>
                <w:rFonts w:ascii="宋体" w:hAnsi="宋体" w:cs="宋体"/>
                <w:kern w:val="0"/>
              </w:rPr>
              <w:t>/</w:t>
            </w:r>
            <w:r>
              <w:rPr>
                <w:rFonts w:hint="eastAsia" w:ascii="宋体" w:hAnsi="宋体" w:cs="宋体"/>
                <w:kern w:val="0"/>
              </w:rPr>
              <w:t>核定编制数（含工勤人员）</w:t>
            </w:r>
          </w:p>
          <w:p>
            <w:pPr>
              <w:widowControl/>
              <w:spacing w:line="300" w:lineRule="exact"/>
              <w:rPr>
                <w:rFonts w:ascii="宋体"/>
                <w:kern w:val="0"/>
                <w:sz w:val="18"/>
                <w:szCs w:val="18"/>
              </w:rPr>
            </w:pPr>
            <w:r>
              <w:rPr>
                <w:rFonts w:ascii="宋体" w:hAnsi="宋体" w:cs="宋体"/>
                <w:kern w:val="0"/>
              </w:rPr>
              <w:t xml:space="preserve">   1.</w:t>
            </w:r>
            <w:r>
              <w:rPr>
                <w:rFonts w:hint="eastAsia" w:ascii="宋体" w:hAnsi="宋体" w:cs="宋体"/>
                <w:kern w:val="0"/>
              </w:rPr>
              <w:t>财政供养人员控制率≤</w:t>
            </w:r>
            <w:r>
              <w:rPr>
                <w:rFonts w:ascii="宋体" w:hAnsi="宋体" w:cs="宋体"/>
                <w:kern w:val="0"/>
              </w:rPr>
              <w:t>100%</w:t>
            </w:r>
            <w:r>
              <w:rPr>
                <w:rFonts w:hint="eastAsia" w:ascii="宋体" w:hAnsi="宋体" w:cs="宋体"/>
                <w:kern w:val="0"/>
              </w:rPr>
              <w:t>的，得</w:t>
            </w:r>
            <w:r>
              <w:rPr>
                <w:rFonts w:ascii="宋体" w:hAnsi="宋体" w:cs="宋体"/>
                <w:kern w:val="0"/>
              </w:rPr>
              <w:t>1</w:t>
            </w:r>
            <w:r>
              <w:rPr>
                <w:rFonts w:hint="eastAsia" w:ascii="宋体" w:hAnsi="宋体" w:cs="宋体"/>
                <w:kern w:val="0"/>
              </w:rPr>
              <w:t>分；</w:t>
            </w:r>
          </w:p>
          <w:p>
            <w:pPr>
              <w:widowControl/>
              <w:spacing w:line="300" w:lineRule="exact"/>
              <w:rPr>
                <w:rFonts w:ascii="宋体"/>
                <w:kern w:val="0"/>
                <w:sz w:val="18"/>
                <w:szCs w:val="18"/>
              </w:rPr>
            </w:pPr>
            <w:r>
              <w:rPr>
                <w:rFonts w:ascii="宋体" w:cs="宋体"/>
                <w:kern w:val="0"/>
              </w:rPr>
              <w:t xml:space="preserve">   2.</w:t>
            </w:r>
            <w:r>
              <w:rPr>
                <w:rFonts w:hint="eastAsia" w:ascii="宋体" w:hAnsi="宋体" w:cs="宋体"/>
                <w:kern w:val="0"/>
              </w:rPr>
              <w:t>财政供养人员控制率＞</w:t>
            </w:r>
            <w:r>
              <w:rPr>
                <w:rFonts w:ascii="宋体" w:hAnsi="宋体" w:cs="宋体"/>
                <w:kern w:val="0"/>
              </w:rPr>
              <w:t>100%</w:t>
            </w:r>
            <w:r>
              <w:rPr>
                <w:rFonts w:hint="eastAsia" w:ascii="宋体" w:hAnsi="宋体" w:cs="宋体"/>
                <w:kern w:val="0"/>
              </w:rPr>
              <w:t>的，得</w:t>
            </w:r>
            <w:r>
              <w:rPr>
                <w:rFonts w:ascii="宋体" w:cs="宋体"/>
                <w:kern w:val="0"/>
              </w:rPr>
              <w:t>0</w:t>
            </w:r>
            <w:r>
              <w:rPr>
                <w:rFonts w:hint="eastAsia" w:ascii="宋体" w:hAnsi="宋体" w:cs="宋体"/>
                <w:kern w:val="0"/>
              </w:rPr>
              <w:t>分。</w:t>
            </w:r>
          </w:p>
        </w:tc>
        <w:tc>
          <w:tcPr>
            <w:tcW w:w="330" w:type="pct"/>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cs="宋体"/>
                <w:kern w:val="0"/>
              </w:rPr>
            </w:pPr>
            <w:r>
              <w:rPr>
                <w:rFonts w:ascii="宋体" w:cs="宋体"/>
                <w:kern w:val="0"/>
              </w:rPr>
              <w:t>1</w:t>
            </w:r>
          </w:p>
        </w:tc>
      </w:tr>
      <w:tr>
        <w:tblPrEx>
          <w:tblCellMar>
            <w:top w:w="0" w:type="dxa"/>
            <w:left w:w="108" w:type="dxa"/>
            <w:bottom w:w="0" w:type="dxa"/>
            <w:right w:w="108" w:type="dxa"/>
          </w:tblCellMar>
        </w:tblPrEx>
        <w:trPr>
          <w:trHeight w:val="694" w:hRule="atLeast"/>
        </w:trPr>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kern w:val="0"/>
              </w:rPr>
            </w:pPr>
          </w:p>
        </w:tc>
        <w:tc>
          <w:tcPr>
            <w:tcW w:w="224" w:type="pct"/>
            <w:tcBorders>
              <w:top w:val="single" w:color="auto" w:sz="4" w:space="0"/>
              <w:left w:val="nil"/>
              <w:bottom w:val="single" w:color="auto" w:sz="4" w:space="0"/>
              <w:right w:val="single" w:color="auto" w:sz="4" w:space="0"/>
            </w:tcBorders>
            <w:vAlign w:val="center"/>
          </w:tcPr>
          <w:p>
            <w:pPr>
              <w:widowControl/>
              <w:spacing w:line="300" w:lineRule="exact"/>
              <w:jc w:val="left"/>
              <w:rPr>
                <w:rFonts w:ascii="宋体"/>
                <w:kern w:val="0"/>
              </w:rPr>
            </w:pPr>
            <w:r>
              <w:rPr>
                <w:rFonts w:hint="eastAsia" w:ascii="宋体" w:hAnsi="宋体" w:cs="宋体"/>
                <w:kern w:val="0"/>
              </w:rPr>
              <w:t>编外人员控制率</w:t>
            </w:r>
          </w:p>
        </w:tc>
        <w:tc>
          <w:tcPr>
            <w:tcW w:w="153" w:type="pct"/>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kern w:val="0"/>
              </w:rPr>
            </w:pPr>
            <w:r>
              <w:rPr>
                <w:rFonts w:ascii="宋体" w:hAnsi="宋体" w:cs="宋体"/>
                <w:kern w:val="0"/>
              </w:rPr>
              <w:t>1</w:t>
            </w:r>
          </w:p>
        </w:tc>
        <w:tc>
          <w:tcPr>
            <w:tcW w:w="705" w:type="pct"/>
            <w:tcBorders>
              <w:top w:val="single" w:color="auto" w:sz="4" w:space="0"/>
              <w:left w:val="nil"/>
              <w:bottom w:val="single" w:color="auto" w:sz="4" w:space="0"/>
              <w:right w:val="single" w:color="auto" w:sz="4" w:space="0"/>
            </w:tcBorders>
            <w:vAlign w:val="center"/>
          </w:tcPr>
          <w:p>
            <w:pPr>
              <w:widowControl/>
              <w:spacing w:line="300" w:lineRule="exact"/>
              <w:rPr>
                <w:rFonts w:ascii="宋体"/>
                <w:kern w:val="0"/>
              </w:rPr>
            </w:pPr>
            <w:r>
              <w:rPr>
                <w:rFonts w:hint="eastAsia" w:ascii="宋体" w:hAnsi="宋体" w:cs="宋体"/>
                <w:kern w:val="0"/>
              </w:rPr>
              <w:t>部门（单位）本年度使用劳务派遣人员数量（含直接聘用的编外人员）与在职人员总数（在编</w:t>
            </w:r>
            <w:r>
              <w:rPr>
                <w:rFonts w:ascii="宋体" w:hAnsi="宋体" w:cs="宋体"/>
                <w:kern w:val="0"/>
              </w:rPr>
              <w:t>+</w:t>
            </w:r>
            <w:r>
              <w:rPr>
                <w:rFonts w:hint="eastAsia" w:ascii="宋体" w:hAnsi="宋体" w:cs="宋体"/>
                <w:kern w:val="0"/>
              </w:rPr>
              <w:t>编外）的比率。</w:t>
            </w:r>
          </w:p>
        </w:tc>
        <w:tc>
          <w:tcPr>
            <w:tcW w:w="2984" w:type="pct"/>
            <w:tcBorders>
              <w:top w:val="single" w:color="auto" w:sz="4" w:space="0"/>
              <w:left w:val="nil"/>
              <w:bottom w:val="single" w:color="auto" w:sz="4" w:space="0"/>
              <w:right w:val="single" w:color="auto" w:sz="4" w:space="0"/>
            </w:tcBorders>
            <w:vAlign w:val="center"/>
          </w:tcPr>
          <w:p>
            <w:pPr>
              <w:widowControl/>
              <w:spacing w:line="300" w:lineRule="exact"/>
              <w:ind w:firstLine="420" w:firstLineChars="200"/>
              <w:rPr>
                <w:rFonts w:ascii="宋体"/>
                <w:kern w:val="0"/>
              </w:rPr>
            </w:pPr>
            <w:r>
              <w:rPr>
                <w:rFonts w:ascii="宋体" w:hAnsi="宋体" w:cs="宋体"/>
                <w:kern w:val="0"/>
              </w:rPr>
              <w:t>1.</w:t>
            </w:r>
            <w:r>
              <w:rPr>
                <w:rFonts w:hint="eastAsia" w:ascii="宋体" w:hAnsi="宋体" w:cs="宋体"/>
                <w:kern w:val="0"/>
              </w:rPr>
              <w:t>比率＜</w:t>
            </w:r>
            <w:r>
              <w:rPr>
                <w:rFonts w:ascii="宋体" w:hAnsi="宋体" w:cs="宋体"/>
                <w:kern w:val="0"/>
              </w:rPr>
              <w:t>5%</w:t>
            </w:r>
            <w:r>
              <w:rPr>
                <w:rFonts w:hint="eastAsia" w:ascii="宋体" w:hAnsi="宋体" w:cs="宋体"/>
                <w:kern w:val="0"/>
              </w:rPr>
              <w:t>的，得</w:t>
            </w:r>
            <w:r>
              <w:rPr>
                <w:rFonts w:ascii="宋体" w:hAnsi="宋体" w:cs="宋体"/>
                <w:kern w:val="0"/>
              </w:rPr>
              <w:t>1</w:t>
            </w:r>
            <w:r>
              <w:rPr>
                <w:rFonts w:hint="eastAsia" w:ascii="宋体" w:hAnsi="宋体" w:cs="宋体"/>
                <w:kern w:val="0"/>
              </w:rPr>
              <w:t>分；</w:t>
            </w:r>
          </w:p>
          <w:p>
            <w:pPr>
              <w:widowControl/>
              <w:spacing w:line="300" w:lineRule="exact"/>
              <w:ind w:firstLine="420" w:firstLineChars="200"/>
              <w:rPr>
                <w:rFonts w:ascii="宋体"/>
                <w:kern w:val="0"/>
              </w:rPr>
            </w:pPr>
            <w:r>
              <w:rPr>
                <w:rFonts w:ascii="宋体" w:hAnsi="宋体" w:cs="宋体"/>
                <w:kern w:val="0"/>
              </w:rPr>
              <w:t>2.5%</w:t>
            </w:r>
            <w:r>
              <w:rPr>
                <w:rFonts w:hint="eastAsia" w:ascii="宋体" w:hAnsi="宋体" w:cs="宋体"/>
                <w:kern w:val="0"/>
              </w:rPr>
              <w:t>≤比率≤</w:t>
            </w:r>
            <w:r>
              <w:rPr>
                <w:rFonts w:ascii="宋体" w:hAnsi="宋体" w:cs="宋体"/>
                <w:kern w:val="0"/>
              </w:rPr>
              <w:t>10%</w:t>
            </w:r>
            <w:r>
              <w:rPr>
                <w:rFonts w:hint="eastAsia" w:ascii="宋体" w:hAnsi="宋体" w:cs="宋体"/>
                <w:kern w:val="0"/>
              </w:rPr>
              <w:t>的，得</w:t>
            </w:r>
            <w:r>
              <w:rPr>
                <w:rFonts w:ascii="宋体" w:hAnsi="宋体" w:cs="宋体"/>
                <w:kern w:val="0"/>
              </w:rPr>
              <w:t>0.5</w:t>
            </w:r>
            <w:r>
              <w:rPr>
                <w:rFonts w:hint="eastAsia" w:ascii="宋体" w:hAnsi="宋体" w:cs="宋体"/>
                <w:kern w:val="0"/>
              </w:rPr>
              <w:t>分；</w:t>
            </w:r>
            <w:r>
              <w:rPr>
                <w:rFonts w:ascii="宋体"/>
                <w:kern w:val="0"/>
              </w:rPr>
              <w:br w:type="textWrapping"/>
            </w:r>
            <w:r>
              <w:rPr>
                <w:rFonts w:ascii="宋体" w:hAnsi="宋体" w:cs="宋体"/>
                <w:kern w:val="0"/>
              </w:rPr>
              <w:t xml:space="preserve">    3</w:t>
            </w:r>
            <w:r>
              <w:rPr>
                <w:rFonts w:ascii="宋体" w:cs="宋体"/>
                <w:kern w:val="0"/>
              </w:rPr>
              <w:t>.</w:t>
            </w:r>
            <w:r>
              <w:rPr>
                <w:rFonts w:hint="eastAsia" w:ascii="宋体" w:hAnsi="宋体" w:cs="宋体"/>
                <w:kern w:val="0"/>
              </w:rPr>
              <w:t>比率＞</w:t>
            </w:r>
            <w:r>
              <w:rPr>
                <w:rFonts w:ascii="宋体" w:hAnsi="宋体" w:cs="宋体"/>
                <w:kern w:val="0"/>
              </w:rPr>
              <w:t>10%</w:t>
            </w:r>
            <w:r>
              <w:rPr>
                <w:rFonts w:hint="eastAsia" w:ascii="宋体" w:hAnsi="宋体" w:cs="宋体"/>
                <w:kern w:val="0"/>
              </w:rPr>
              <w:t>的，得</w:t>
            </w:r>
            <w:r>
              <w:rPr>
                <w:rFonts w:ascii="宋体" w:cs="宋体"/>
                <w:kern w:val="0"/>
              </w:rPr>
              <w:t>0</w:t>
            </w:r>
            <w:r>
              <w:rPr>
                <w:rFonts w:hint="eastAsia" w:ascii="宋体" w:hAnsi="宋体" w:cs="宋体"/>
                <w:kern w:val="0"/>
              </w:rPr>
              <w:t>分。</w:t>
            </w:r>
          </w:p>
        </w:tc>
        <w:tc>
          <w:tcPr>
            <w:tcW w:w="330" w:type="pct"/>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kern w:val="0"/>
              </w:rPr>
            </w:pPr>
            <w:r>
              <w:rPr>
                <w:rFonts w:hint="eastAsia" w:ascii="宋体" w:hAnsi="宋体" w:cs="宋体"/>
                <w:kern w:val="0"/>
              </w:rPr>
              <w:t>1</w:t>
            </w:r>
          </w:p>
        </w:tc>
      </w:tr>
      <w:tr>
        <w:tblPrEx>
          <w:tblCellMar>
            <w:top w:w="0" w:type="dxa"/>
            <w:left w:w="108" w:type="dxa"/>
            <w:bottom w:w="0" w:type="dxa"/>
            <w:right w:w="108" w:type="dxa"/>
          </w:tblCellMar>
        </w:tblPrEx>
        <w:trPr>
          <w:trHeight w:val="1521" w:hRule="atLeast"/>
        </w:trPr>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tcBorders>
              <w:top w:val="nil"/>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制度管理</w:t>
            </w:r>
          </w:p>
        </w:tc>
        <w:tc>
          <w:tcPr>
            <w:tcW w:w="150" w:type="pct"/>
            <w:tcBorders>
              <w:top w:val="nil"/>
              <w:left w:val="nil"/>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3</w:t>
            </w:r>
          </w:p>
        </w:tc>
        <w:tc>
          <w:tcPr>
            <w:tcW w:w="224" w:type="pct"/>
            <w:tcBorders>
              <w:top w:val="nil"/>
              <w:left w:val="nil"/>
              <w:bottom w:val="single" w:color="auto" w:sz="4" w:space="0"/>
              <w:right w:val="single" w:color="auto" w:sz="4" w:space="0"/>
            </w:tcBorders>
            <w:vAlign w:val="center"/>
          </w:tcPr>
          <w:p>
            <w:pPr>
              <w:widowControl/>
              <w:spacing w:line="300" w:lineRule="exact"/>
              <w:jc w:val="left"/>
              <w:rPr>
                <w:rFonts w:ascii="宋体"/>
                <w:kern w:val="0"/>
              </w:rPr>
            </w:pPr>
            <w:r>
              <w:rPr>
                <w:rFonts w:hint="eastAsia" w:ascii="宋体" w:hAnsi="宋体" w:cs="宋体"/>
                <w:kern w:val="0"/>
              </w:rPr>
              <w:t>管理制度健全性</w:t>
            </w:r>
          </w:p>
        </w:tc>
        <w:tc>
          <w:tcPr>
            <w:tcW w:w="153" w:type="pct"/>
            <w:tcBorders>
              <w:top w:val="nil"/>
              <w:left w:val="nil"/>
              <w:bottom w:val="single" w:color="auto" w:sz="4" w:space="0"/>
              <w:right w:val="single" w:color="auto" w:sz="4" w:space="0"/>
            </w:tcBorders>
            <w:vAlign w:val="center"/>
          </w:tcPr>
          <w:p>
            <w:pPr>
              <w:widowControl/>
              <w:spacing w:line="300" w:lineRule="exact"/>
              <w:jc w:val="center"/>
              <w:rPr>
                <w:rFonts w:ascii="宋体"/>
                <w:kern w:val="0"/>
              </w:rPr>
            </w:pPr>
            <w:r>
              <w:rPr>
                <w:rFonts w:ascii="宋体" w:hAnsi="宋体" w:cs="宋体"/>
                <w:kern w:val="0"/>
              </w:rPr>
              <w:t>3</w:t>
            </w:r>
          </w:p>
        </w:tc>
        <w:tc>
          <w:tcPr>
            <w:tcW w:w="705" w:type="pct"/>
            <w:tcBorders>
              <w:top w:val="nil"/>
              <w:left w:val="nil"/>
              <w:bottom w:val="single" w:color="auto" w:sz="4" w:space="0"/>
              <w:right w:val="single" w:color="auto" w:sz="4" w:space="0"/>
            </w:tcBorders>
            <w:vAlign w:val="center"/>
          </w:tcPr>
          <w:p>
            <w:pPr>
              <w:widowControl/>
              <w:spacing w:line="300" w:lineRule="exact"/>
              <w:rPr>
                <w:rFonts w:ascii="宋体"/>
                <w:kern w:val="0"/>
              </w:rPr>
            </w:pPr>
            <w:r>
              <w:rPr>
                <w:rFonts w:hint="eastAsia" w:ascii="宋体" w:hAnsi="宋体" w:cs="宋体"/>
                <w:kern w:val="0"/>
              </w:rPr>
              <w:t>部门（单位）制定了相应的预算资金、财务管理和预算绩效管理等制度并严格执行，用以反映部门（单位）的管理制度对其完成主要职责和促进事业发展的保障情况。</w:t>
            </w:r>
          </w:p>
        </w:tc>
        <w:tc>
          <w:tcPr>
            <w:tcW w:w="2984" w:type="pct"/>
            <w:tcBorders>
              <w:top w:val="nil"/>
              <w:left w:val="nil"/>
              <w:bottom w:val="single" w:color="auto" w:sz="4" w:space="0"/>
              <w:right w:val="single" w:color="auto" w:sz="4" w:space="0"/>
            </w:tcBorders>
          </w:tcPr>
          <w:p>
            <w:pPr>
              <w:widowControl/>
              <w:spacing w:line="300" w:lineRule="exact"/>
              <w:jc w:val="left"/>
              <w:rPr>
                <w:rFonts w:ascii="宋体"/>
                <w:kern w:val="0"/>
              </w:rPr>
            </w:pPr>
            <w:r>
              <w:rPr>
                <w:rFonts w:ascii="宋体" w:hAnsi="宋体" w:cs="宋体"/>
                <w:kern w:val="0"/>
              </w:rPr>
              <w:t xml:space="preserve"> </w:t>
            </w:r>
            <w:r>
              <w:rPr>
                <w:rFonts w:ascii="宋体" w:hAnsi="宋体" w:cs="宋体"/>
                <w:color w:val="000000" w:themeColor="text1"/>
                <w:kern w:val="0"/>
                <w14:textFill>
                  <w14:solidFill>
                    <w14:schemeClr w14:val="tx1"/>
                  </w14:solidFill>
                </w14:textFill>
              </w:rPr>
              <w:t xml:space="preserve">   1.</w:t>
            </w:r>
            <w:r>
              <w:rPr>
                <w:rFonts w:hint="eastAsia" w:ascii="宋体" w:hAnsi="宋体" w:cs="宋体"/>
                <w:color w:val="000000" w:themeColor="text1"/>
                <w:kern w:val="0"/>
                <w14:textFill>
                  <w14:solidFill>
                    <w14:schemeClr w14:val="tx1"/>
                  </w14:solidFill>
                </w14:textFill>
              </w:rPr>
              <w:t>部门制定了财政资金管理、财务管理、内部控制等制度（</w:t>
            </w:r>
            <w:r>
              <w:rPr>
                <w:rFonts w:ascii="宋体" w:hAnsi="宋体" w:cs="宋体"/>
                <w:color w:val="000000" w:themeColor="text1"/>
                <w:kern w:val="0"/>
                <w14:textFill>
                  <w14:solidFill>
                    <w14:schemeClr w14:val="tx1"/>
                  </w14:solidFill>
                </w14:textFill>
              </w:rPr>
              <w:t>0.5</w:t>
            </w:r>
            <w:r>
              <w:rPr>
                <w:rFonts w:hint="eastAsia" w:ascii="宋体" w:hAnsi="宋体" w:cs="宋体"/>
                <w:color w:val="000000" w:themeColor="text1"/>
                <w:kern w:val="0"/>
                <w14:textFill>
                  <w14:solidFill>
                    <w14:schemeClr w14:val="tx1"/>
                  </w14:solidFill>
                </w14:textFill>
              </w:rPr>
              <w:t>分）；</w:t>
            </w:r>
            <w:r>
              <w:rPr>
                <w:rFonts w:ascii="宋体"/>
                <w:color w:val="000000" w:themeColor="text1"/>
                <w:kern w:val="0"/>
                <w14:textFill>
                  <w14:solidFill>
                    <w14:schemeClr w14:val="tx1"/>
                  </w14:solidFill>
                </w14:textFill>
              </w:rPr>
              <w:br w:type="textWrapping"/>
            </w:r>
            <w:r>
              <w:rPr>
                <w:rFonts w:ascii="宋体" w:hAnsi="宋体" w:cs="宋体"/>
                <w:color w:val="000000" w:themeColor="text1"/>
                <w:kern w:val="0"/>
                <w14:textFill>
                  <w14:solidFill>
                    <w14:schemeClr w14:val="tx1"/>
                  </w14:solidFill>
                </w14:textFill>
              </w:rPr>
              <w:t xml:space="preserve">    2.</w:t>
            </w:r>
            <w:r>
              <w:rPr>
                <w:rFonts w:hint="eastAsia" w:ascii="宋体" w:hAnsi="宋体" w:cs="宋体"/>
                <w:color w:val="000000" w:themeColor="text1"/>
                <w:kern w:val="0"/>
                <w14:textFill>
                  <w14:solidFill>
                    <w14:schemeClr w14:val="tx1"/>
                  </w14:solidFill>
                </w14:textFill>
              </w:rPr>
              <w:t>上述财政资金管理、财务管理、内部控制等制度得到有效执行（</w:t>
            </w:r>
            <w:r>
              <w:rPr>
                <w:rFonts w:ascii="宋体" w:hAnsi="宋体" w:cs="宋体"/>
                <w:color w:val="000000" w:themeColor="text1"/>
                <w:kern w:val="0"/>
                <w14:textFill>
                  <w14:solidFill>
                    <w14:schemeClr w14:val="tx1"/>
                  </w14:solidFill>
                </w14:textFill>
              </w:rPr>
              <w:t>1.5</w:t>
            </w:r>
            <w:r>
              <w:rPr>
                <w:rFonts w:hint="eastAsia" w:ascii="宋体" w:hAnsi="宋体" w:cs="宋体"/>
                <w:color w:val="000000" w:themeColor="text1"/>
                <w:kern w:val="0"/>
                <w14:textFill>
                  <w14:solidFill>
                    <w14:schemeClr w14:val="tx1"/>
                  </w14:solidFill>
                </w14:textFill>
              </w:rPr>
              <w:t>分）；</w:t>
            </w:r>
            <w:r>
              <w:rPr>
                <w:rFonts w:ascii="宋体"/>
                <w:color w:val="000000" w:themeColor="text1"/>
                <w:kern w:val="0"/>
                <w14:textFill>
                  <w14:solidFill>
                    <w14:schemeClr w14:val="tx1"/>
                  </w14:solidFill>
                </w14:textFill>
              </w:rPr>
              <w:br w:type="textWrapping"/>
            </w:r>
            <w:r>
              <w:rPr>
                <w:rFonts w:ascii="宋体" w:hAnsi="宋体" w:cs="宋体"/>
                <w:color w:val="000000" w:themeColor="text1"/>
                <w:kern w:val="0"/>
                <w14:textFill>
                  <w14:solidFill>
                    <w14:schemeClr w14:val="tx1"/>
                  </w14:solidFill>
                </w14:textFill>
              </w:rPr>
              <w:t xml:space="preserve">    3.</w:t>
            </w:r>
            <w:r>
              <w:rPr>
                <w:rFonts w:hint="eastAsia" w:ascii="宋体" w:hAnsi="宋体" w:cs="宋体"/>
                <w:color w:val="000000" w:themeColor="text1"/>
                <w:kern w:val="0"/>
                <w14:textFill>
                  <w14:solidFill>
                    <w14:schemeClr w14:val="tx1"/>
                  </w14:solidFill>
                </w14:textFill>
              </w:rPr>
              <w:t>部门按照预算和绩效管理一体化的要求制定本部门全面实施预算绩效管理的制度或工作方案，组织指导本级及下属单位开展事前评估、绩效目标编报、绩效监控、绩效评价和评价结果应用等工作（</w:t>
            </w:r>
            <w:r>
              <w:rPr>
                <w:rFonts w:ascii="宋体" w:hAnsi="宋体" w:cs="宋体"/>
                <w:color w:val="000000" w:themeColor="text1"/>
                <w:kern w:val="0"/>
                <w14:textFill>
                  <w14:solidFill>
                    <w14:schemeClr w14:val="tx1"/>
                  </w14:solidFill>
                </w14:textFill>
              </w:rPr>
              <w:t>1</w:t>
            </w:r>
            <w:r>
              <w:rPr>
                <w:rFonts w:hint="eastAsia" w:ascii="宋体" w:hAnsi="宋体" w:cs="宋体"/>
                <w:color w:val="000000" w:themeColor="text1"/>
                <w:kern w:val="0"/>
                <w14:textFill>
                  <w14:solidFill>
                    <w14:schemeClr w14:val="tx1"/>
                  </w14:solidFill>
                </w14:textFill>
              </w:rPr>
              <w:t>分）。</w:t>
            </w:r>
          </w:p>
        </w:tc>
        <w:tc>
          <w:tcPr>
            <w:tcW w:w="330" w:type="pct"/>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kern w:val="0"/>
              </w:rPr>
            </w:pPr>
            <w:r>
              <w:rPr>
                <w:rFonts w:hint="eastAsia" w:ascii="宋体" w:hAnsi="宋体" w:cs="宋体"/>
                <w:kern w:val="0"/>
              </w:rPr>
              <w:t>0</w:t>
            </w:r>
          </w:p>
          <w:p>
            <w:pPr>
              <w:widowControl/>
              <w:spacing w:line="300" w:lineRule="exact"/>
              <w:jc w:val="center"/>
              <w:rPr>
                <w:rFonts w:ascii="宋体" w:hAnsi="宋体" w:cs="宋体"/>
                <w:kern w:val="0"/>
              </w:rPr>
            </w:pPr>
          </w:p>
        </w:tc>
      </w:tr>
      <w:tr>
        <w:tblPrEx>
          <w:tblCellMar>
            <w:top w:w="0" w:type="dxa"/>
            <w:left w:w="108" w:type="dxa"/>
            <w:bottom w:w="0" w:type="dxa"/>
            <w:right w:w="108" w:type="dxa"/>
          </w:tblCellMar>
        </w:tblPrEx>
        <w:trPr>
          <w:trHeight w:val="360" w:hRule="atLeast"/>
        </w:trPr>
        <w:tc>
          <w:tcPr>
            <w:tcW w:w="150" w:type="pct"/>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部门绩效</w:t>
            </w:r>
          </w:p>
        </w:tc>
        <w:tc>
          <w:tcPr>
            <w:tcW w:w="150" w:type="pct"/>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r>
              <w:rPr>
                <w:rFonts w:ascii="宋体" w:hAnsi="宋体" w:cs="宋体"/>
                <w:kern w:val="0"/>
              </w:rPr>
              <w:t>55</w:t>
            </w:r>
          </w:p>
        </w:tc>
        <w:tc>
          <w:tcPr>
            <w:tcW w:w="150" w:type="pct"/>
            <w:tcBorders>
              <w:top w:val="nil"/>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经济性</w:t>
            </w:r>
          </w:p>
        </w:tc>
        <w:tc>
          <w:tcPr>
            <w:tcW w:w="150" w:type="pct"/>
            <w:tcBorders>
              <w:top w:val="nil"/>
              <w:left w:val="nil"/>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6</w:t>
            </w:r>
          </w:p>
        </w:tc>
        <w:tc>
          <w:tcPr>
            <w:tcW w:w="224" w:type="pct"/>
            <w:tcBorders>
              <w:top w:val="nil"/>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公用经费控制率</w:t>
            </w:r>
          </w:p>
        </w:tc>
        <w:tc>
          <w:tcPr>
            <w:tcW w:w="153" w:type="pct"/>
            <w:tcBorders>
              <w:top w:val="nil"/>
              <w:left w:val="nil"/>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6</w:t>
            </w:r>
          </w:p>
        </w:tc>
        <w:tc>
          <w:tcPr>
            <w:tcW w:w="705" w:type="pct"/>
            <w:tcBorders>
              <w:top w:val="nil"/>
              <w:left w:val="nil"/>
              <w:bottom w:val="single" w:color="auto" w:sz="4" w:space="0"/>
              <w:right w:val="single" w:color="auto" w:sz="4" w:space="0"/>
            </w:tcBorders>
            <w:vAlign w:val="center"/>
          </w:tcPr>
          <w:p>
            <w:pPr>
              <w:widowControl/>
              <w:spacing w:line="320" w:lineRule="exact"/>
              <w:rPr>
                <w:rFonts w:ascii="宋体"/>
                <w:kern w:val="0"/>
              </w:rPr>
            </w:pPr>
            <w:r>
              <w:rPr>
                <w:rFonts w:hint="eastAsia" w:ascii="宋体" w:hAnsi="宋体" w:cs="宋体"/>
                <w:kern w:val="0"/>
              </w:rPr>
              <w:t>部门（单位）本年度实际支出的公用经费总额与预算安排的公用经费总额的比率，用以反映和考核部门（单位）对机构运转成本的实际控制程度。</w:t>
            </w:r>
          </w:p>
        </w:tc>
        <w:tc>
          <w:tcPr>
            <w:tcW w:w="2984" w:type="pct"/>
            <w:tcBorders>
              <w:top w:val="nil"/>
              <w:left w:val="nil"/>
              <w:bottom w:val="single" w:color="auto" w:sz="4" w:space="0"/>
              <w:right w:val="single" w:color="auto" w:sz="4" w:space="0"/>
            </w:tcBorders>
            <w:vAlign w:val="center"/>
          </w:tcPr>
          <w:p>
            <w:pPr>
              <w:widowControl/>
              <w:spacing w:line="320" w:lineRule="exact"/>
              <w:ind w:firstLine="420"/>
              <w:rPr>
                <w:rFonts w:ascii="宋体"/>
                <w:kern w:val="0"/>
              </w:rPr>
            </w:pPr>
            <w:r>
              <w:rPr>
                <w:rFonts w:ascii="宋体" w:hAnsi="宋体" w:cs="宋体"/>
                <w:kern w:val="0"/>
              </w:rPr>
              <w:t>1.</w:t>
            </w:r>
            <w:r>
              <w:rPr>
                <w:rFonts w:hint="eastAsia" w:ascii="宋体" w:hAnsi="宋体" w:cs="宋体"/>
                <w:kern w:val="0"/>
              </w:rPr>
              <w:t>“三公”经费控制率</w:t>
            </w:r>
            <w:r>
              <w:rPr>
                <w:rFonts w:ascii="宋体" w:hAnsi="宋体" w:cs="宋体"/>
                <w:kern w:val="0"/>
              </w:rPr>
              <w:t>=</w:t>
            </w:r>
            <w:r>
              <w:rPr>
                <w:rFonts w:hint="eastAsia" w:ascii="宋体" w:hAnsi="宋体" w:cs="宋体"/>
                <w:kern w:val="0"/>
              </w:rPr>
              <w:t>“三公”经费实际支出数</w:t>
            </w:r>
            <w:r>
              <w:rPr>
                <w:rFonts w:ascii="宋体" w:hAnsi="宋体" w:cs="宋体"/>
                <w:kern w:val="0"/>
              </w:rPr>
              <w:t>/</w:t>
            </w:r>
            <w:r>
              <w:rPr>
                <w:rFonts w:hint="eastAsia" w:ascii="宋体" w:hAnsi="宋体" w:cs="宋体"/>
                <w:kern w:val="0"/>
              </w:rPr>
              <w:t>“三公”经费预算安排数×</w:t>
            </w:r>
            <w:r>
              <w:rPr>
                <w:rFonts w:ascii="宋体" w:hAnsi="宋体" w:cs="宋体"/>
                <w:kern w:val="0"/>
              </w:rPr>
              <w:t>100%</w:t>
            </w:r>
          </w:p>
          <w:p>
            <w:pPr>
              <w:widowControl/>
              <w:spacing w:line="320" w:lineRule="exact"/>
              <w:ind w:firstLine="315" w:firstLineChars="150"/>
              <w:rPr>
                <w:rFonts w:ascii="宋体"/>
                <w:kern w:val="0"/>
              </w:rPr>
            </w:pPr>
            <w:r>
              <w:rPr>
                <w:rFonts w:hint="eastAsia" w:ascii="宋体" w:cs="宋体"/>
                <w:kern w:val="0"/>
              </w:rPr>
              <w:t>（</w:t>
            </w:r>
            <w:r>
              <w:rPr>
                <w:rFonts w:ascii="宋体" w:cs="宋体"/>
                <w:kern w:val="0"/>
              </w:rPr>
              <w:t>1</w:t>
            </w:r>
            <w:r>
              <w:rPr>
                <w:rFonts w:hint="eastAsia" w:ascii="宋体" w:cs="宋体"/>
                <w:kern w:val="0"/>
              </w:rPr>
              <w:t>）</w:t>
            </w:r>
            <w:r>
              <w:rPr>
                <w:rFonts w:hint="eastAsia" w:ascii="宋体" w:hAnsi="宋体" w:cs="宋体"/>
                <w:kern w:val="0"/>
              </w:rPr>
              <w:t>“三公”经费控制率＜</w:t>
            </w:r>
            <w:r>
              <w:rPr>
                <w:rFonts w:ascii="宋体" w:hAnsi="宋体" w:cs="宋体"/>
                <w:kern w:val="0"/>
              </w:rPr>
              <w:t>90%</w:t>
            </w:r>
            <w:r>
              <w:rPr>
                <w:rFonts w:hint="eastAsia" w:ascii="宋体" w:hAnsi="宋体" w:cs="宋体"/>
                <w:kern w:val="0"/>
              </w:rPr>
              <w:t>的，得</w:t>
            </w:r>
            <w:r>
              <w:rPr>
                <w:rFonts w:ascii="宋体" w:hAnsi="宋体" w:cs="宋体"/>
                <w:kern w:val="0"/>
              </w:rPr>
              <w:t>3</w:t>
            </w:r>
            <w:r>
              <w:rPr>
                <w:rFonts w:hint="eastAsia" w:ascii="宋体" w:hAnsi="宋体" w:cs="宋体"/>
                <w:kern w:val="0"/>
              </w:rPr>
              <w:t>分；</w:t>
            </w:r>
          </w:p>
          <w:p>
            <w:pPr>
              <w:widowControl/>
              <w:spacing w:line="320" w:lineRule="exact"/>
              <w:ind w:firstLine="315" w:firstLineChars="150"/>
              <w:rPr>
                <w:rFonts w:ascii="宋体"/>
                <w:kern w:val="0"/>
              </w:rPr>
            </w:pPr>
            <w:r>
              <w:rPr>
                <w:rFonts w:hint="eastAsia" w:ascii="宋体" w:hAnsi="宋体" w:cs="宋体"/>
                <w:kern w:val="0"/>
              </w:rPr>
              <w:t>（</w:t>
            </w:r>
            <w:r>
              <w:rPr>
                <w:rFonts w:ascii="宋体" w:hAnsi="宋体" w:cs="宋体"/>
                <w:kern w:val="0"/>
              </w:rPr>
              <w:t>2</w:t>
            </w:r>
            <w:r>
              <w:rPr>
                <w:rFonts w:hint="eastAsia" w:ascii="宋体" w:hAnsi="宋体" w:cs="宋体"/>
                <w:kern w:val="0"/>
              </w:rPr>
              <w:t>）</w:t>
            </w:r>
            <w:r>
              <w:rPr>
                <w:rFonts w:ascii="宋体" w:hAnsi="宋体" w:cs="宋体"/>
                <w:kern w:val="0"/>
              </w:rPr>
              <w:t>90%</w:t>
            </w:r>
            <w:r>
              <w:rPr>
                <w:rFonts w:hint="eastAsia" w:ascii="宋体" w:hAnsi="宋体" w:cs="宋体"/>
                <w:kern w:val="0"/>
              </w:rPr>
              <w:t>≤“三公”经费控制率≤</w:t>
            </w:r>
            <w:r>
              <w:rPr>
                <w:rFonts w:ascii="宋体" w:hAnsi="宋体" w:cs="宋体"/>
                <w:kern w:val="0"/>
              </w:rPr>
              <w:t>100%</w:t>
            </w:r>
            <w:r>
              <w:rPr>
                <w:rFonts w:hint="eastAsia" w:ascii="宋体" w:hAnsi="宋体" w:cs="宋体"/>
                <w:kern w:val="0"/>
              </w:rPr>
              <w:t>的，得</w:t>
            </w:r>
            <w:r>
              <w:rPr>
                <w:rFonts w:ascii="宋体" w:hAnsi="宋体" w:cs="宋体"/>
                <w:kern w:val="0"/>
              </w:rPr>
              <w:t>2</w:t>
            </w:r>
            <w:r>
              <w:rPr>
                <w:rFonts w:hint="eastAsia" w:ascii="宋体" w:hAnsi="宋体" w:cs="宋体"/>
                <w:kern w:val="0"/>
              </w:rPr>
              <w:t>分；</w:t>
            </w:r>
          </w:p>
          <w:p>
            <w:pPr>
              <w:widowControl/>
              <w:spacing w:line="320" w:lineRule="exact"/>
              <w:ind w:firstLine="315" w:firstLineChars="150"/>
              <w:rPr>
                <w:rFonts w:ascii="宋体" w:hAnsi="宋体" w:cs="宋体"/>
                <w:kern w:val="0"/>
              </w:rPr>
            </w:pPr>
            <w:r>
              <w:rPr>
                <w:rFonts w:hint="eastAsia" w:ascii="宋体" w:cs="宋体"/>
                <w:kern w:val="0"/>
              </w:rPr>
              <w:t>（</w:t>
            </w:r>
            <w:r>
              <w:rPr>
                <w:rFonts w:ascii="宋体" w:cs="宋体"/>
                <w:kern w:val="0"/>
              </w:rPr>
              <w:t>3</w:t>
            </w:r>
            <w:r>
              <w:rPr>
                <w:rFonts w:hint="eastAsia" w:ascii="宋体" w:cs="宋体"/>
                <w:kern w:val="0"/>
              </w:rPr>
              <w:t>）</w:t>
            </w:r>
            <w:r>
              <w:rPr>
                <w:rFonts w:hint="eastAsia" w:ascii="宋体" w:hAnsi="宋体" w:cs="宋体"/>
                <w:kern w:val="0"/>
              </w:rPr>
              <w:t>“三公”经费控制率＞</w:t>
            </w:r>
            <w:r>
              <w:rPr>
                <w:rFonts w:ascii="宋体" w:hAnsi="宋体" w:cs="宋体"/>
                <w:kern w:val="0"/>
              </w:rPr>
              <w:t>100%</w:t>
            </w:r>
            <w:r>
              <w:rPr>
                <w:rFonts w:hint="eastAsia" w:ascii="宋体" w:hAnsi="宋体" w:cs="宋体"/>
                <w:kern w:val="0"/>
              </w:rPr>
              <w:t>的，得</w:t>
            </w:r>
            <w:r>
              <w:rPr>
                <w:rFonts w:ascii="宋体" w:cs="宋体"/>
                <w:kern w:val="0"/>
              </w:rPr>
              <w:t>0</w:t>
            </w:r>
            <w:r>
              <w:rPr>
                <w:rFonts w:hint="eastAsia" w:ascii="宋体" w:hAnsi="宋体" w:cs="宋体"/>
                <w:kern w:val="0"/>
              </w:rPr>
              <w:t>分。</w:t>
            </w:r>
            <w:r>
              <w:rPr>
                <w:rFonts w:ascii="宋体"/>
                <w:kern w:val="0"/>
              </w:rPr>
              <w:br w:type="textWrapping"/>
            </w:r>
            <w:r>
              <w:rPr>
                <w:rFonts w:ascii="宋体" w:hAnsi="宋体" w:cs="宋体"/>
                <w:kern w:val="0"/>
              </w:rPr>
              <w:t xml:space="preserve">   </w:t>
            </w:r>
            <w:r>
              <w:rPr>
                <w:rFonts w:ascii="宋体" w:hAnsi="宋体" w:cs="宋体"/>
                <w:color w:val="FF0000"/>
                <w:kern w:val="0"/>
              </w:rPr>
              <w:t xml:space="preserve"> </w:t>
            </w:r>
            <w:r>
              <w:rPr>
                <w:rFonts w:ascii="宋体" w:hAnsi="宋体" w:cs="宋体"/>
                <w:kern w:val="0"/>
              </w:rPr>
              <w:t xml:space="preserve">2. </w:t>
            </w:r>
            <w:r>
              <w:rPr>
                <w:rFonts w:hint="eastAsia" w:ascii="宋体" w:hAnsi="宋体" w:cs="宋体"/>
                <w:kern w:val="0"/>
              </w:rPr>
              <w:t>日常公用经费控制率</w:t>
            </w:r>
            <w:r>
              <w:rPr>
                <w:rFonts w:ascii="宋体" w:hAnsi="宋体" w:cs="宋体"/>
                <w:kern w:val="0"/>
              </w:rPr>
              <w:t>=</w:t>
            </w:r>
            <w:r>
              <w:rPr>
                <w:rFonts w:hint="eastAsia" w:ascii="宋体" w:hAnsi="宋体" w:cs="宋体"/>
                <w:kern w:val="0"/>
              </w:rPr>
              <w:t>日常公用经费决算数</w:t>
            </w:r>
            <w:r>
              <w:rPr>
                <w:rFonts w:ascii="宋体" w:hAnsi="宋体" w:cs="宋体"/>
                <w:kern w:val="0"/>
              </w:rPr>
              <w:t>/</w:t>
            </w:r>
            <w:r>
              <w:rPr>
                <w:rFonts w:hint="eastAsia" w:ascii="宋体" w:hAnsi="宋体" w:cs="宋体"/>
                <w:kern w:val="0"/>
              </w:rPr>
              <w:t>日常公用经费调整预算数×</w:t>
            </w:r>
            <w:r>
              <w:rPr>
                <w:rFonts w:ascii="宋体" w:hAnsi="宋体" w:cs="宋体"/>
                <w:kern w:val="0"/>
              </w:rPr>
              <w:t>100%</w:t>
            </w:r>
          </w:p>
          <w:p>
            <w:pPr>
              <w:widowControl/>
              <w:spacing w:line="320" w:lineRule="exact"/>
              <w:ind w:firstLine="315" w:firstLineChars="150"/>
              <w:rPr>
                <w:rFonts w:ascii="宋体" w:hAnsi="宋体" w:cs="宋体"/>
                <w:kern w:val="0"/>
              </w:rPr>
            </w:pPr>
            <w:r>
              <w:rPr>
                <w:rFonts w:hint="eastAsia" w:ascii="宋体" w:hAnsi="宋体" w:cs="宋体"/>
                <w:kern w:val="0"/>
              </w:rPr>
              <w:t>（</w:t>
            </w:r>
            <w:r>
              <w:rPr>
                <w:rFonts w:ascii="宋体" w:hAnsi="宋体" w:cs="宋体"/>
                <w:kern w:val="0"/>
              </w:rPr>
              <w:t>1</w:t>
            </w:r>
            <w:r>
              <w:rPr>
                <w:rFonts w:hint="eastAsia" w:ascii="宋体" w:hAnsi="宋体" w:cs="宋体"/>
                <w:kern w:val="0"/>
              </w:rPr>
              <w:t>）日常公用经费控制率＜</w:t>
            </w:r>
            <w:r>
              <w:rPr>
                <w:rFonts w:ascii="宋体" w:hAnsi="宋体" w:cs="宋体"/>
                <w:kern w:val="0"/>
              </w:rPr>
              <w:t>90%</w:t>
            </w:r>
            <w:r>
              <w:rPr>
                <w:rFonts w:hint="eastAsia" w:ascii="宋体" w:hAnsi="宋体" w:cs="宋体"/>
                <w:kern w:val="0"/>
              </w:rPr>
              <w:t>的，得</w:t>
            </w:r>
            <w:r>
              <w:rPr>
                <w:rFonts w:ascii="宋体" w:hAnsi="宋体" w:cs="宋体"/>
                <w:kern w:val="0"/>
              </w:rPr>
              <w:t>3</w:t>
            </w:r>
            <w:r>
              <w:rPr>
                <w:rFonts w:hint="eastAsia" w:ascii="宋体" w:hAnsi="宋体" w:cs="宋体"/>
                <w:kern w:val="0"/>
              </w:rPr>
              <w:t>分；</w:t>
            </w:r>
          </w:p>
          <w:p>
            <w:pPr>
              <w:widowControl/>
              <w:spacing w:line="320" w:lineRule="exact"/>
              <w:ind w:firstLine="315" w:firstLineChars="150"/>
              <w:rPr>
                <w:rFonts w:ascii="宋体" w:hAnsi="宋体" w:cs="宋体"/>
                <w:kern w:val="0"/>
              </w:rPr>
            </w:pPr>
            <w:r>
              <w:rPr>
                <w:rFonts w:hint="eastAsia" w:ascii="宋体" w:hAnsi="宋体" w:cs="宋体"/>
                <w:kern w:val="0"/>
              </w:rPr>
              <w:t>（</w:t>
            </w:r>
            <w:r>
              <w:rPr>
                <w:rFonts w:ascii="宋体" w:hAnsi="宋体" w:cs="宋体"/>
                <w:kern w:val="0"/>
              </w:rPr>
              <w:t>2</w:t>
            </w:r>
            <w:r>
              <w:rPr>
                <w:rFonts w:hint="eastAsia" w:ascii="宋体" w:hAnsi="宋体" w:cs="宋体"/>
                <w:kern w:val="0"/>
              </w:rPr>
              <w:t>）</w:t>
            </w:r>
            <w:r>
              <w:rPr>
                <w:rFonts w:ascii="宋体" w:hAnsi="宋体" w:cs="宋体"/>
                <w:kern w:val="0"/>
              </w:rPr>
              <w:t>90%</w:t>
            </w:r>
            <w:r>
              <w:rPr>
                <w:rFonts w:hint="eastAsia" w:ascii="宋体" w:hAnsi="宋体" w:cs="宋体"/>
                <w:kern w:val="0"/>
              </w:rPr>
              <w:t>≤日常公用经费控制率≤</w:t>
            </w:r>
            <w:r>
              <w:rPr>
                <w:rFonts w:ascii="宋体" w:hAnsi="宋体" w:cs="宋体"/>
                <w:kern w:val="0"/>
              </w:rPr>
              <w:t>100%</w:t>
            </w:r>
            <w:r>
              <w:rPr>
                <w:rFonts w:hint="eastAsia" w:ascii="宋体" w:hAnsi="宋体" w:cs="宋体"/>
                <w:kern w:val="0"/>
              </w:rPr>
              <w:t>的，得</w:t>
            </w:r>
            <w:r>
              <w:rPr>
                <w:rFonts w:ascii="宋体" w:hAnsi="宋体" w:cs="宋体"/>
                <w:kern w:val="0"/>
              </w:rPr>
              <w:t>2</w:t>
            </w:r>
            <w:r>
              <w:rPr>
                <w:rFonts w:hint="eastAsia" w:ascii="宋体" w:hAnsi="宋体" w:cs="宋体"/>
                <w:kern w:val="0"/>
              </w:rPr>
              <w:t>分；</w:t>
            </w:r>
          </w:p>
          <w:p>
            <w:pPr>
              <w:widowControl/>
              <w:spacing w:line="320" w:lineRule="exact"/>
              <w:ind w:firstLine="315" w:firstLineChars="150"/>
              <w:rPr>
                <w:rFonts w:ascii="宋体"/>
                <w:kern w:val="0"/>
              </w:rPr>
            </w:pPr>
            <w:r>
              <w:rPr>
                <w:rFonts w:hint="eastAsia" w:ascii="宋体" w:hAnsi="宋体" w:cs="宋体"/>
                <w:kern w:val="0"/>
              </w:rPr>
              <w:t>（</w:t>
            </w:r>
            <w:r>
              <w:rPr>
                <w:rFonts w:ascii="宋体" w:hAnsi="宋体" w:cs="宋体"/>
                <w:kern w:val="0"/>
              </w:rPr>
              <w:t>3</w:t>
            </w:r>
            <w:r>
              <w:rPr>
                <w:rFonts w:hint="eastAsia" w:ascii="宋体" w:hAnsi="宋体" w:cs="宋体"/>
                <w:kern w:val="0"/>
              </w:rPr>
              <w:t>）日常公用经费控制率＞</w:t>
            </w:r>
            <w:r>
              <w:rPr>
                <w:rFonts w:ascii="宋体" w:hAnsi="宋体" w:cs="宋体"/>
                <w:kern w:val="0"/>
              </w:rPr>
              <w:t>100%</w:t>
            </w:r>
            <w:r>
              <w:rPr>
                <w:rFonts w:hint="eastAsia" w:ascii="宋体" w:hAnsi="宋体" w:cs="宋体"/>
                <w:kern w:val="0"/>
              </w:rPr>
              <w:t>的，得</w:t>
            </w:r>
            <w:r>
              <w:rPr>
                <w:rFonts w:ascii="宋体" w:hAnsi="宋体" w:cs="宋体"/>
                <w:kern w:val="0"/>
              </w:rPr>
              <w:t>0</w:t>
            </w:r>
            <w:r>
              <w:rPr>
                <w:rFonts w:hint="eastAsia" w:ascii="宋体" w:hAnsi="宋体" w:cs="宋体"/>
                <w:kern w:val="0"/>
              </w:rPr>
              <w:t>分。</w:t>
            </w:r>
          </w:p>
        </w:tc>
        <w:tc>
          <w:tcPr>
            <w:tcW w:w="330" w:type="pct"/>
            <w:tcBorders>
              <w:top w:val="nil"/>
              <w:left w:val="nil"/>
              <w:bottom w:val="single" w:color="auto" w:sz="4" w:space="0"/>
              <w:right w:val="single" w:color="auto" w:sz="4" w:space="0"/>
            </w:tcBorders>
            <w:vAlign w:val="center"/>
          </w:tcPr>
          <w:p>
            <w:pPr>
              <w:widowControl/>
              <w:spacing w:line="320" w:lineRule="exact"/>
              <w:ind w:firstLine="315" w:firstLineChars="150"/>
              <w:rPr>
                <w:rFonts w:ascii="宋体" w:cs="宋体"/>
                <w:kern w:val="0"/>
              </w:rPr>
            </w:pPr>
            <w:r>
              <w:rPr>
                <w:rFonts w:hint="eastAsia" w:ascii="宋体" w:cs="宋体"/>
                <w:kern w:val="0"/>
              </w:rPr>
              <w:t>6</w:t>
            </w:r>
          </w:p>
        </w:tc>
      </w:tr>
      <w:tr>
        <w:tblPrEx>
          <w:tblCellMar>
            <w:top w:w="0" w:type="dxa"/>
            <w:left w:w="108" w:type="dxa"/>
            <w:bottom w:w="0" w:type="dxa"/>
            <w:right w:w="108" w:type="dxa"/>
          </w:tblCellMar>
        </w:tblPrEx>
        <w:trPr>
          <w:trHeight w:val="2767" w:hRule="atLeast"/>
        </w:trPr>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kern w:val="0"/>
              </w:rPr>
            </w:pPr>
            <w:r>
              <w:rPr>
                <w:rFonts w:hint="eastAsia" w:ascii="宋体" w:hAnsi="宋体" w:cs="宋体"/>
                <w:kern w:val="0"/>
              </w:rPr>
              <w:t>效率性</w:t>
            </w:r>
          </w:p>
        </w:tc>
        <w:tc>
          <w:tcPr>
            <w:tcW w:w="150"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kern w:val="0"/>
              </w:rPr>
            </w:pPr>
            <w:r>
              <w:rPr>
                <w:rFonts w:ascii="宋体" w:hAnsi="宋体" w:cs="宋体"/>
                <w:kern w:val="0"/>
              </w:rPr>
              <w:t>20</w:t>
            </w:r>
          </w:p>
        </w:tc>
        <w:tc>
          <w:tcPr>
            <w:tcW w:w="224" w:type="pct"/>
            <w:tcBorders>
              <w:top w:val="nil"/>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项目预算执行率</w:t>
            </w:r>
          </w:p>
        </w:tc>
        <w:tc>
          <w:tcPr>
            <w:tcW w:w="153" w:type="pct"/>
            <w:tcBorders>
              <w:top w:val="nil"/>
              <w:left w:val="nil"/>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6</w:t>
            </w:r>
          </w:p>
        </w:tc>
        <w:tc>
          <w:tcPr>
            <w:tcW w:w="705" w:type="pct"/>
            <w:tcBorders>
              <w:top w:val="nil"/>
              <w:left w:val="nil"/>
              <w:bottom w:val="single" w:color="auto" w:sz="4" w:space="0"/>
              <w:right w:val="single" w:color="auto" w:sz="4" w:space="0"/>
            </w:tcBorders>
            <w:vAlign w:val="center"/>
          </w:tcPr>
          <w:p>
            <w:pPr>
              <w:widowControl/>
              <w:spacing w:line="320" w:lineRule="exact"/>
              <w:rPr>
                <w:rFonts w:ascii="宋体"/>
                <w:kern w:val="0"/>
              </w:rPr>
            </w:pPr>
            <w:r>
              <w:rPr>
                <w:rFonts w:hint="eastAsia" w:ascii="宋体" w:hAnsi="宋体" w:cs="宋体"/>
                <w:kern w:val="0"/>
              </w:rPr>
              <w:t>部门（单位）项目预算实际支付进度和既定支付进度的匹配情况，反映和考核部门（单位）预算执行的及时性和均衡性。</w:t>
            </w:r>
          </w:p>
        </w:tc>
        <w:tc>
          <w:tcPr>
            <w:tcW w:w="2984" w:type="pct"/>
            <w:tcBorders>
              <w:top w:val="nil"/>
              <w:left w:val="nil"/>
              <w:bottom w:val="single" w:color="auto" w:sz="4" w:space="0"/>
              <w:right w:val="single" w:color="auto" w:sz="4" w:space="0"/>
            </w:tcBorders>
            <w:vAlign w:val="center"/>
          </w:tcPr>
          <w:p>
            <w:pPr>
              <w:widowControl/>
              <w:spacing w:line="320" w:lineRule="exact"/>
              <w:ind w:firstLine="315" w:firstLineChars="150"/>
              <w:rPr>
                <w:rFonts w:ascii="宋体"/>
                <w:color w:val="000000" w:themeColor="text1"/>
                <w:kern w:val="0"/>
                <w14:textFill>
                  <w14:solidFill>
                    <w14:schemeClr w14:val="tx1"/>
                  </w14:solidFill>
                </w14:textFill>
              </w:rPr>
            </w:pPr>
            <w:r>
              <w:rPr>
                <w:rFonts w:ascii="宋体"/>
                <w:color w:val="000000" w:themeColor="text1"/>
                <w:kern w:val="0"/>
                <w14:textFill>
                  <w14:solidFill>
                    <w14:schemeClr w14:val="tx1"/>
                  </w14:solidFill>
                </w14:textFill>
              </w:rPr>
              <w:t>1.</w:t>
            </w:r>
            <w:r>
              <w:rPr>
                <w:rFonts w:hint="eastAsia" w:ascii="宋体"/>
                <w:color w:val="000000" w:themeColor="text1"/>
                <w:kern w:val="0"/>
                <w14:textFill>
                  <w14:solidFill>
                    <w14:schemeClr w14:val="tx1"/>
                  </w14:solidFill>
                </w14:textFill>
              </w:rPr>
              <w:t>一季度项目预算执行率得分</w:t>
            </w:r>
            <w:r>
              <w:rPr>
                <w:rFonts w:ascii="宋体"/>
                <w:color w:val="000000" w:themeColor="text1"/>
                <w:kern w:val="0"/>
                <w14:textFill>
                  <w14:solidFill>
                    <w14:schemeClr w14:val="tx1"/>
                  </w14:solidFill>
                </w14:textFill>
              </w:rPr>
              <w:t>=</w:t>
            </w:r>
            <w:r>
              <w:rPr>
                <w:rFonts w:hint="eastAsia" w:ascii="宋体"/>
                <w:color w:val="000000" w:themeColor="text1"/>
                <w:kern w:val="0"/>
                <w14:textFill>
                  <w14:solidFill>
                    <w14:schemeClr w14:val="tx1"/>
                  </w14:solidFill>
                </w14:textFill>
              </w:rPr>
              <w:t>（一季度项目预算支出进度</w:t>
            </w:r>
            <w:r>
              <w:rPr>
                <w:rFonts w:ascii="宋体"/>
                <w:color w:val="000000" w:themeColor="text1"/>
                <w:kern w:val="0"/>
                <w14:textFill>
                  <w14:solidFill>
                    <w14:schemeClr w14:val="tx1"/>
                  </w14:solidFill>
                </w14:textFill>
              </w:rPr>
              <w:t>/</w:t>
            </w:r>
            <w:r>
              <w:rPr>
                <w:rFonts w:hint="eastAsia" w:ascii="宋体"/>
                <w:color w:val="000000" w:themeColor="text1"/>
                <w:kern w:val="0"/>
                <w14:textFill>
                  <w14:solidFill>
                    <w14:schemeClr w14:val="tx1"/>
                  </w14:solidFill>
                </w14:textFill>
              </w:rPr>
              <w:t>序时进度</w:t>
            </w:r>
            <w:r>
              <w:rPr>
                <w:rFonts w:ascii="宋体"/>
                <w:color w:val="000000" w:themeColor="text1"/>
                <w:kern w:val="0"/>
                <w14:textFill>
                  <w14:solidFill>
                    <w14:schemeClr w14:val="tx1"/>
                  </w14:solidFill>
                </w14:textFill>
              </w:rPr>
              <w:t>25%</w:t>
            </w:r>
            <w:r>
              <w:rPr>
                <w:rFonts w:hint="eastAsia" w:ascii="宋体"/>
                <w:color w:val="000000" w:themeColor="text1"/>
                <w:kern w:val="0"/>
                <w14:textFill>
                  <w14:solidFill>
                    <w14:schemeClr w14:val="tx1"/>
                  </w14:solidFill>
                </w14:textFill>
              </w:rPr>
              <w:t>）×</w:t>
            </w:r>
            <w:r>
              <w:rPr>
                <w:rFonts w:ascii="宋体"/>
                <w:color w:val="000000" w:themeColor="text1"/>
                <w:kern w:val="0"/>
                <w14:textFill>
                  <w14:solidFill>
                    <w14:schemeClr w14:val="tx1"/>
                  </w14:solidFill>
                </w14:textFill>
              </w:rPr>
              <w:t>1</w:t>
            </w:r>
            <w:r>
              <w:rPr>
                <w:rFonts w:hint="eastAsia" w:ascii="宋体"/>
                <w:color w:val="000000" w:themeColor="text1"/>
                <w:kern w:val="0"/>
                <w14:textFill>
                  <w14:solidFill>
                    <w14:schemeClr w14:val="tx1"/>
                  </w14:solidFill>
                </w14:textFill>
              </w:rPr>
              <w:t>分</w:t>
            </w:r>
          </w:p>
          <w:p>
            <w:pPr>
              <w:widowControl/>
              <w:spacing w:line="320" w:lineRule="exact"/>
              <w:ind w:firstLine="315" w:firstLineChars="150"/>
              <w:rPr>
                <w:rFonts w:ascii="宋体"/>
                <w:color w:val="000000" w:themeColor="text1"/>
                <w:kern w:val="0"/>
                <w14:textFill>
                  <w14:solidFill>
                    <w14:schemeClr w14:val="tx1"/>
                  </w14:solidFill>
                </w14:textFill>
              </w:rPr>
            </w:pPr>
            <w:r>
              <w:rPr>
                <w:rFonts w:ascii="宋体"/>
                <w:color w:val="000000" w:themeColor="text1"/>
                <w:kern w:val="0"/>
                <w14:textFill>
                  <w14:solidFill>
                    <w14:schemeClr w14:val="tx1"/>
                  </w14:solidFill>
                </w14:textFill>
              </w:rPr>
              <w:t>2.</w:t>
            </w:r>
            <w:r>
              <w:rPr>
                <w:rFonts w:hint="eastAsia" w:ascii="宋体"/>
                <w:color w:val="000000" w:themeColor="text1"/>
                <w:kern w:val="0"/>
                <w14:textFill>
                  <w14:solidFill>
                    <w14:schemeClr w14:val="tx1"/>
                  </w14:solidFill>
                </w14:textFill>
              </w:rPr>
              <w:t>二季度项目预算执行率得分</w:t>
            </w:r>
            <w:r>
              <w:rPr>
                <w:rFonts w:ascii="宋体"/>
                <w:color w:val="000000" w:themeColor="text1"/>
                <w:kern w:val="0"/>
                <w14:textFill>
                  <w14:solidFill>
                    <w14:schemeClr w14:val="tx1"/>
                  </w14:solidFill>
                </w14:textFill>
              </w:rPr>
              <w:t>=</w:t>
            </w:r>
            <w:r>
              <w:rPr>
                <w:rFonts w:hint="eastAsia" w:ascii="宋体"/>
                <w:color w:val="000000" w:themeColor="text1"/>
                <w:kern w:val="0"/>
                <w14:textFill>
                  <w14:solidFill>
                    <w14:schemeClr w14:val="tx1"/>
                  </w14:solidFill>
                </w14:textFill>
              </w:rPr>
              <w:t>（二季度项目预算支出进度</w:t>
            </w:r>
            <w:r>
              <w:rPr>
                <w:rFonts w:ascii="宋体"/>
                <w:color w:val="000000" w:themeColor="text1"/>
                <w:kern w:val="0"/>
                <w14:textFill>
                  <w14:solidFill>
                    <w14:schemeClr w14:val="tx1"/>
                  </w14:solidFill>
                </w14:textFill>
              </w:rPr>
              <w:t>/</w:t>
            </w:r>
            <w:r>
              <w:rPr>
                <w:rFonts w:hint="eastAsia" w:ascii="宋体"/>
                <w:color w:val="000000" w:themeColor="text1"/>
                <w:kern w:val="0"/>
                <w14:textFill>
                  <w14:solidFill>
                    <w14:schemeClr w14:val="tx1"/>
                  </w14:solidFill>
                </w14:textFill>
              </w:rPr>
              <w:t>序时进度</w:t>
            </w:r>
            <w:r>
              <w:rPr>
                <w:rFonts w:ascii="宋体"/>
                <w:color w:val="000000" w:themeColor="text1"/>
                <w:kern w:val="0"/>
                <w14:textFill>
                  <w14:solidFill>
                    <w14:schemeClr w14:val="tx1"/>
                  </w14:solidFill>
                </w14:textFill>
              </w:rPr>
              <w:t>50%</w:t>
            </w:r>
            <w:r>
              <w:rPr>
                <w:rFonts w:hint="eastAsia" w:ascii="宋体"/>
                <w:color w:val="000000" w:themeColor="text1"/>
                <w:kern w:val="0"/>
                <w14:textFill>
                  <w14:solidFill>
                    <w14:schemeClr w14:val="tx1"/>
                  </w14:solidFill>
                </w14:textFill>
              </w:rPr>
              <w:t>）×</w:t>
            </w:r>
            <w:r>
              <w:rPr>
                <w:rFonts w:ascii="宋体"/>
                <w:color w:val="000000" w:themeColor="text1"/>
                <w:kern w:val="0"/>
                <w14:textFill>
                  <w14:solidFill>
                    <w14:schemeClr w14:val="tx1"/>
                  </w14:solidFill>
                </w14:textFill>
              </w:rPr>
              <w:t>1</w:t>
            </w:r>
            <w:r>
              <w:rPr>
                <w:rFonts w:hint="eastAsia" w:ascii="宋体"/>
                <w:color w:val="000000" w:themeColor="text1"/>
                <w:kern w:val="0"/>
                <w14:textFill>
                  <w14:solidFill>
                    <w14:schemeClr w14:val="tx1"/>
                  </w14:solidFill>
                </w14:textFill>
              </w:rPr>
              <w:t>分</w:t>
            </w:r>
          </w:p>
          <w:p>
            <w:pPr>
              <w:widowControl/>
              <w:spacing w:line="320" w:lineRule="exact"/>
              <w:ind w:firstLine="315" w:firstLineChars="150"/>
              <w:rPr>
                <w:rFonts w:ascii="宋体"/>
                <w:color w:val="000000" w:themeColor="text1"/>
                <w:kern w:val="0"/>
                <w14:textFill>
                  <w14:solidFill>
                    <w14:schemeClr w14:val="tx1"/>
                  </w14:solidFill>
                </w14:textFill>
              </w:rPr>
            </w:pPr>
            <w:r>
              <w:rPr>
                <w:rFonts w:ascii="宋体"/>
                <w:color w:val="000000" w:themeColor="text1"/>
                <w:kern w:val="0"/>
                <w14:textFill>
                  <w14:solidFill>
                    <w14:schemeClr w14:val="tx1"/>
                  </w14:solidFill>
                </w14:textFill>
              </w:rPr>
              <w:t>3.</w:t>
            </w:r>
            <w:r>
              <w:rPr>
                <w:rFonts w:hint="eastAsia" w:ascii="宋体"/>
                <w:color w:val="000000" w:themeColor="text1"/>
                <w:kern w:val="0"/>
                <w14:textFill>
                  <w14:solidFill>
                    <w14:schemeClr w14:val="tx1"/>
                  </w14:solidFill>
                </w14:textFill>
              </w:rPr>
              <w:t>三季度项目预算执行率得分</w:t>
            </w:r>
            <w:r>
              <w:rPr>
                <w:rFonts w:ascii="宋体"/>
                <w:color w:val="000000" w:themeColor="text1"/>
                <w:kern w:val="0"/>
                <w14:textFill>
                  <w14:solidFill>
                    <w14:schemeClr w14:val="tx1"/>
                  </w14:solidFill>
                </w14:textFill>
              </w:rPr>
              <w:t>=</w:t>
            </w:r>
            <w:r>
              <w:rPr>
                <w:rFonts w:hint="eastAsia" w:ascii="宋体"/>
                <w:color w:val="000000" w:themeColor="text1"/>
                <w:kern w:val="0"/>
                <w14:textFill>
                  <w14:solidFill>
                    <w14:schemeClr w14:val="tx1"/>
                  </w14:solidFill>
                </w14:textFill>
              </w:rPr>
              <w:t>（三季度项目预算支出进度</w:t>
            </w:r>
            <w:r>
              <w:rPr>
                <w:rFonts w:ascii="宋体"/>
                <w:color w:val="000000" w:themeColor="text1"/>
                <w:kern w:val="0"/>
                <w14:textFill>
                  <w14:solidFill>
                    <w14:schemeClr w14:val="tx1"/>
                  </w14:solidFill>
                </w14:textFill>
              </w:rPr>
              <w:t>/</w:t>
            </w:r>
            <w:r>
              <w:rPr>
                <w:rFonts w:hint="eastAsia" w:ascii="宋体"/>
                <w:color w:val="000000" w:themeColor="text1"/>
                <w:kern w:val="0"/>
                <w14:textFill>
                  <w14:solidFill>
                    <w14:schemeClr w14:val="tx1"/>
                  </w14:solidFill>
                </w14:textFill>
              </w:rPr>
              <w:t>序时进度</w:t>
            </w:r>
            <w:r>
              <w:rPr>
                <w:rFonts w:ascii="宋体"/>
                <w:color w:val="000000" w:themeColor="text1"/>
                <w:kern w:val="0"/>
                <w14:textFill>
                  <w14:solidFill>
                    <w14:schemeClr w14:val="tx1"/>
                  </w14:solidFill>
                </w14:textFill>
              </w:rPr>
              <w:t>75%</w:t>
            </w:r>
            <w:r>
              <w:rPr>
                <w:rFonts w:hint="eastAsia" w:ascii="宋体"/>
                <w:color w:val="000000" w:themeColor="text1"/>
                <w:kern w:val="0"/>
                <w14:textFill>
                  <w14:solidFill>
                    <w14:schemeClr w14:val="tx1"/>
                  </w14:solidFill>
                </w14:textFill>
              </w:rPr>
              <w:t>）×</w:t>
            </w:r>
            <w:r>
              <w:rPr>
                <w:rFonts w:ascii="宋体"/>
                <w:color w:val="000000" w:themeColor="text1"/>
                <w:kern w:val="0"/>
                <w14:textFill>
                  <w14:solidFill>
                    <w14:schemeClr w14:val="tx1"/>
                  </w14:solidFill>
                </w14:textFill>
              </w:rPr>
              <w:t>1</w:t>
            </w:r>
            <w:r>
              <w:rPr>
                <w:rFonts w:hint="eastAsia" w:ascii="宋体"/>
                <w:color w:val="000000" w:themeColor="text1"/>
                <w:kern w:val="0"/>
                <w14:textFill>
                  <w14:solidFill>
                    <w14:schemeClr w14:val="tx1"/>
                  </w14:solidFill>
                </w14:textFill>
              </w:rPr>
              <w:t>分</w:t>
            </w:r>
          </w:p>
          <w:p>
            <w:pPr>
              <w:widowControl/>
              <w:spacing w:line="320" w:lineRule="exact"/>
              <w:ind w:firstLine="315" w:firstLineChars="150"/>
              <w:rPr>
                <w:rFonts w:ascii="宋体"/>
                <w:color w:val="000000" w:themeColor="text1"/>
                <w:kern w:val="0"/>
                <w14:textFill>
                  <w14:solidFill>
                    <w14:schemeClr w14:val="tx1"/>
                  </w14:solidFill>
                </w14:textFill>
              </w:rPr>
            </w:pPr>
            <w:r>
              <w:rPr>
                <w:rFonts w:ascii="宋体"/>
                <w:color w:val="000000" w:themeColor="text1"/>
                <w:kern w:val="0"/>
                <w14:textFill>
                  <w14:solidFill>
                    <w14:schemeClr w14:val="tx1"/>
                  </w14:solidFill>
                </w14:textFill>
              </w:rPr>
              <w:t>4.</w:t>
            </w:r>
            <w:r>
              <w:rPr>
                <w:rFonts w:hint="eastAsia" w:ascii="宋体"/>
                <w:color w:val="000000" w:themeColor="text1"/>
                <w:kern w:val="0"/>
                <w14:textFill>
                  <w14:solidFill>
                    <w14:schemeClr w14:val="tx1"/>
                  </w14:solidFill>
                </w14:textFill>
              </w:rPr>
              <w:t>四季度项目预算执行率得分</w:t>
            </w:r>
            <w:r>
              <w:rPr>
                <w:rFonts w:ascii="宋体"/>
                <w:color w:val="000000" w:themeColor="text1"/>
                <w:kern w:val="0"/>
                <w14:textFill>
                  <w14:solidFill>
                    <w14:schemeClr w14:val="tx1"/>
                  </w14:solidFill>
                </w14:textFill>
              </w:rPr>
              <w:t>=</w:t>
            </w:r>
            <w:r>
              <w:rPr>
                <w:rFonts w:hint="eastAsia" w:ascii="宋体"/>
                <w:color w:val="000000" w:themeColor="text1"/>
                <w:kern w:val="0"/>
                <w14:textFill>
                  <w14:solidFill>
                    <w14:schemeClr w14:val="tx1"/>
                  </w14:solidFill>
                </w14:textFill>
              </w:rPr>
              <w:t>（四季度项目预算支出进度</w:t>
            </w:r>
            <w:r>
              <w:rPr>
                <w:rFonts w:ascii="宋体"/>
                <w:color w:val="000000" w:themeColor="text1"/>
                <w:kern w:val="0"/>
                <w14:textFill>
                  <w14:solidFill>
                    <w14:schemeClr w14:val="tx1"/>
                  </w14:solidFill>
                </w14:textFill>
              </w:rPr>
              <w:t>/</w:t>
            </w:r>
            <w:r>
              <w:rPr>
                <w:rFonts w:hint="eastAsia" w:ascii="宋体"/>
                <w:color w:val="000000" w:themeColor="text1"/>
                <w:kern w:val="0"/>
                <w14:textFill>
                  <w14:solidFill>
                    <w14:schemeClr w14:val="tx1"/>
                  </w14:solidFill>
                </w14:textFill>
              </w:rPr>
              <w:t>序时进度</w:t>
            </w:r>
            <w:r>
              <w:rPr>
                <w:rFonts w:ascii="宋体"/>
                <w:color w:val="000000" w:themeColor="text1"/>
                <w:kern w:val="0"/>
                <w14:textFill>
                  <w14:solidFill>
                    <w14:schemeClr w14:val="tx1"/>
                  </w14:solidFill>
                </w14:textFill>
              </w:rPr>
              <w:t>100%</w:t>
            </w:r>
            <w:r>
              <w:rPr>
                <w:rFonts w:hint="eastAsia" w:ascii="宋体"/>
                <w:color w:val="000000" w:themeColor="text1"/>
                <w:kern w:val="0"/>
                <w14:textFill>
                  <w14:solidFill>
                    <w14:schemeClr w14:val="tx1"/>
                  </w14:solidFill>
                </w14:textFill>
              </w:rPr>
              <w:t>）×</w:t>
            </w:r>
            <w:r>
              <w:rPr>
                <w:rFonts w:ascii="宋体"/>
                <w:color w:val="000000" w:themeColor="text1"/>
                <w:kern w:val="0"/>
                <w14:textFill>
                  <w14:solidFill>
                    <w14:schemeClr w14:val="tx1"/>
                  </w14:solidFill>
                </w14:textFill>
              </w:rPr>
              <w:t>1</w:t>
            </w:r>
            <w:r>
              <w:rPr>
                <w:rFonts w:hint="eastAsia" w:ascii="宋体"/>
                <w:color w:val="000000" w:themeColor="text1"/>
                <w:kern w:val="0"/>
                <w14:textFill>
                  <w14:solidFill>
                    <w14:schemeClr w14:val="tx1"/>
                  </w14:solidFill>
                </w14:textFill>
              </w:rPr>
              <w:t>分</w:t>
            </w:r>
          </w:p>
          <w:p>
            <w:pPr>
              <w:widowControl/>
              <w:spacing w:line="320" w:lineRule="exact"/>
              <w:ind w:firstLine="315" w:firstLineChars="150"/>
              <w:rPr>
                <w:rFonts w:ascii="宋体"/>
                <w:color w:val="000000" w:themeColor="text1"/>
                <w:kern w:val="0"/>
                <w14:textFill>
                  <w14:solidFill>
                    <w14:schemeClr w14:val="tx1"/>
                  </w14:solidFill>
                </w14:textFill>
              </w:rPr>
            </w:pPr>
            <w:r>
              <w:rPr>
                <w:rFonts w:ascii="宋体"/>
                <w:color w:val="000000" w:themeColor="text1"/>
                <w:kern w:val="0"/>
                <w14:textFill>
                  <w14:solidFill>
                    <w14:schemeClr w14:val="tx1"/>
                  </w14:solidFill>
                </w14:textFill>
              </w:rPr>
              <w:t>5.</w:t>
            </w:r>
            <w:r>
              <w:rPr>
                <w:rFonts w:hint="eastAsia" w:ascii="宋体"/>
                <w:color w:val="000000" w:themeColor="text1"/>
                <w:kern w:val="0"/>
                <w14:textFill>
                  <w14:solidFill>
                    <w14:schemeClr w14:val="tx1"/>
                  </w14:solidFill>
                </w14:textFill>
              </w:rPr>
              <w:t>全年平均支出进度得分</w:t>
            </w:r>
            <w:r>
              <w:rPr>
                <w:rFonts w:ascii="宋体"/>
                <w:color w:val="000000" w:themeColor="text1"/>
                <w:kern w:val="0"/>
                <w14:textFill>
                  <w14:solidFill>
                    <w14:schemeClr w14:val="tx1"/>
                  </w14:solidFill>
                </w14:textFill>
              </w:rPr>
              <w:t>=</w:t>
            </w:r>
            <w:r>
              <w:rPr>
                <w:rFonts w:hint="eastAsia" w:ascii="宋体"/>
                <w:color w:val="000000" w:themeColor="text1"/>
                <w:kern w:val="0"/>
                <w14:textFill>
                  <w14:solidFill>
                    <w14:schemeClr w14:val="tx1"/>
                  </w14:solidFill>
                </w14:textFill>
              </w:rPr>
              <w:t>全年平均执行率×</w:t>
            </w:r>
            <w:r>
              <w:rPr>
                <w:rFonts w:ascii="宋体"/>
                <w:color w:val="000000" w:themeColor="text1"/>
                <w:kern w:val="0"/>
                <w14:textFill>
                  <w14:solidFill>
                    <w14:schemeClr w14:val="tx1"/>
                  </w14:solidFill>
                </w14:textFill>
              </w:rPr>
              <w:t>2</w:t>
            </w:r>
            <w:r>
              <w:rPr>
                <w:rFonts w:hint="eastAsia" w:ascii="宋体"/>
                <w:color w:val="000000" w:themeColor="text1"/>
                <w:kern w:val="0"/>
                <w14:textFill>
                  <w14:solidFill>
                    <w14:schemeClr w14:val="tx1"/>
                  </w14:solidFill>
                </w14:textFill>
              </w:rPr>
              <w:t>分</w:t>
            </w:r>
          </w:p>
          <w:p>
            <w:pPr>
              <w:widowControl/>
              <w:spacing w:line="320" w:lineRule="exact"/>
              <w:ind w:firstLine="315" w:firstLineChars="150"/>
              <w:rPr>
                <w:rFonts w:ascii="宋体"/>
                <w:color w:val="000000" w:themeColor="text1"/>
                <w:kern w:val="0"/>
                <w14:textFill>
                  <w14:solidFill>
                    <w14:schemeClr w14:val="tx1"/>
                  </w14:solidFill>
                </w14:textFill>
              </w:rPr>
            </w:pPr>
            <w:r>
              <w:rPr>
                <w:rFonts w:hint="eastAsia" w:ascii="宋体"/>
                <w:color w:val="000000" w:themeColor="text1"/>
                <w:kern w:val="0"/>
                <w14:textFill>
                  <w14:solidFill>
                    <w14:schemeClr w14:val="tx1"/>
                  </w14:solidFill>
                </w14:textFill>
              </w:rPr>
              <w:t>其中：全年平均执行率</w:t>
            </w:r>
            <w:r>
              <w:rPr>
                <w:rFonts w:ascii="宋体"/>
                <w:color w:val="000000" w:themeColor="text1"/>
                <w:kern w:val="0"/>
                <w14:textFill>
                  <w14:solidFill>
                    <w14:schemeClr w14:val="tx1"/>
                  </w14:solidFill>
                </w14:textFill>
              </w:rPr>
              <w:t>=</w:t>
            </w:r>
            <w:r>
              <w:rPr>
                <w:rFonts w:hint="eastAsia" w:ascii="宋体"/>
                <w:color w:val="000000" w:themeColor="text1"/>
                <w:kern w:val="0"/>
                <w14:textFill>
                  <w14:solidFill>
                    <w14:schemeClr w14:val="tx1"/>
                  </w14:solidFill>
                </w14:textFill>
              </w:rPr>
              <w:t>∑（每个季度的执行率）÷</w:t>
            </w:r>
            <w:r>
              <w:rPr>
                <w:rFonts w:ascii="宋体"/>
                <w:color w:val="000000" w:themeColor="text1"/>
                <w:kern w:val="0"/>
                <w14:textFill>
                  <w14:solidFill>
                    <w14:schemeClr w14:val="tx1"/>
                  </w14:solidFill>
                </w14:textFill>
              </w:rPr>
              <w:t>4</w:t>
            </w:r>
          </w:p>
          <w:p>
            <w:pPr>
              <w:widowControl/>
              <w:spacing w:line="320" w:lineRule="exact"/>
              <w:ind w:firstLine="315" w:firstLineChars="150"/>
              <w:rPr>
                <w:rFonts w:ascii="宋体"/>
                <w:color w:val="000000" w:themeColor="text1"/>
                <w:kern w:val="0"/>
                <w14:textFill>
                  <w14:solidFill>
                    <w14:schemeClr w14:val="tx1"/>
                  </w14:solidFill>
                </w14:textFill>
              </w:rPr>
            </w:pPr>
          </w:p>
          <w:p>
            <w:pPr>
              <w:widowControl/>
              <w:spacing w:line="320" w:lineRule="exact"/>
              <w:ind w:firstLine="315" w:firstLineChars="150"/>
              <w:rPr>
                <w:rFonts w:ascii="宋体"/>
                <w:kern w:val="0"/>
              </w:rPr>
            </w:pPr>
            <w:r>
              <w:rPr>
                <w:rFonts w:hint="eastAsia" w:ascii="宋体"/>
                <w:color w:val="000000" w:themeColor="text1"/>
                <w:kern w:val="0"/>
                <w14:textFill>
                  <w14:solidFill>
                    <w14:schemeClr w14:val="tx1"/>
                  </w14:solidFill>
                </w14:textFill>
              </w:rPr>
              <w:t>季度支出进度</w:t>
            </w:r>
            <w:r>
              <w:rPr>
                <w:rFonts w:ascii="宋体"/>
                <w:color w:val="000000" w:themeColor="text1"/>
                <w:kern w:val="0"/>
                <w14:textFill>
                  <w14:solidFill>
                    <w14:schemeClr w14:val="tx1"/>
                  </w14:solidFill>
                </w14:textFill>
              </w:rPr>
              <w:t>=</w:t>
            </w:r>
            <w:r>
              <w:rPr>
                <w:rFonts w:hint="eastAsia" w:ascii="宋体"/>
                <w:color w:val="000000" w:themeColor="text1"/>
                <w:kern w:val="0"/>
                <w14:textFill>
                  <w14:solidFill>
                    <w14:schemeClr w14:val="tx1"/>
                  </w14:solidFill>
                </w14:textFill>
              </w:rPr>
              <w:t>季度末月份累计支出进度（即</w:t>
            </w:r>
            <w:r>
              <w:rPr>
                <w:rFonts w:ascii="宋体"/>
                <w:color w:val="000000" w:themeColor="text1"/>
                <w:kern w:val="0"/>
                <w14:textFill>
                  <w14:solidFill>
                    <w14:schemeClr w14:val="tx1"/>
                  </w14:solidFill>
                </w14:textFill>
              </w:rPr>
              <w:t>3</w:t>
            </w:r>
            <w:r>
              <w:rPr>
                <w:rFonts w:hint="eastAsia" w:ascii="宋体"/>
                <w:color w:val="000000" w:themeColor="text1"/>
                <w:kern w:val="0"/>
                <w14:textFill>
                  <w14:solidFill>
                    <w14:schemeClr w14:val="tx1"/>
                  </w14:solidFill>
                </w14:textFill>
              </w:rPr>
              <w:t>、</w:t>
            </w:r>
            <w:r>
              <w:rPr>
                <w:rFonts w:ascii="宋体"/>
                <w:color w:val="000000" w:themeColor="text1"/>
                <w:kern w:val="0"/>
                <w14:textFill>
                  <w14:solidFill>
                    <w14:schemeClr w14:val="tx1"/>
                  </w14:solidFill>
                </w14:textFill>
              </w:rPr>
              <w:t>6</w:t>
            </w:r>
            <w:r>
              <w:rPr>
                <w:rFonts w:hint="eastAsia" w:ascii="宋体"/>
                <w:color w:val="000000" w:themeColor="text1"/>
                <w:kern w:val="0"/>
                <w14:textFill>
                  <w14:solidFill>
                    <w14:schemeClr w14:val="tx1"/>
                  </w14:solidFill>
                </w14:textFill>
              </w:rPr>
              <w:t>、</w:t>
            </w:r>
            <w:r>
              <w:rPr>
                <w:rFonts w:ascii="宋体"/>
                <w:color w:val="000000" w:themeColor="text1"/>
                <w:kern w:val="0"/>
                <w14:textFill>
                  <w14:solidFill>
                    <w14:schemeClr w14:val="tx1"/>
                  </w14:solidFill>
                </w14:textFill>
              </w:rPr>
              <w:t>9</w:t>
            </w:r>
            <w:r>
              <w:rPr>
                <w:rFonts w:hint="eastAsia" w:ascii="宋体"/>
                <w:color w:val="000000" w:themeColor="text1"/>
                <w:kern w:val="0"/>
                <w14:textFill>
                  <w14:solidFill>
                    <w14:schemeClr w14:val="tx1"/>
                  </w14:solidFill>
                </w14:textFill>
              </w:rPr>
              <w:t>、</w:t>
            </w:r>
            <w:r>
              <w:rPr>
                <w:rFonts w:ascii="宋体"/>
                <w:color w:val="000000" w:themeColor="text1"/>
                <w:kern w:val="0"/>
                <w14:textFill>
                  <w14:solidFill>
                    <w14:schemeClr w14:val="tx1"/>
                  </w14:solidFill>
                </w14:textFill>
              </w:rPr>
              <w:t>12</w:t>
            </w:r>
            <w:r>
              <w:rPr>
                <w:rFonts w:hint="eastAsia" w:ascii="宋体"/>
                <w:color w:val="000000" w:themeColor="text1"/>
                <w:kern w:val="0"/>
                <w14:textFill>
                  <w14:solidFill>
                    <w14:schemeClr w14:val="tx1"/>
                  </w14:solidFill>
                </w14:textFill>
              </w:rPr>
              <w:t>月月末支出进度）</w:t>
            </w:r>
          </w:p>
        </w:tc>
        <w:tc>
          <w:tcPr>
            <w:tcW w:w="330" w:type="pct"/>
            <w:tcBorders>
              <w:top w:val="nil"/>
              <w:left w:val="nil"/>
              <w:bottom w:val="single" w:color="auto" w:sz="4" w:space="0"/>
              <w:right w:val="single" w:color="auto" w:sz="4" w:space="0"/>
            </w:tcBorders>
            <w:vAlign w:val="center"/>
          </w:tcPr>
          <w:p>
            <w:pPr>
              <w:widowControl/>
              <w:spacing w:line="320" w:lineRule="exact"/>
              <w:jc w:val="center"/>
              <w:rPr>
                <w:rFonts w:ascii="宋体" w:hAnsi="宋体" w:cs="宋体"/>
                <w:kern w:val="0"/>
              </w:rPr>
            </w:pPr>
            <w:r>
              <w:rPr>
                <w:rFonts w:hint="eastAsia" w:ascii="宋体" w:hAnsi="宋体" w:cs="宋体"/>
                <w:kern w:val="0"/>
              </w:rPr>
              <w:t>1</w:t>
            </w:r>
            <w:r>
              <w:rPr>
                <w:rFonts w:ascii="宋体" w:hAnsi="宋体" w:cs="宋体"/>
                <w:kern w:val="0"/>
              </w:rPr>
              <w:t>.63</w:t>
            </w:r>
          </w:p>
        </w:tc>
      </w:tr>
      <w:tr>
        <w:tblPrEx>
          <w:tblCellMar>
            <w:top w:w="0" w:type="dxa"/>
            <w:left w:w="108" w:type="dxa"/>
            <w:bottom w:w="0" w:type="dxa"/>
            <w:right w:w="108" w:type="dxa"/>
          </w:tblCellMar>
        </w:tblPrEx>
        <w:trPr>
          <w:trHeight w:val="694" w:hRule="atLeast"/>
        </w:trPr>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kern w:val="0"/>
              </w:rPr>
            </w:pPr>
          </w:p>
        </w:tc>
        <w:tc>
          <w:tcPr>
            <w:tcW w:w="224" w:type="pct"/>
            <w:tcBorders>
              <w:top w:val="nil"/>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重点工作完成情况</w:t>
            </w:r>
          </w:p>
        </w:tc>
        <w:tc>
          <w:tcPr>
            <w:tcW w:w="153" w:type="pct"/>
            <w:tcBorders>
              <w:top w:val="nil"/>
              <w:left w:val="nil"/>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8</w:t>
            </w:r>
          </w:p>
        </w:tc>
        <w:tc>
          <w:tcPr>
            <w:tcW w:w="705" w:type="pct"/>
            <w:tcBorders>
              <w:top w:val="nil"/>
              <w:left w:val="nil"/>
              <w:bottom w:val="single" w:color="auto" w:sz="4" w:space="0"/>
              <w:right w:val="single" w:color="auto" w:sz="4" w:space="0"/>
            </w:tcBorders>
            <w:vAlign w:val="center"/>
          </w:tcPr>
          <w:p>
            <w:pPr>
              <w:widowControl/>
              <w:spacing w:line="320" w:lineRule="exact"/>
              <w:rPr>
                <w:rFonts w:ascii="宋体"/>
                <w:color w:val="000000"/>
                <w:kern w:val="0"/>
              </w:rPr>
            </w:pPr>
            <w:r>
              <w:rPr>
                <w:rFonts w:hint="eastAsia" w:ascii="宋体" w:hAnsi="宋体" w:cs="宋体"/>
                <w:color w:val="000000"/>
                <w:kern w:val="0"/>
              </w:rPr>
              <w:t>部门（单位）完成党委、政府、人大和上级部门下达或交办的重要事项或工作的完成情况，反映部门对重点工作的办理落实程度。</w:t>
            </w:r>
          </w:p>
        </w:tc>
        <w:tc>
          <w:tcPr>
            <w:tcW w:w="2984" w:type="pct"/>
            <w:tcBorders>
              <w:top w:val="nil"/>
              <w:left w:val="nil"/>
              <w:bottom w:val="single" w:color="auto" w:sz="4" w:space="0"/>
              <w:right w:val="single" w:color="auto" w:sz="4" w:space="0"/>
            </w:tcBorders>
            <w:vAlign w:val="center"/>
          </w:tcPr>
          <w:p>
            <w:pPr>
              <w:widowControl/>
              <w:spacing w:line="320" w:lineRule="exact"/>
              <w:ind w:firstLine="420" w:firstLineChars="200"/>
              <w:rPr>
                <w:rFonts w:ascii="宋体"/>
                <w:kern w:val="0"/>
              </w:rPr>
            </w:pPr>
            <w:r>
              <w:rPr>
                <w:rFonts w:hint="eastAsia" w:ascii="宋体" w:hAnsi="宋体" w:cs="宋体"/>
                <w:kern w:val="0"/>
              </w:rPr>
              <w:t>重点工作是指中央和省相关部门、市委、市政府、市人大交办或下达的工作任务。全部按期保质保量完成得</w:t>
            </w:r>
            <w:r>
              <w:rPr>
                <w:rFonts w:ascii="宋体" w:hAnsi="宋体" w:cs="宋体"/>
                <w:kern w:val="0"/>
              </w:rPr>
              <w:t>8</w:t>
            </w:r>
            <w:r>
              <w:rPr>
                <w:rFonts w:hint="eastAsia" w:ascii="宋体" w:hAnsi="宋体" w:cs="宋体"/>
                <w:kern w:val="0"/>
              </w:rPr>
              <w:t>分；一项重点工作没有完成扣</w:t>
            </w:r>
            <w:r>
              <w:rPr>
                <w:rFonts w:ascii="宋体" w:hAnsi="宋体" w:cs="宋体"/>
                <w:kern w:val="0"/>
              </w:rPr>
              <w:t>4</w:t>
            </w:r>
            <w:r>
              <w:rPr>
                <w:rFonts w:hint="eastAsia" w:ascii="宋体" w:hAnsi="宋体" w:cs="宋体"/>
                <w:kern w:val="0"/>
              </w:rPr>
              <w:t>分，扣完为止。</w:t>
            </w:r>
          </w:p>
          <w:p>
            <w:pPr>
              <w:widowControl/>
              <w:spacing w:line="320" w:lineRule="exact"/>
              <w:rPr>
                <w:rFonts w:ascii="宋体"/>
                <w:kern w:val="0"/>
              </w:rPr>
            </w:pPr>
            <w:r>
              <w:rPr>
                <w:rFonts w:hint="eastAsia" w:ascii="宋体" w:hAnsi="宋体" w:cs="宋体"/>
                <w:kern w:val="0"/>
              </w:rPr>
              <w:t>注：重点工作完成情况可以参考市委市政府督查部门或其他权威部门的统计数据（如有）。</w:t>
            </w:r>
          </w:p>
        </w:tc>
        <w:tc>
          <w:tcPr>
            <w:tcW w:w="330" w:type="pct"/>
            <w:tcBorders>
              <w:top w:val="nil"/>
              <w:left w:val="nil"/>
              <w:bottom w:val="single" w:color="auto" w:sz="4" w:space="0"/>
              <w:right w:val="single" w:color="auto" w:sz="4" w:space="0"/>
            </w:tcBorders>
            <w:vAlign w:val="center"/>
          </w:tcPr>
          <w:p>
            <w:pPr>
              <w:widowControl/>
              <w:spacing w:line="320" w:lineRule="exact"/>
              <w:jc w:val="center"/>
              <w:rPr>
                <w:rFonts w:ascii="宋体" w:hAnsi="宋体" w:cs="宋体"/>
                <w:kern w:val="0"/>
              </w:rPr>
            </w:pPr>
            <w:r>
              <w:rPr>
                <w:rFonts w:hint="eastAsia" w:ascii="宋体" w:hAnsi="宋体" w:cs="宋体"/>
                <w:kern w:val="0"/>
              </w:rPr>
              <w:t>8</w:t>
            </w:r>
          </w:p>
        </w:tc>
      </w:tr>
      <w:tr>
        <w:tblPrEx>
          <w:tblCellMar>
            <w:top w:w="0" w:type="dxa"/>
            <w:left w:w="108" w:type="dxa"/>
            <w:bottom w:w="0" w:type="dxa"/>
            <w:right w:w="108" w:type="dxa"/>
          </w:tblCellMar>
        </w:tblPrEx>
        <w:trPr>
          <w:trHeight w:val="892" w:hRule="atLeast"/>
        </w:trPr>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kern w:val="0"/>
              </w:rPr>
            </w:pPr>
          </w:p>
        </w:tc>
        <w:tc>
          <w:tcPr>
            <w:tcW w:w="224" w:type="pct"/>
            <w:tcBorders>
              <w:top w:val="nil"/>
              <w:left w:val="nil"/>
              <w:bottom w:val="single" w:color="auto" w:sz="4" w:space="0"/>
              <w:right w:val="single" w:color="auto" w:sz="4" w:space="0"/>
            </w:tcBorders>
            <w:vAlign w:val="center"/>
          </w:tcPr>
          <w:p>
            <w:pPr>
              <w:widowControl/>
              <w:spacing w:line="320" w:lineRule="exact"/>
              <w:jc w:val="left"/>
              <w:rPr>
                <w:rFonts w:ascii="宋体"/>
                <w:kern w:val="0"/>
                <w:sz w:val="18"/>
                <w:szCs w:val="18"/>
              </w:rPr>
            </w:pPr>
            <w:r>
              <w:rPr>
                <w:rFonts w:hint="eastAsia" w:ascii="宋体" w:hAnsi="宋体" w:cs="宋体"/>
                <w:kern w:val="0"/>
              </w:rPr>
              <w:t>项目完成及时性</w:t>
            </w:r>
          </w:p>
        </w:tc>
        <w:tc>
          <w:tcPr>
            <w:tcW w:w="153" w:type="pct"/>
            <w:tcBorders>
              <w:top w:val="nil"/>
              <w:left w:val="nil"/>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6</w:t>
            </w:r>
          </w:p>
        </w:tc>
        <w:tc>
          <w:tcPr>
            <w:tcW w:w="705" w:type="pct"/>
            <w:tcBorders>
              <w:top w:val="nil"/>
              <w:left w:val="nil"/>
              <w:bottom w:val="single" w:color="auto" w:sz="4" w:space="0"/>
              <w:right w:val="single" w:color="auto" w:sz="4" w:space="0"/>
            </w:tcBorders>
            <w:vAlign w:val="center"/>
          </w:tcPr>
          <w:p>
            <w:pPr>
              <w:widowControl/>
              <w:spacing w:line="320" w:lineRule="exact"/>
              <w:rPr>
                <w:rFonts w:ascii="宋体"/>
                <w:kern w:val="0"/>
                <w:sz w:val="18"/>
                <w:szCs w:val="18"/>
              </w:rPr>
            </w:pPr>
            <w:r>
              <w:rPr>
                <w:rFonts w:hint="eastAsia" w:ascii="宋体" w:hAnsi="宋体" w:cs="宋体"/>
                <w:kern w:val="0"/>
              </w:rPr>
              <w:t>部门（单位）项目完成情况与预期时间对比的情况。</w:t>
            </w:r>
          </w:p>
        </w:tc>
        <w:tc>
          <w:tcPr>
            <w:tcW w:w="2984" w:type="pct"/>
            <w:tcBorders>
              <w:top w:val="nil"/>
              <w:left w:val="nil"/>
              <w:bottom w:val="single" w:color="auto" w:sz="4" w:space="0"/>
              <w:right w:val="single" w:color="auto" w:sz="4" w:space="0"/>
            </w:tcBorders>
            <w:vAlign w:val="center"/>
          </w:tcPr>
          <w:p>
            <w:pPr>
              <w:widowControl/>
              <w:spacing w:line="320" w:lineRule="exact"/>
              <w:ind w:firstLine="420" w:firstLineChars="200"/>
              <w:rPr>
                <w:rFonts w:ascii="宋体"/>
                <w:kern w:val="0"/>
                <w:sz w:val="18"/>
                <w:szCs w:val="18"/>
              </w:rPr>
            </w:pPr>
            <w:r>
              <w:rPr>
                <w:rFonts w:ascii="宋体" w:hAnsi="宋体" w:cs="宋体"/>
                <w:kern w:val="0"/>
              </w:rPr>
              <w:t>1.</w:t>
            </w:r>
            <w:r>
              <w:rPr>
                <w:rFonts w:hint="eastAsia" w:ascii="宋体" w:hAnsi="宋体" w:cs="宋体"/>
                <w:kern w:val="0"/>
              </w:rPr>
              <w:t>所有部门预算安排的项目均按计划时间完成（</w:t>
            </w:r>
            <w:r>
              <w:rPr>
                <w:rFonts w:ascii="宋体" w:hAnsi="宋体" w:cs="宋体"/>
                <w:kern w:val="0"/>
              </w:rPr>
              <w:t>6</w:t>
            </w:r>
            <w:r>
              <w:rPr>
                <w:rFonts w:hint="eastAsia" w:ascii="宋体" w:hAnsi="宋体" w:cs="宋体"/>
                <w:kern w:val="0"/>
              </w:rPr>
              <w:t>分）；</w:t>
            </w:r>
          </w:p>
          <w:p>
            <w:pPr>
              <w:widowControl/>
              <w:spacing w:line="320" w:lineRule="exact"/>
              <w:ind w:firstLine="420" w:firstLineChars="200"/>
              <w:rPr>
                <w:rFonts w:ascii="宋体"/>
                <w:kern w:val="0"/>
                <w:sz w:val="18"/>
                <w:szCs w:val="18"/>
              </w:rPr>
            </w:pPr>
            <w:r>
              <w:rPr>
                <w:rFonts w:ascii="宋体" w:hAnsi="宋体" w:cs="宋体"/>
                <w:kern w:val="0"/>
              </w:rPr>
              <w:t>2.</w:t>
            </w:r>
            <w:r>
              <w:rPr>
                <w:rFonts w:hint="eastAsia" w:ascii="宋体" w:hAnsi="宋体" w:cs="宋体"/>
                <w:kern w:val="0"/>
              </w:rPr>
              <w:t>部分项目未按计划时间完成的，本指标得分</w:t>
            </w:r>
            <w:r>
              <w:rPr>
                <w:rFonts w:ascii="宋体" w:hAnsi="宋体" w:cs="宋体"/>
                <w:kern w:val="0"/>
              </w:rPr>
              <w:t>=</w:t>
            </w:r>
            <w:r>
              <w:rPr>
                <w:rFonts w:hint="eastAsia" w:ascii="宋体" w:hAnsi="宋体" w:cs="宋体"/>
                <w:kern w:val="0"/>
              </w:rPr>
              <w:t>已完成项目数</w:t>
            </w:r>
            <w:r>
              <w:rPr>
                <w:rFonts w:ascii="宋体" w:hAnsi="宋体" w:cs="宋体"/>
                <w:kern w:val="0"/>
              </w:rPr>
              <w:t>/</w:t>
            </w:r>
            <w:r>
              <w:rPr>
                <w:rFonts w:hint="eastAsia" w:ascii="宋体" w:hAnsi="宋体" w:cs="宋体"/>
                <w:kern w:val="0"/>
              </w:rPr>
              <w:t>计划完成项目总数×</w:t>
            </w:r>
            <w:r>
              <w:rPr>
                <w:rFonts w:ascii="宋体" w:hAnsi="宋体" w:cs="宋体"/>
                <w:kern w:val="0"/>
              </w:rPr>
              <w:t>6</w:t>
            </w:r>
            <w:r>
              <w:rPr>
                <w:rFonts w:hint="eastAsia" w:ascii="宋体" w:hAnsi="宋体" w:cs="宋体"/>
                <w:kern w:val="0"/>
              </w:rPr>
              <w:t>分。</w:t>
            </w:r>
          </w:p>
        </w:tc>
        <w:tc>
          <w:tcPr>
            <w:tcW w:w="330" w:type="pct"/>
            <w:tcBorders>
              <w:top w:val="nil"/>
              <w:left w:val="nil"/>
              <w:bottom w:val="single" w:color="auto" w:sz="4" w:space="0"/>
              <w:right w:val="single" w:color="auto" w:sz="4" w:space="0"/>
            </w:tcBorders>
            <w:vAlign w:val="center"/>
          </w:tcPr>
          <w:p>
            <w:pPr>
              <w:widowControl/>
              <w:spacing w:line="320" w:lineRule="exact"/>
              <w:jc w:val="center"/>
              <w:rPr>
                <w:rFonts w:ascii="宋体" w:hAnsi="宋体" w:cs="宋体"/>
                <w:kern w:val="0"/>
              </w:rPr>
            </w:pPr>
            <w:r>
              <w:rPr>
                <w:rFonts w:hint="eastAsia" w:ascii="宋体" w:hAnsi="宋体" w:cs="宋体"/>
                <w:kern w:val="0"/>
              </w:rPr>
              <w:t>6</w:t>
            </w:r>
          </w:p>
        </w:tc>
      </w:tr>
      <w:tr>
        <w:tblPrEx>
          <w:tblCellMar>
            <w:top w:w="0" w:type="dxa"/>
            <w:left w:w="108" w:type="dxa"/>
            <w:bottom w:w="0" w:type="dxa"/>
            <w:right w:w="108" w:type="dxa"/>
          </w:tblCellMar>
        </w:tblPrEx>
        <w:trPr>
          <w:trHeight w:val="3813" w:hRule="atLeast"/>
        </w:trPr>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tcBorders>
              <w:top w:val="nil"/>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效果性</w:t>
            </w:r>
          </w:p>
        </w:tc>
        <w:tc>
          <w:tcPr>
            <w:tcW w:w="150" w:type="pct"/>
            <w:tcBorders>
              <w:top w:val="nil"/>
              <w:left w:val="nil"/>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20</w:t>
            </w:r>
          </w:p>
        </w:tc>
        <w:tc>
          <w:tcPr>
            <w:tcW w:w="224" w:type="pct"/>
            <w:tcBorders>
              <w:top w:val="nil"/>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社会效益、经济效益、生态效益及可持续影响等</w:t>
            </w:r>
          </w:p>
        </w:tc>
        <w:tc>
          <w:tcPr>
            <w:tcW w:w="153" w:type="pct"/>
            <w:tcBorders>
              <w:top w:val="nil"/>
              <w:left w:val="nil"/>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20</w:t>
            </w:r>
          </w:p>
        </w:tc>
        <w:tc>
          <w:tcPr>
            <w:tcW w:w="705" w:type="pct"/>
            <w:tcBorders>
              <w:top w:val="nil"/>
              <w:left w:val="nil"/>
              <w:bottom w:val="single" w:color="auto" w:sz="4" w:space="0"/>
              <w:right w:val="single" w:color="auto" w:sz="4" w:space="0"/>
            </w:tcBorders>
            <w:vAlign w:val="center"/>
          </w:tcPr>
          <w:p>
            <w:pPr>
              <w:widowControl/>
              <w:spacing w:line="320" w:lineRule="exact"/>
              <w:rPr>
                <w:rFonts w:ascii="宋体"/>
                <w:kern w:val="0"/>
              </w:rPr>
            </w:pPr>
            <w:r>
              <w:rPr>
                <w:rFonts w:hint="eastAsia" w:ascii="宋体" w:hAnsi="宋体" w:cs="宋体"/>
                <w:kern w:val="0"/>
              </w:rPr>
              <w:t>部门（单位）履行职责、完成各项重大政策和项目的效果，以及对经济发展、社会发展、生态环境所带来的直接或间接影响。</w:t>
            </w:r>
          </w:p>
        </w:tc>
        <w:tc>
          <w:tcPr>
            <w:tcW w:w="2984" w:type="pct"/>
            <w:tcBorders>
              <w:top w:val="nil"/>
              <w:left w:val="nil"/>
              <w:bottom w:val="single" w:color="auto" w:sz="4" w:space="0"/>
              <w:right w:val="single" w:color="auto" w:sz="4" w:space="0"/>
            </w:tcBorders>
            <w:vAlign w:val="center"/>
          </w:tcPr>
          <w:p>
            <w:pPr>
              <w:widowControl/>
              <w:spacing w:line="320" w:lineRule="exact"/>
              <w:ind w:firstLine="405"/>
              <w:rPr>
                <w:rFonts w:ascii="宋体"/>
                <w:kern w:val="0"/>
              </w:rPr>
            </w:pPr>
            <w:r>
              <w:rPr>
                <w:rFonts w:hint="eastAsia" w:ascii="宋体" w:hAnsi="宋体" w:cs="宋体"/>
                <w:kern w:val="0"/>
              </w:rPr>
              <w:t>根据部门（单位）职责，结合部门整体支出绩效目标，合理设置个性化绩效指标，通过绩效指标完成情况与目标值对比分析进行评分，未实现绩效目标的酌情扣分。</w:t>
            </w:r>
          </w:p>
          <w:p>
            <w:pPr>
              <w:widowControl/>
              <w:spacing w:line="320" w:lineRule="exact"/>
              <w:ind w:firstLine="405"/>
              <w:rPr>
                <w:rFonts w:ascii="宋体"/>
                <w:kern w:val="0"/>
              </w:rPr>
            </w:pPr>
            <w:r>
              <w:rPr>
                <w:rFonts w:hint="eastAsia" w:ascii="宋体" w:hAnsi="宋体" w:cs="宋体"/>
                <w:kern w:val="0"/>
              </w:rPr>
              <w:t>根据部门（部门）履职内容和性质，从社会效益、经济效益、生态效益、可持续影响等方面，至少选择三个方面对工作实效和效益进行评价。</w:t>
            </w:r>
          </w:p>
        </w:tc>
        <w:tc>
          <w:tcPr>
            <w:tcW w:w="330" w:type="pct"/>
            <w:tcBorders>
              <w:top w:val="nil"/>
              <w:left w:val="nil"/>
              <w:bottom w:val="single" w:color="auto" w:sz="4" w:space="0"/>
              <w:right w:val="single" w:color="auto" w:sz="4" w:space="0"/>
            </w:tcBorders>
            <w:vAlign w:val="center"/>
          </w:tcPr>
          <w:p>
            <w:pPr>
              <w:widowControl/>
              <w:spacing w:line="320" w:lineRule="exact"/>
              <w:jc w:val="center"/>
              <w:rPr>
                <w:rFonts w:ascii="宋体" w:hAnsi="宋体" w:cs="宋体"/>
                <w:kern w:val="0"/>
              </w:rPr>
            </w:pPr>
            <w:r>
              <w:rPr>
                <w:rFonts w:hint="eastAsia" w:ascii="宋体" w:hAnsi="宋体" w:cs="宋体"/>
                <w:kern w:val="0"/>
              </w:rPr>
              <w:t>2</w:t>
            </w:r>
            <w:r>
              <w:rPr>
                <w:rFonts w:ascii="宋体" w:hAnsi="宋体" w:cs="宋体"/>
                <w:kern w:val="0"/>
              </w:rPr>
              <w:t>0</w:t>
            </w:r>
          </w:p>
        </w:tc>
      </w:tr>
      <w:tr>
        <w:tblPrEx>
          <w:tblCellMar>
            <w:top w:w="0" w:type="dxa"/>
            <w:left w:w="108" w:type="dxa"/>
            <w:bottom w:w="0" w:type="dxa"/>
            <w:right w:w="108" w:type="dxa"/>
          </w:tblCellMar>
        </w:tblPrEx>
        <w:trPr>
          <w:trHeight w:val="1214" w:hRule="atLeast"/>
        </w:trPr>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公平性</w:t>
            </w:r>
          </w:p>
        </w:tc>
        <w:tc>
          <w:tcPr>
            <w:tcW w:w="150" w:type="pct"/>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9</w:t>
            </w:r>
          </w:p>
        </w:tc>
        <w:tc>
          <w:tcPr>
            <w:tcW w:w="224" w:type="pct"/>
            <w:tcBorders>
              <w:top w:val="nil"/>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群众信访办理情况</w:t>
            </w:r>
          </w:p>
        </w:tc>
        <w:tc>
          <w:tcPr>
            <w:tcW w:w="153" w:type="pct"/>
            <w:tcBorders>
              <w:top w:val="nil"/>
              <w:left w:val="nil"/>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3</w:t>
            </w:r>
          </w:p>
        </w:tc>
        <w:tc>
          <w:tcPr>
            <w:tcW w:w="705" w:type="pct"/>
            <w:tcBorders>
              <w:top w:val="nil"/>
              <w:left w:val="nil"/>
              <w:bottom w:val="single" w:color="auto" w:sz="4" w:space="0"/>
              <w:right w:val="single" w:color="auto" w:sz="4" w:space="0"/>
            </w:tcBorders>
            <w:vAlign w:val="center"/>
          </w:tcPr>
          <w:p>
            <w:pPr>
              <w:widowControl/>
              <w:spacing w:line="320" w:lineRule="exact"/>
              <w:rPr>
                <w:rFonts w:ascii="宋体"/>
                <w:kern w:val="0"/>
              </w:rPr>
            </w:pPr>
            <w:r>
              <w:rPr>
                <w:rFonts w:hint="eastAsia" w:ascii="宋体" w:hAnsi="宋体" w:cs="宋体"/>
                <w:kern w:val="0"/>
              </w:rPr>
              <w:t>部门（单位）对群众信访意见的完成情况及及时性，反映部门（单位）对服务群众的重视程度。</w:t>
            </w:r>
          </w:p>
        </w:tc>
        <w:tc>
          <w:tcPr>
            <w:tcW w:w="2984" w:type="pct"/>
            <w:tcBorders>
              <w:top w:val="nil"/>
              <w:left w:val="nil"/>
              <w:bottom w:val="single" w:color="auto" w:sz="4" w:space="0"/>
              <w:right w:val="single" w:color="auto" w:sz="4" w:space="0"/>
            </w:tcBorders>
            <w:vAlign w:val="center"/>
          </w:tcPr>
          <w:p>
            <w:pPr>
              <w:widowControl/>
              <w:spacing w:line="320" w:lineRule="exact"/>
              <w:ind w:firstLine="315" w:firstLineChars="150"/>
              <w:rPr>
                <w:rFonts w:ascii="宋体"/>
                <w:kern w:val="0"/>
              </w:rPr>
            </w:pPr>
            <w:r>
              <w:rPr>
                <w:rFonts w:ascii="宋体" w:hAnsi="宋体" w:cs="宋体"/>
                <w:kern w:val="0"/>
              </w:rPr>
              <w:t>1.</w:t>
            </w:r>
            <w:r>
              <w:rPr>
                <w:rFonts w:hint="eastAsia" w:ascii="宋体" w:hAnsi="宋体" w:cs="宋体"/>
                <w:kern w:val="0"/>
              </w:rPr>
              <w:t>建立了便利的群众意见反映渠道和群众意见办理回复机制（</w:t>
            </w:r>
            <w:r>
              <w:rPr>
                <w:rFonts w:ascii="宋体" w:hAnsi="宋体" w:cs="宋体"/>
                <w:kern w:val="0"/>
              </w:rPr>
              <w:t>1</w:t>
            </w:r>
            <w:r>
              <w:rPr>
                <w:rFonts w:hint="eastAsia" w:ascii="宋体" w:hAnsi="宋体" w:cs="宋体"/>
                <w:kern w:val="0"/>
              </w:rPr>
              <w:t>分）；</w:t>
            </w:r>
          </w:p>
          <w:p>
            <w:pPr>
              <w:widowControl/>
              <w:spacing w:line="320" w:lineRule="exact"/>
              <w:ind w:firstLine="315" w:firstLineChars="150"/>
              <w:rPr>
                <w:rFonts w:ascii="宋体"/>
                <w:kern w:val="0"/>
              </w:rPr>
            </w:pPr>
            <w:r>
              <w:rPr>
                <w:rFonts w:ascii="宋体" w:hAnsi="宋体" w:cs="宋体"/>
                <w:kern w:val="0"/>
              </w:rPr>
              <w:t>2.</w:t>
            </w:r>
            <w:r>
              <w:rPr>
                <w:rFonts w:hint="eastAsia" w:ascii="宋体" w:hAnsi="宋体" w:cs="宋体"/>
                <w:kern w:val="0"/>
              </w:rPr>
              <w:t>当年度群众信访办理回复率达</w:t>
            </w:r>
            <w:r>
              <w:rPr>
                <w:rFonts w:ascii="宋体" w:hAnsi="宋体" w:cs="宋体"/>
                <w:kern w:val="0"/>
              </w:rPr>
              <w:t>100%</w:t>
            </w:r>
            <w:r>
              <w:rPr>
                <w:rFonts w:hint="eastAsia" w:ascii="宋体" w:hAnsi="宋体" w:cs="宋体"/>
                <w:kern w:val="0"/>
              </w:rPr>
              <w:t>（</w:t>
            </w:r>
            <w:r>
              <w:rPr>
                <w:rFonts w:ascii="宋体" w:hAnsi="宋体" w:cs="宋体"/>
                <w:kern w:val="0"/>
              </w:rPr>
              <w:t>1</w:t>
            </w:r>
            <w:r>
              <w:rPr>
                <w:rFonts w:hint="eastAsia" w:ascii="宋体" w:hAnsi="宋体" w:cs="宋体"/>
                <w:kern w:val="0"/>
              </w:rPr>
              <w:t>分）；</w:t>
            </w:r>
          </w:p>
          <w:p>
            <w:pPr>
              <w:widowControl/>
              <w:spacing w:line="320" w:lineRule="exact"/>
              <w:ind w:firstLine="315" w:firstLineChars="150"/>
              <w:rPr>
                <w:rFonts w:ascii="宋体"/>
                <w:kern w:val="0"/>
              </w:rPr>
            </w:pPr>
            <w:r>
              <w:rPr>
                <w:rFonts w:ascii="宋体" w:hAnsi="宋体" w:cs="宋体"/>
                <w:kern w:val="0"/>
              </w:rPr>
              <w:t>3.</w:t>
            </w:r>
            <w:r>
              <w:rPr>
                <w:rFonts w:hint="eastAsia" w:ascii="宋体" w:hAnsi="宋体" w:cs="宋体"/>
                <w:kern w:val="0"/>
              </w:rPr>
              <w:t>当年度群众信访及时办理回复率达</w:t>
            </w:r>
            <w:r>
              <w:rPr>
                <w:rFonts w:ascii="宋体" w:hAnsi="宋体" w:cs="宋体"/>
                <w:kern w:val="0"/>
              </w:rPr>
              <w:t>100%</w:t>
            </w:r>
            <w:r>
              <w:rPr>
                <w:rFonts w:hint="eastAsia" w:ascii="宋体" w:hAnsi="宋体" w:cs="宋体"/>
                <w:kern w:val="0"/>
              </w:rPr>
              <w:t>，未发生超期（</w:t>
            </w:r>
            <w:r>
              <w:rPr>
                <w:rFonts w:ascii="宋体" w:hAnsi="宋体" w:cs="宋体"/>
                <w:kern w:val="0"/>
              </w:rPr>
              <w:t>1</w:t>
            </w:r>
            <w:r>
              <w:rPr>
                <w:rFonts w:hint="eastAsia" w:ascii="宋体" w:hAnsi="宋体" w:cs="宋体"/>
                <w:kern w:val="0"/>
              </w:rPr>
              <w:t>分）。</w:t>
            </w:r>
          </w:p>
        </w:tc>
        <w:tc>
          <w:tcPr>
            <w:tcW w:w="330" w:type="pct"/>
            <w:tcBorders>
              <w:top w:val="nil"/>
              <w:left w:val="nil"/>
              <w:bottom w:val="single" w:color="auto" w:sz="4" w:space="0"/>
              <w:right w:val="single" w:color="auto" w:sz="4" w:space="0"/>
            </w:tcBorders>
            <w:vAlign w:val="center"/>
          </w:tcPr>
          <w:p>
            <w:pPr>
              <w:widowControl/>
              <w:spacing w:line="320" w:lineRule="exact"/>
              <w:jc w:val="center"/>
              <w:rPr>
                <w:rFonts w:ascii="宋体" w:hAnsi="宋体" w:cs="宋体"/>
                <w:kern w:val="0"/>
              </w:rPr>
            </w:pPr>
            <w:r>
              <w:rPr>
                <w:rFonts w:hint="eastAsia" w:ascii="宋体" w:hAnsi="宋体" w:cs="宋体"/>
                <w:kern w:val="0"/>
              </w:rPr>
              <w:t>3</w:t>
            </w:r>
          </w:p>
        </w:tc>
      </w:tr>
      <w:tr>
        <w:tblPrEx>
          <w:tblCellMar>
            <w:top w:w="0" w:type="dxa"/>
            <w:left w:w="108" w:type="dxa"/>
            <w:bottom w:w="0" w:type="dxa"/>
            <w:right w:w="108" w:type="dxa"/>
          </w:tblCellMar>
        </w:tblPrEx>
        <w:trPr>
          <w:trHeight w:val="1401" w:hRule="atLeast"/>
        </w:trPr>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150" w:type="pct"/>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c>
          <w:tcPr>
            <w:tcW w:w="224" w:type="pct"/>
            <w:tcBorders>
              <w:top w:val="nil"/>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公众或服务对象满意度</w:t>
            </w:r>
          </w:p>
        </w:tc>
        <w:tc>
          <w:tcPr>
            <w:tcW w:w="153" w:type="pct"/>
            <w:tcBorders>
              <w:top w:val="nil"/>
              <w:left w:val="nil"/>
              <w:bottom w:val="single" w:color="auto" w:sz="4" w:space="0"/>
              <w:right w:val="single" w:color="auto" w:sz="4" w:space="0"/>
            </w:tcBorders>
            <w:vAlign w:val="center"/>
          </w:tcPr>
          <w:p>
            <w:pPr>
              <w:widowControl/>
              <w:spacing w:line="320" w:lineRule="exact"/>
              <w:jc w:val="center"/>
              <w:rPr>
                <w:rFonts w:ascii="宋体"/>
                <w:kern w:val="0"/>
              </w:rPr>
            </w:pPr>
            <w:r>
              <w:rPr>
                <w:rFonts w:ascii="宋体" w:hAnsi="宋体" w:cs="宋体"/>
                <w:kern w:val="0"/>
              </w:rPr>
              <w:t>6</w:t>
            </w:r>
          </w:p>
        </w:tc>
        <w:tc>
          <w:tcPr>
            <w:tcW w:w="705" w:type="pct"/>
            <w:tcBorders>
              <w:top w:val="nil"/>
              <w:left w:val="nil"/>
              <w:bottom w:val="single" w:color="auto" w:sz="4" w:space="0"/>
              <w:right w:val="single" w:color="auto" w:sz="4" w:space="0"/>
            </w:tcBorders>
            <w:vAlign w:val="center"/>
          </w:tcPr>
          <w:p>
            <w:pPr>
              <w:widowControl/>
              <w:spacing w:line="320" w:lineRule="exact"/>
              <w:rPr>
                <w:rFonts w:ascii="宋体"/>
                <w:kern w:val="0"/>
              </w:rPr>
            </w:pPr>
            <w:r>
              <w:rPr>
                <w:rFonts w:hint="eastAsia" w:ascii="宋体" w:hAnsi="宋体" w:cs="宋体"/>
                <w:kern w:val="0"/>
              </w:rPr>
              <w:t>反映社会公众或部门（单位）的服务对象对部门履职效果的满意度。</w:t>
            </w:r>
          </w:p>
        </w:tc>
        <w:tc>
          <w:tcPr>
            <w:tcW w:w="2984" w:type="pct"/>
            <w:tcBorders>
              <w:top w:val="nil"/>
              <w:left w:val="nil"/>
              <w:bottom w:val="single" w:color="auto" w:sz="4" w:space="0"/>
              <w:right w:val="single" w:color="auto" w:sz="4" w:space="0"/>
            </w:tcBorders>
            <w:vAlign w:val="center"/>
          </w:tcPr>
          <w:p>
            <w:pPr>
              <w:widowControl/>
              <w:spacing w:line="320" w:lineRule="exact"/>
              <w:ind w:firstLine="420"/>
              <w:rPr>
                <w:rFonts w:ascii="宋体"/>
                <w:kern w:val="0"/>
              </w:rPr>
            </w:pPr>
            <w:r>
              <w:rPr>
                <w:rFonts w:hint="eastAsia" w:ascii="宋体" w:hAnsi="宋体" w:cs="宋体"/>
                <w:kern w:val="0"/>
              </w:rPr>
              <w:t>社会公众或服务对象是指部门（单位）履行职责而影响到的部门、群体或个人，一般采取社会调查的方式。如难以单独开展满意度调查的，可参考市统计部门的数据、年度市直民主评议政风行风评价结果等数据，或者参考群众信访反馈的普遍性问题、本部门或权威第三方机构的开展满意度调查等进行分档计分。</w:t>
            </w:r>
          </w:p>
          <w:p>
            <w:pPr>
              <w:widowControl/>
              <w:spacing w:line="320" w:lineRule="exact"/>
              <w:ind w:firstLine="420"/>
              <w:rPr>
                <w:rFonts w:ascii="宋体"/>
                <w:kern w:val="0"/>
              </w:rPr>
            </w:pPr>
            <w:r>
              <w:rPr>
                <w:rFonts w:ascii="宋体" w:hAnsi="宋体" w:cs="宋体"/>
                <w:kern w:val="0"/>
              </w:rPr>
              <w:t>1.</w:t>
            </w:r>
            <w:r>
              <w:rPr>
                <w:rFonts w:hint="eastAsia" w:ascii="宋体" w:hAnsi="宋体" w:cs="宋体"/>
                <w:kern w:val="0"/>
              </w:rPr>
              <w:t>满意度≥</w:t>
            </w:r>
            <w:r>
              <w:rPr>
                <w:rFonts w:ascii="宋体" w:hAnsi="宋体" w:cs="宋体"/>
                <w:kern w:val="0"/>
              </w:rPr>
              <w:t>95%</w:t>
            </w:r>
            <w:r>
              <w:rPr>
                <w:rFonts w:hint="eastAsia" w:ascii="宋体" w:hAnsi="宋体" w:cs="宋体"/>
                <w:kern w:val="0"/>
              </w:rPr>
              <w:t>的，得</w:t>
            </w:r>
            <w:r>
              <w:rPr>
                <w:rFonts w:ascii="宋体" w:hAnsi="宋体" w:cs="宋体"/>
                <w:kern w:val="0"/>
              </w:rPr>
              <w:t>6</w:t>
            </w:r>
            <w:r>
              <w:rPr>
                <w:rFonts w:hint="eastAsia" w:ascii="宋体" w:hAnsi="宋体" w:cs="宋体"/>
                <w:kern w:val="0"/>
              </w:rPr>
              <w:t>分；</w:t>
            </w:r>
          </w:p>
          <w:p>
            <w:pPr>
              <w:widowControl/>
              <w:spacing w:line="320" w:lineRule="exact"/>
              <w:ind w:firstLine="420"/>
              <w:rPr>
                <w:rFonts w:ascii="宋体"/>
                <w:kern w:val="0"/>
              </w:rPr>
            </w:pPr>
            <w:r>
              <w:rPr>
                <w:rFonts w:ascii="宋体" w:cs="宋体"/>
                <w:kern w:val="0"/>
              </w:rPr>
              <w:t>2.</w:t>
            </w:r>
            <w:r>
              <w:rPr>
                <w:rFonts w:ascii="宋体" w:hAnsi="宋体" w:cs="宋体"/>
                <w:kern w:val="0"/>
              </w:rPr>
              <w:t xml:space="preserve"> 90%</w:t>
            </w:r>
            <w:r>
              <w:rPr>
                <w:rFonts w:hint="eastAsia" w:ascii="宋体" w:hAnsi="宋体" w:cs="宋体"/>
                <w:kern w:val="0"/>
              </w:rPr>
              <w:t>≤满意度＜</w:t>
            </w:r>
            <w:r>
              <w:rPr>
                <w:rFonts w:ascii="宋体" w:hAnsi="宋体" w:cs="宋体"/>
                <w:kern w:val="0"/>
              </w:rPr>
              <w:t>95%</w:t>
            </w:r>
            <w:r>
              <w:rPr>
                <w:rFonts w:hint="eastAsia" w:ascii="宋体" w:hAnsi="宋体" w:cs="宋体"/>
                <w:kern w:val="0"/>
              </w:rPr>
              <w:t>的，得</w:t>
            </w:r>
            <w:r>
              <w:rPr>
                <w:rFonts w:ascii="宋体" w:hAnsi="宋体" w:cs="宋体"/>
                <w:kern w:val="0"/>
              </w:rPr>
              <w:t>4</w:t>
            </w:r>
            <w:r>
              <w:rPr>
                <w:rFonts w:hint="eastAsia" w:ascii="宋体" w:hAnsi="宋体" w:cs="宋体"/>
                <w:kern w:val="0"/>
              </w:rPr>
              <w:t>分；</w:t>
            </w:r>
          </w:p>
          <w:p>
            <w:pPr>
              <w:widowControl/>
              <w:spacing w:line="320" w:lineRule="exact"/>
              <w:ind w:firstLine="420"/>
              <w:rPr>
                <w:rFonts w:ascii="宋体"/>
                <w:kern w:val="0"/>
              </w:rPr>
            </w:pPr>
            <w:r>
              <w:rPr>
                <w:rFonts w:ascii="宋体" w:hAnsi="宋体" w:cs="宋体"/>
                <w:kern w:val="0"/>
              </w:rPr>
              <w:t>3. 80%</w:t>
            </w:r>
            <w:r>
              <w:rPr>
                <w:rFonts w:hint="eastAsia" w:ascii="宋体" w:hAnsi="宋体" w:cs="宋体"/>
                <w:kern w:val="0"/>
              </w:rPr>
              <w:t>≤满意度＜</w:t>
            </w:r>
            <w:r>
              <w:rPr>
                <w:rFonts w:ascii="宋体" w:hAnsi="宋体" w:cs="宋体"/>
                <w:kern w:val="0"/>
              </w:rPr>
              <w:t>90%</w:t>
            </w:r>
            <w:r>
              <w:rPr>
                <w:rFonts w:hint="eastAsia" w:ascii="宋体" w:hAnsi="宋体" w:cs="宋体"/>
                <w:kern w:val="0"/>
              </w:rPr>
              <w:t>的，得</w:t>
            </w:r>
            <w:r>
              <w:rPr>
                <w:rFonts w:ascii="宋体" w:hAnsi="宋体" w:cs="宋体"/>
                <w:kern w:val="0"/>
              </w:rPr>
              <w:t>2</w:t>
            </w:r>
            <w:r>
              <w:rPr>
                <w:rFonts w:hint="eastAsia" w:ascii="宋体" w:hAnsi="宋体" w:cs="宋体"/>
                <w:kern w:val="0"/>
              </w:rPr>
              <w:t>分；</w:t>
            </w:r>
          </w:p>
          <w:p>
            <w:pPr>
              <w:widowControl/>
              <w:spacing w:line="320" w:lineRule="exact"/>
              <w:ind w:firstLine="420"/>
              <w:rPr>
                <w:rFonts w:ascii="宋体"/>
                <w:kern w:val="0"/>
              </w:rPr>
            </w:pPr>
            <w:r>
              <w:rPr>
                <w:rFonts w:ascii="宋体" w:hAnsi="宋体" w:cs="宋体"/>
                <w:kern w:val="0"/>
              </w:rPr>
              <w:t xml:space="preserve">4. </w:t>
            </w:r>
            <w:r>
              <w:rPr>
                <w:rFonts w:hint="eastAsia" w:ascii="宋体" w:hAnsi="宋体" w:cs="宋体"/>
                <w:kern w:val="0"/>
              </w:rPr>
              <w:t>满意度＜</w:t>
            </w:r>
            <w:r>
              <w:rPr>
                <w:rFonts w:ascii="宋体" w:hAnsi="宋体" w:cs="宋体"/>
                <w:kern w:val="0"/>
              </w:rPr>
              <w:t>80%</w:t>
            </w:r>
            <w:r>
              <w:rPr>
                <w:rFonts w:hint="eastAsia" w:ascii="宋体" w:hAnsi="宋体" w:cs="宋体"/>
                <w:kern w:val="0"/>
              </w:rPr>
              <w:t>的，得</w:t>
            </w:r>
            <w:r>
              <w:rPr>
                <w:rFonts w:ascii="宋体" w:hAnsi="宋体" w:cs="宋体"/>
                <w:kern w:val="0"/>
              </w:rPr>
              <w:t>1</w:t>
            </w:r>
            <w:r>
              <w:rPr>
                <w:rFonts w:hint="eastAsia" w:ascii="宋体" w:hAnsi="宋体" w:cs="宋体"/>
                <w:kern w:val="0"/>
              </w:rPr>
              <w:t>分。</w:t>
            </w:r>
          </w:p>
        </w:tc>
        <w:tc>
          <w:tcPr>
            <w:tcW w:w="330" w:type="pct"/>
            <w:tcBorders>
              <w:top w:val="nil"/>
              <w:left w:val="nil"/>
              <w:bottom w:val="single" w:color="auto" w:sz="4" w:space="0"/>
              <w:right w:val="single" w:color="auto" w:sz="4" w:space="0"/>
            </w:tcBorders>
            <w:vAlign w:val="center"/>
          </w:tcPr>
          <w:p>
            <w:pPr>
              <w:widowControl/>
              <w:spacing w:line="320" w:lineRule="exact"/>
              <w:jc w:val="center"/>
              <w:rPr>
                <w:rFonts w:ascii="宋体" w:hAnsi="宋体" w:cs="宋体"/>
                <w:kern w:val="0"/>
              </w:rPr>
            </w:pPr>
            <w:r>
              <w:rPr>
                <w:rFonts w:hint="eastAsia" w:ascii="宋体" w:hAnsi="宋体" w:cs="宋体"/>
                <w:kern w:val="0"/>
              </w:rPr>
              <w:t>6</w:t>
            </w:r>
          </w:p>
        </w:tc>
      </w:tr>
      <w:tr>
        <w:tblPrEx>
          <w:tblCellMar>
            <w:top w:w="0" w:type="dxa"/>
            <w:left w:w="108" w:type="dxa"/>
            <w:bottom w:w="0" w:type="dxa"/>
            <w:right w:w="108" w:type="dxa"/>
          </w:tblCellMar>
        </w:tblPrEx>
        <w:trPr>
          <w:trHeight w:val="516" w:hRule="atLeast"/>
        </w:trPr>
        <w:tc>
          <w:tcPr>
            <w:tcW w:w="4669" w:type="pct"/>
            <w:gridSpan w:val="8"/>
            <w:tcBorders>
              <w:top w:val="single" w:color="auto" w:sz="4" w:space="0"/>
              <w:left w:val="single" w:color="auto" w:sz="4" w:space="0"/>
              <w:bottom w:val="single" w:color="auto" w:sz="4" w:space="0"/>
              <w:right w:val="single" w:color="auto" w:sz="4" w:space="0"/>
            </w:tcBorders>
            <w:vAlign w:val="center"/>
          </w:tcPr>
          <w:p>
            <w:pPr>
              <w:widowControl/>
              <w:spacing w:line="320" w:lineRule="exact"/>
              <w:ind w:firstLine="420"/>
              <w:jc w:val="center"/>
              <w:rPr>
                <w:rFonts w:ascii="宋体" w:hAnsi="宋体" w:cs="宋体"/>
                <w:kern w:val="0"/>
              </w:rPr>
            </w:pPr>
            <w:r>
              <w:rPr>
                <w:rFonts w:hint="eastAsia" w:ascii="宋体" w:hAnsi="宋体" w:cs="宋体"/>
                <w:kern w:val="0"/>
              </w:rPr>
              <w:t>合计</w:t>
            </w:r>
          </w:p>
        </w:tc>
        <w:tc>
          <w:tcPr>
            <w:tcW w:w="330" w:type="pc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hAnsi="宋体" w:cs="宋体"/>
                <w:kern w:val="0"/>
              </w:rPr>
            </w:pPr>
            <w:r>
              <w:rPr>
                <w:rFonts w:hint="eastAsia" w:ascii="宋体" w:hAnsi="宋体" w:cs="宋体"/>
                <w:kern w:val="0"/>
              </w:rPr>
              <w:t>9</w:t>
            </w:r>
            <w:r>
              <w:rPr>
                <w:rFonts w:ascii="宋体" w:hAnsi="宋体" w:cs="宋体"/>
                <w:kern w:val="0"/>
              </w:rPr>
              <w:t>1.63</w:t>
            </w:r>
          </w:p>
        </w:tc>
      </w:tr>
    </w:tbl>
    <w:p>
      <w:pPr>
        <w:spacing w:line="320" w:lineRule="exact"/>
      </w:pPr>
      <w:r>
        <w:rPr>
          <w:rFonts w:hint="eastAsia" w:cs="宋体"/>
        </w:rPr>
        <w:t>附注：</w:t>
      </w:r>
      <w:r>
        <w:t>1.</w:t>
      </w:r>
      <w:r>
        <w:rPr>
          <w:rFonts w:hint="eastAsia" w:cs="宋体"/>
        </w:rPr>
        <w:t>《部门整体支出绩效评价共性指标体系框架》的适用对象是部门和单位；</w:t>
      </w:r>
    </w:p>
    <w:p>
      <w:pPr>
        <w:spacing w:line="320" w:lineRule="exact"/>
      </w:pPr>
      <w:r>
        <w:t xml:space="preserve">      2.</w:t>
      </w:r>
      <w:r>
        <w:rPr>
          <w:rFonts w:hint="eastAsia" w:cs="宋体"/>
        </w:rPr>
        <w:t>各项指标的分值是参考分值，各部门各单位在开展绩效评价时可结合不同评价对象的特点，赋予评价指标科学合理的权重分值，明确具体的评分标准。</w:t>
      </w:r>
    </w:p>
    <w:p>
      <w:pPr>
        <w:jc w:val="left"/>
        <w:rPr>
          <w:rFonts w:ascii="黑体" w:hAnsi="黑体" w:eastAsia="黑体"/>
          <w:sz w:val="32"/>
          <w:szCs w:val="32"/>
        </w:rPr>
      </w:pPr>
    </w:p>
    <w:sectPr>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angSong_GB2312">
    <w:altName w:val="仿宋_GB2312"/>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M0MjY4ODRlMTk5YWJiZWVmMWU0ZjdlZTBiZTZmMzMifQ=="/>
  </w:docVars>
  <w:rsids>
    <w:rsidRoot w:val="002C20C8"/>
    <w:rsid w:val="0001562F"/>
    <w:rsid w:val="00025E81"/>
    <w:rsid w:val="00026151"/>
    <w:rsid w:val="0006651D"/>
    <w:rsid w:val="00075131"/>
    <w:rsid w:val="000B3401"/>
    <w:rsid w:val="000B7E07"/>
    <w:rsid w:val="001553B0"/>
    <w:rsid w:val="001D098D"/>
    <w:rsid w:val="00200902"/>
    <w:rsid w:val="00212E52"/>
    <w:rsid w:val="002311D8"/>
    <w:rsid w:val="002C20C8"/>
    <w:rsid w:val="00310E27"/>
    <w:rsid w:val="0031757C"/>
    <w:rsid w:val="00320FEB"/>
    <w:rsid w:val="00340FDB"/>
    <w:rsid w:val="003A6669"/>
    <w:rsid w:val="00426168"/>
    <w:rsid w:val="00435131"/>
    <w:rsid w:val="004C13C1"/>
    <w:rsid w:val="00580C55"/>
    <w:rsid w:val="00594860"/>
    <w:rsid w:val="005F1938"/>
    <w:rsid w:val="00606C9B"/>
    <w:rsid w:val="00620CD8"/>
    <w:rsid w:val="00630464"/>
    <w:rsid w:val="0063223C"/>
    <w:rsid w:val="00634ABE"/>
    <w:rsid w:val="00667350"/>
    <w:rsid w:val="00667DF9"/>
    <w:rsid w:val="006812B4"/>
    <w:rsid w:val="006C2B9F"/>
    <w:rsid w:val="00706922"/>
    <w:rsid w:val="00731706"/>
    <w:rsid w:val="00746D77"/>
    <w:rsid w:val="00784E97"/>
    <w:rsid w:val="007B1822"/>
    <w:rsid w:val="007B24D7"/>
    <w:rsid w:val="007C7055"/>
    <w:rsid w:val="007D4EA2"/>
    <w:rsid w:val="008327ED"/>
    <w:rsid w:val="00881C77"/>
    <w:rsid w:val="008A3B1E"/>
    <w:rsid w:val="008C5A67"/>
    <w:rsid w:val="009128BF"/>
    <w:rsid w:val="009271F5"/>
    <w:rsid w:val="00963FB0"/>
    <w:rsid w:val="00975C7E"/>
    <w:rsid w:val="00984A40"/>
    <w:rsid w:val="00992437"/>
    <w:rsid w:val="009A3599"/>
    <w:rsid w:val="009B5A5A"/>
    <w:rsid w:val="009C2B58"/>
    <w:rsid w:val="009D2374"/>
    <w:rsid w:val="00A23768"/>
    <w:rsid w:val="00A50806"/>
    <w:rsid w:val="00A74341"/>
    <w:rsid w:val="00A90156"/>
    <w:rsid w:val="00AB73AC"/>
    <w:rsid w:val="00AC7A01"/>
    <w:rsid w:val="00AE5211"/>
    <w:rsid w:val="00B26CAD"/>
    <w:rsid w:val="00B329A2"/>
    <w:rsid w:val="00B676C3"/>
    <w:rsid w:val="00B768D4"/>
    <w:rsid w:val="00B92A03"/>
    <w:rsid w:val="00BA2F72"/>
    <w:rsid w:val="00C16DB8"/>
    <w:rsid w:val="00C35686"/>
    <w:rsid w:val="00C62C3A"/>
    <w:rsid w:val="00C7301D"/>
    <w:rsid w:val="00C7495D"/>
    <w:rsid w:val="00C773B4"/>
    <w:rsid w:val="00C95B88"/>
    <w:rsid w:val="00CA1A36"/>
    <w:rsid w:val="00CD0CFE"/>
    <w:rsid w:val="00D31C97"/>
    <w:rsid w:val="00D95655"/>
    <w:rsid w:val="00DD2732"/>
    <w:rsid w:val="00DD2985"/>
    <w:rsid w:val="00E11955"/>
    <w:rsid w:val="00E479B0"/>
    <w:rsid w:val="00E6659D"/>
    <w:rsid w:val="00EA4DB7"/>
    <w:rsid w:val="00EB515D"/>
    <w:rsid w:val="00F45B30"/>
    <w:rsid w:val="00FA0ACC"/>
    <w:rsid w:val="00FE3B4D"/>
    <w:rsid w:val="09E67D58"/>
    <w:rsid w:val="0FBA1B58"/>
    <w:rsid w:val="1AC31A2E"/>
    <w:rsid w:val="2A9E7582"/>
    <w:rsid w:val="367218FC"/>
    <w:rsid w:val="41F50329"/>
    <w:rsid w:val="472B1291"/>
    <w:rsid w:val="4DA4660E"/>
    <w:rsid w:val="59D6674A"/>
    <w:rsid w:val="739778EA"/>
    <w:rsid w:val="78A665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pPr>
    <w:rPr>
      <w:rFonts w:hint="eastAsia" w:ascii="宋体" w:hAnsi="宋体" w:eastAsia="宋体" w:cs="Times New Roman"/>
      <w:color w:val="000000"/>
      <w:sz w:val="24"/>
      <w:szCs w:val="22"/>
      <w:lang w:val="en-US" w:eastAsia="zh-CN" w:bidi="ar-SA"/>
    </w:rPr>
  </w:style>
  <w:style w:type="paragraph" w:styleId="3">
    <w:name w:val="annotation text"/>
    <w:basedOn w:val="1"/>
    <w:link w:val="13"/>
    <w:autoRedefine/>
    <w:semiHidden/>
    <w:unhideWhenUsed/>
    <w:qFormat/>
    <w:uiPriority w:val="99"/>
    <w:pPr>
      <w:jc w:val="left"/>
    </w:pPr>
    <w:rPr>
      <w:rFonts w:ascii="Times New Roman" w:hAnsi="Times New Roman" w:eastAsia="宋体" w:cs="Times New Roman"/>
      <w:szCs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unhideWhenUsed/>
    <w:qFormat/>
    <w:uiPriority w:val="99"/>
    <w:rPr>
      <w:sz w:val="21"/>
      <w:szCs w:val="21"/>
    </w:rPr>
  </w:style>
  <w:style w:type="paragraph" w:styleId="9">
    <w:name w:val="List Paragraph"/>
    <w:basedOn w:val="1"/>
    <w:autoRedefine/>
    <w:qFormat/>
    <w:uiPriority w:val="34"/>
    <w:pPr>
      <w:ind w:firstLine="420" w:firstLineChars="200"/>
    </w:pPr>
  </w:style>
  <w:style w:type="character" w:customStyle="1" w:styleId="10">
    <w:name w:val="页眉 字符"/>
    <w:basedOn w:val="7"/>
    <w:link w:val="5"/>
    <w:autoRedefine/>
    <w:qFormat/>
    <w:uiPriority w:val="99"/>
    <w:rPr>
      <w:sz w:val="18"/>
      <w:szCs w:val="18"/>
    </w:rPr>
  </w:style>
  <w:style w:type="character" w:customStyle="1" w:styleId="11">
    <w:name w:val="页脚 字符"/>
    <w:basedOn w:val="7"/>
    <w:link w:val="4"/>
    <w:autoRedefine/>
    <w:qFormat/>
    <w:uiPriority w:val="99"/>
    <w:rPr>
      <w:sz w:val="18"/>
      <w:szCs w:val="18"/>
    </w:rPr>
  </w:style>
  <w:style w:type="paragraph" w:styleId="12">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3">
    <w:name w:val="批注文字 字符"/>
    <w:basedOn w:val="7"/>
    <w:link w:val="3"/>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 Inc.</Company>
  <Pages>22</Pages>
  <Words>1624</Words>
  <Characters>9258</Characters>
  <Lines>77</Lines>
  <Paragraphs>21</Paragraphs>
  <TotalTime>20</TotalTime>
  <ScaleCrop>false</ScaleCrop>
  <LinksUpToDate>false</LinksUpToDate>
  <CharactersWithSpaces>10861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2021-07-05T04:56:00Z</dcterms:created>
  <dc:creator>JIANGYING LI</dc:creator>
  <cp:lastModifiedBy>Evonne</cp:lastModifiedBy>
  <cp:lastPrinted>2021-12-02T01:26:00Z</cp:lastPrinted>
  <dcterms:modified xsi:type="dcterms:W3CDTF">2024-02-28T03:05:27Z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EC96C6FE3B894DAABB6094C9A351715E_12</vt:lpwstr>
  </property>
</Properties>
</file>