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eastAsia="仿宋_GB2312" w:cs="Times New Roman"/>
          <w:sz w:val="32"/>
          <w:szCs w:val="32"/>
        </w:rPr>
      </w:pPr>
    </w:p>
    <w:p>
      <w:pPr>
        <w:jc w:val="right"/>
        <w:rPr>
          <w:rFonts w:eastAsia="仿宋_GB2312" w:cs="Times New Roman"/>
          <w:sz w:val="32"/>
          <w:szCs w:val="32"/>
        </w:rPr>
      </w:pPr>
    </w:p>
    <w:p>
      <w:pPr>
        <w:jc w:val="right"/>
        <w:rPr>
          <w:rFonts w:eastAsia="仿宋_GB2312" w:cs="Times New Roman"/>
          <w:sz w:val="32"/>
          <w:szCs w:val="32"/>
        </w:rPr>
      </w:pPr>
    </w:p>
    <w:p>
      <w:pPr>
        <w:jc w:val="right"/>
        <w:rPr>
          <w:rFonts w:eastAsia="仿宋_GB2312" w:cs="Times New Roman"/>
          <w:sz w:val="32"/>
          <w:szCs w:val="32"/>
        </w:rPr>
      </w:pPr>
      <w:r>
        <w:pict>
          <v:shape id="_x0000_s1026" o:spid="_x0000_s1026" o:spt="136" type="#_x0000_t136" style="position:absolute;left:0pt;margin-left:0.45pt;margin-top:203.75pt;height:56.7pt;width:439.35pt;mso-position-horizontal-relative:margin;mso-position-vertical-relative:page;z-index:251658240;mso-width-relative:page;mso-height-relative:page;" fillcolor="#FF0000" filled="t" stroked="t" coordsize="21600,21600" adj="10800">
            <v:path/>
            <v:fill on="t" color2="#FFFFFF" focussize="0,0"/>
            <v:stroke color="#FF0000"/>
            <v:imagedata o:title=""/>
            <o:lock v:ext="edit" aspectratio="f"/>
            <v:textpath on="t" fitshape="t" fitpath="t" trim="t" xscale="f" string="深圳市深汕特别合作区科技创新和经济服务局文件" style="font-family:方正小标宋简体;font-size:36pt;v-text-align:center;"/>
          </v:shape>
        </w:pict>
      </w:r>
    </w:p>
    <w:p>
      <w:pPr>
        <w:spacing w:line="276" w:lineRule="auto"/>
        <w:rPr>
          <w:rFonts w:ascii="仿宋_GB2312" w:hAnsi="仿宋" w:cs="Times New Roman"/>
        </w:rPr>
      </w:pPr>
    </w:p>
    <w:p>
      <w:pPr>
        <w:spacing w:line="276" w:lineRule="auto"/>
        <w:rPr>
          <w:rFonts w:ascii="仿宋_GB2312" w:hAnsi="仿宋" w:cs="Times New Roman"/>
        </w:rPr>
      </w:pPr>
    </w:p>
    <w:p>
      <w:pPr>
        <w:rPr>
          <w:rFonts w:ascii="仿宋_GB2312" w:hAnsi="仿宋" w:cs="Times New Roman"/>
        </w:rPr>
      </w:pPr>
      <w:r>
        <mc:AlternateContent>
          <mc:Choice Requires="wps">
            <w:drawing>
              <wp:anchor distT="0" distB="0" distL="114300" distR="114300" simplePos="0" relativeHeight="251660288" behindDoc="1" locked="0" layoutInCell="1" allowOverlap="1">
                <wp:simplePos x="0" y="0"/>
                <wp:positionH relativeFrom="margin">
                  <wp:align>center</wp:align>
                </wp:positionH>
                <wp:positionV relativeFrom="page">
                  <wp:posOffset>4320540</wp:posOffset>
                </wp:positionV>
                <wp:extent cx="5579745" cy="635"/>
                <wp:effectExtent l="0" t="12700" r="0" b="13970"/>
                <wp:wrapNone/>
                <wp:docPr id="1" name="直接连接符 1"/>
                <wp:cNvGraphicFramePr/>
                <a:graphic xmlns:a="http://schemas.openxmlformats.org/drawingml/2006/main">
                  <a:graphicData uri="http://schemas.microsoft.com/office/word/2010/wordprocessingShape">
                    <wps:wsp>
                      <wps:cNvCnPr>
                        <a:cxnSpLocks noChangeShapeType="true"/>
                      </wps:cNvCnPr>
                      <wps:spPr bwMode="auto">
                        <a:xfrm>
                          <a:off x="0" y="0"/>
                          <a:ext cx="5579745" cy="635"/>
                        </a:xfrm>
                        <a:prstGeom prst="line">
                          <a:avLst/>
                        </a:prstGeom>
                        <a:noFill/>
                        <a:ln w="25400">
                          <a:solidFill>
                            <a:srgbClr val="FF0000"/>
                          </a:solidFill>
                          <a:round/>
                        </a:ln>
                        <a:effectLst/>
                      </wps:spPr>
                      <wps:bodyPr/>
                    </wps:wsp>
                  </a:graphicData>
                </a:graphic>
              </wp:anchor>
            </w:drawing>
          </mc:Choice>
          <mc:Fallback>
            <w:pict>
              <v:line id="_x0000_s1026" o:spid="_x0000_s1026" o:spt="20" style="position:absolute;left:0pt;margin-top:340.2pt;height:0.05pt;width:439.35pt;mso-position-horizontal:center;mso-position-horizontal-relative:margin;mso-position-vertical-relative:page;z-index:-251656192;mso-width-relative:page;mso-height-relative:page;" filled="f" stroked="t" coordsize="21600,21600" o:gfxdata="UEsFBgAAAAAAAAAAAAAAAAAAAAAAAFBLAwQKAAAAAACHTuJAAAAAAAAAAAAAAAAABAAAAGRycy9Q&#10;SwMEFAAAAAgAh07iQL4ZvaXXAAAACAEAAA8AAABkcnMvZG93bnJldi54bWxNj81OwzAQhO9IfQdr&#10;K3GjdhBNozROD0UgwY2Wgnpz400c1V5HsfvD22O4wHF2VjPfVKurs+yMY+g9SchmAhhS43VPnYT3&#10;7dNdASxERVpZTyjhCwOs6slNpUrtL/SG503sWAqhUCoJJsah5Dw0Bp0KMz8gJa/1o1MxybHjelSX&#10;FO4svxci5071lBqMGnBtsDluTk7Cywfu9G7/+jj3Vmft53MeWpNLeTvNxBJYxGv8e4Yf/IQOdWI6&#10;+BPpwKyENCRKyAvxACzZxaJYADv8XubA64r/H1B/A1BLAwQUAAAACACHTuJATvBEw9UBAABwAwAA&#10;DgAAAGRycy9lMm9Eb2MueG1srVPNbhMxEL4j8Q6W72Q3odvCKpseUoVLgUhtH8CxvVkL22PZTnbz&#10;ErwAEjc4ceydt6E8RsfODxRuiD2Mdv6+mflmPL0cjCZb6YMC29DxqKREWg5C2XVD724XL15REiKz&#10;gmmwsqE7Gejl7Pmzae9qOYEOtJCeIIgNde8a2sXo6qIIvJOGhRE4adHZgjcsourXhfCsR3Sji0lZ&#10;nhc9eOE8cBkCWq/2TjrL+G0reXzftkFGohuKvcUsfZarJIvZlNVrz1yn+KEN9g9dGKYsFj1BXbHI&#10;yMarv6CM4h4CtHHEwRTQtorLPANOMy7/mOamY07mWZCc4E40hf8Hy99tl54ogbujxDKDK3r4dP/j&#10;45ef3z+jfPj2lYwTSb0LNcbO7dKnMflgb9w18A+BWJh3zK5lbvZ25xAh+o1MScWTrKQEh9VW/VsQ&#10;GMY2ETJpQ+tNQkU6yJB3szvtRg6RcDRW1cXri7OKEo6+85dVxmf1MdX5EN9IMCT9NFQrm4hjNdte&#10;h5haYfUxJJktLJTWefnakr6hk+qsLHNGAK1E8qa44NerufZky/B+FosSv0PhJ2EeNlbsq2ib8mQ+&#10;vUPp4+B7Flcgdkt/ZAfXmps7nGC6m9/1zOGvhzJ7B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L4Z&#10;vaXXAAAACAEAAA8AAAAAAAAAAQAgAAAAOAAAAGRycy9kb3ducmV2LnhtbFBLAQIUABQAAAAIAIdO&#10;4kBO8ETD1QEAAHADAAAOAAAAAAAAAAEAIAAAADwBAABkcnMvZTJvRG9jLnhtbFBLBQYAAAAABgAG&#10;AFkBAACDBQAAAAA=&#10;">
                <v:fill on="f" focussize="0,0"/>
                <v:stroke weight="2pt" color="#FF0000" joinstyle="round"/>
                <v:imagedata o:title=""/>
                <o:lock v:ext="edit" aspectratio="f"/>
              </v:line>
            </w:pict>
          </mc:Fallback>
        </mc:AlternateContent>
      </w:r>
    </w:p>
    <w:p>
      <w:pPr>
        <w:spacing w:line="560" w:lineRule="exact"/>
        <w:rPr>
          <w:rFonts w:ascii="仿宋_GB2312" w:hAnsi="仿宋_GB2312" w:eastAsia="仿宋_GB2312" w:cs="仿宋_GB2312"/>
          <w:sz w:val="32"/>
          <w:szCs w:val="32"/>
        </w:rPr>
      </w:pPr>
    </w:p>
    <w:p>
      <w:pPr>
        <w:spacing w:line="560" w:lineRule="exact"/>
        <w:jc w:val="center"/>
        <w:rPr>
          <w:rFonts w:hint="default" w:ascii="仿宋" w:hAnsi="仿宋" w:eastAsia="仿宋_GB2312"/>
          <w:sz w:val="32"/>
          <w:szCs w:val="32"/>
          <w:lang w:val="en-US" w:eastAsia="zh-CN"/>
        </w:rPr>
      </w:pPr>
      <w:r>
        <w:rPr>
          <w:rFonts w:hint="eastAsia" w:ascii="仿宋_GB2312" w:hAnsi="仿宋_GB2312" w:eastAsia="仿宋_GB2312" w:cs="仿宋_GB2312"/>
          <w:sz w:val="32"/>
          <w:szCs w:val="32"/>
        </w:rPr>
        <w:t>深汕科创经服</w:t>
      </w:r>
      <w:r>
        <w:rPr>
          <w:rFonts w:hint="eastAsia" w:ascii="仿宋_GB2312" w:hAnsi="仿宋_GB2312" w:eastAsia="仿宋_GB2312" w:cs="仿宋_GB2312"/>
          <w:sz w:val="32"/>
          <w:szCs w:val="32"/>
          <w:lang w:eastAsia="zh-CN"/>
        </w:rPr>
        <w:t>规</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2023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号</w:t>
      </w:r>
    </w:p>
    <w:p>
      <w:pPr>
        <w:spacing w:line="560" w:lineRule="exact"/>
        <w:rPr>
          <w:rFonts w:ascii="仿宋_GB2312" w:hAnsi="仿宋_GB2312" w:eastAsia="仿宋_GB2312" w:cs="仿宋_GB2312"/>
          <w:sz w:val="32"/>
          <w:szCs w:val="32"/>
        </w:rPr>
      </w:pPr>
    </w:p>
    <w:p>
      <w:pPr>
        <w:spacing w:line="560" w:lineRule="exact"/>
        <w:jc w:val="both"/>
        <w:rPr>
          <w:rFonts w:ascii="方正小标宋简体" w:eastAsia="方正小标宋简体" w:cstheme="minorHAnsi"/>
          <w:sz w:val="44"/>
          <w:szCs w:val="44"/>
        </w:rPr>
      </w:pPr>
    </w:p>
    <w:p>
      <w:pPr>
        <w:keepNext w:val="0"/>
        <w:keepLines w:val="0"/>
        <w:pageBreakBefore w:val="0"/>
        <w:kinsoku/>
        <w:wordWrap/>
        <w:overflowPunct/>
        <w:topLinePunct w:val="0"/>
        <w:autoSpaceDE/>
        <w:autoSpaceDN/>
        <w:bidi w:val="0"/>
        <w:adjustRightInd/>
        <w:snapToGrid/>
        <w:spacing w:line="560" w:lineRule="exact"/>
        <w:ind w:left="-141" w:leftChars="-67"/>
        <w:jc w:val="center"/>
        <w:textAlignment w:val="auto"/>
        <w:rPr>
          <w:rFonts w:hint="eastAsia" w:ascii="Nimbus Roman" w:hAnsi="Nimbus Roman" w:eastAsia="方正小标宋简体"/>
          <w:spacing w:val="0"/>
          <w:sz w:val="44"/>
          <w:szCs w:val="44"/>
        </w:rPr>
      </w:pPr>
      <w:r>
        <w:rPr>
          <w:rFonts w:hint="eastAsia" w:ascii="Nimbus Roman" w:hAnsi="Nimbus Roman" w:eastAsia="方正小标宋简体"/>
          <w:spacing w:val="0"/>
          <w:sz w:val="44"/>
          <w:szCs w:val="44"/>
        </w:rPr>
        <w:t>深圳市深汕特别合作区科技创新和经济服务局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关于印发《深圳市深汕特别合作区支持商贸</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服务业高质量发展若干措施》的通知</w:t>
      </w:r>
    </w:p>
    <w:p>
      <w:pPr>
        <w:keepNext w:val="0"/>
        <w:keepLines w:val="0"/>
        <w:pageBreakBefore w:val="0"/>
        <w:kinsoku/>
        <w:wordWrap/>
        <w:overflowPunct/>
        <w:topLinePunct w:val="0"/>
        <w:autoSpaceDE/>
        <w:autoSpaceDN/>
        <w:bidi w:val="0"/>
        <w:adjustRightInd/>
        <w:snapToGrid/>
        <w:spacing w:line="560" w:lineRule="exact"/>
        <w:ind w:left="0" w:leftChars="0" w:firstLine="0" w:firstLineChars="0"/>
        <w:jc w:val="left"/>
        <w:textAlignment w:val="auto"/>
        <w:rPr>
          <w:rFonts w:hint="eastAsia" w:ascii="仿宋_GB2312" w:hAnsi="仿宋_GB2312" w:eastAsia="仿宋_GB2312" w:cs="仿宋_GB2312"/>
          <w:color w:val="000000"/>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left="0" w:leftChars="0" w:firstLine="0" w:firstLineChars="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各有关单位：</w:t>
      </w:r>
    </w:p>
    <w:p>
      <w:pPr>
        <w:keepNext w:val="0"/>
        <w:keepLines w:val="0"/>
        <w:pageBreakBefore w:val="0"/>
        <w:widowControl/>
        <w:tabs>
          <w:tab w:val="left" w:pos="7655"/>
          <w:tab w:val="left" w:pos="8222"/>
        </w:tabs>
        <w:kinsoku/>
        <w:wordWrap/>
        <w:overflowPunct/>
        <w:topLinePunct w:val="0"/>
        <w:autoSpaceDE/>
        <w:autoSpaceDN/>
        <w:bidi w:val="0"/>
        <w:adjustRightInd/>
        <w:snapToGrid/>
        <w:spacing w:line="560" w:lineRule="exact"/>
        <w:ind w:firstLine="800" w:firstLineChars="250"/>
        <w:jc w:val="left"/>
        <w:textAlignment w:val="auto"/>
        <w:rPr>
          <w:rFonts w:ascii="仿宋" w:hAnsi="仿宋" w:eastAsia="仿宋" w:cs="Times New Roman"/>
          <w:color w:val="000000"/>
          <w:kern w:val="0"/>
          <w:sz w:val="32"/>
          <w:szCs w:val="32"/>
        </w:rPr>
      </w:pPr>
      <w:r>
        <w:rPr>
          <w:rFonts w:hint="eastAsia" w:ascii="仿宋_GB2312" w:hAnsi="仿宋_GB2312" w:eastAsia="仿宋_GB2312" w:cs="仿宋_GB2312"/>
          <w:color w:val="000000"/>
          <w:kern w:val="2"/>
          <w:sz w:val="32"/>
          <w:szCs w:val="32"/>
          <w:lang w:val="en-US" w:eastAsia="zh-CN" w:bidi="ar-SA"/>
        </w:rPr>
        <w:t>《深圳市深汕特别合作区支持商贸服务业高质量发展若干措施》已经区党工委、管委会同意，现印发给你们，请认真</w:t>
      </w:r>
      <w:r>
        <w:rPr>
          <w:rFonts w:hint="eastAsia" w:ascii="仿宋_GB2312" w:hAnsi="仿宋_GB2312" w:eastAsia="仿宋_GB2312" w:cs="仿宋_GB2312"/>
          <w:color w:val="000000"/>
          <w:sz w:val="32"/>
          <w:szCs w:val="32"/>
          <w:lang w:val="en-US" w:eastAsia="zh-CN"/>
        </w:rPr>
        <w:t>贯彻落实。</w:t>
      </w:r>
    </w:p>
    <w:p>
      <w:pPr>
        <w:keepNext/>
        <w:keepLines/>
        <w:pageBreakBefore w:val="0"/>
        <w:widowControl w:val="0"/>
        <w:kinsoku/>
        <w:wordWrap/>
        <w:overflowPunct/>
        <w:topLinePunct w:val="0"/>
        <w:autoSpaceDE/>
        <w:autoSpaceDN/>
        <w:bidi w:val="0"/>
        <w:adjustRightInd/>
        <w:snapToGrid w:val="0"/>
        <w:spacing w:before="0" w:after="0" w:line="560" w:lineRule="exact"/>
        <w:ind w:firstLine="0" w:firstLineChars="0"/>
        <w:jc w:val="both"/>
        <w:textAlignment w:val="auto"/>
        <w:outlineLvl w:val="0"/>
        <w:rPr>
          <w:rFonts w:ascii="仿宋" w:hAnsi="仿宋" w:eastAsia="仿宋" w:cs="Times New Roman"/>
          <w:bCs/>
          <w:color w:val="1A1A1A"/>
          <w:kern w:val="2"/>
          <w:sz w:val="32"/>
          <w:szCs w:val="21"/>
          <w:lang w:val="en-US" w:eastAsia="zh-CN" w:bidi="ar-SA"/>
        </w:rPr>
      </w:pPr>
      <w:bookmarkStart w:id="159" w:name="_GoBack"/>
      <w:bookmarkEnd w:id="159"/>
    </w:p>
    <w:p>
      <w:pPr>
        <w:pageBreakBefore w:val="0"/>
        <w:kinsoku/>
        <w:wordWrap/>
        <w:overflowPunct/>
        <w:topLinePunct w:val="0"/>
        <w:autoSpaceDE/>
        <w:autoSpaceDN/>
        <w:bidi w:val="0"/>
        <w:adjustRightInd/>
        <w:snapToGrid w:val="0"/>
        <w:spacing w:line="560" w:lineRule="exact"/>
        <w:ind w:firstLine="640" w:firstLineChars="200"/>
        <w:textAlignment w:val="auto"/>
        <w:rPr>
          <w:rFonts w:ascii="仿宋_GB2312" w:hAnsi="仿宋_GB2312" w:eastAsia="仿宋_GB2312" w:cs="Times New Roman"/>
          <w:color w:val="000000"/>
          <w:sz w:val="32"/>
        </w:rPr>
      </w:pPr>
    </w:p>
    <w:p>
      <w:pPr>
        <w:keepNext w:val="0"/>
        <w:keepLines w:val="0"/>
        <w:pageBreakBefore w:val="0"/>
        <w:kinsoku/>
        <w:wordWrap/>
        <w:overflowPunct/>
        <w:topLinePunct w:val="0"/>
        <w:autoSpaceDE/>
        <w:autoSpaceDN/>
        <w:bidi w:val="0"/>
        <w:adjustRightInd/>
        <w:snapToGrid/>
        <w:spacing w:line="560" w:lineRule="exact"/>
        <w:ind w:firstLine="640" w:firstLineChars="200"/>
        <w:jc w:val="center"/>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     深圳市深汕特别合作区科技创新和经济服务局</w:t>
      </w:r>
    </w:p>
    <w:p>
      <w:pPr>
        <w:keepNext w:val="0"/>
        <w:keepLines w:val="0"/>
        <w:pageBreakBefore w:val="0"/>
        <w:widowControl/>
        <w:shd w:val="clear" w:color="auto" w:fill="auto"/>
        <w:kinsoku/>
        <w:wordWrap/>
        <w:overflowPunct/>
        <w:topLinePunct w:val="0"/>
        <w:autoSpaceDE/>
        <w:autoSpaceDN/>
        <w:bidi w:val="0"/>
        <w:adjustRightInd/>
        <w:snapToGrid w:val="0"/>
        <w:spacing w:line="560" w:lineRule="exact"/>
        <w:ind w:firstLine="640" w:firstLineChars="200"/>
        <w:jc w:val="center"/>
        <w:textAlignment w:val="auto"/>
        <w:rPr>
          <w:rFonts w:hint="eastAsia" w:ascii="仿宋_GB2312" w:hAnsi="仿宋" w:eastAsia="仿宋_GB2312" w:cs="Times New Roman"/>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        2023年12月2</w:t>
      </w:r>
      <w:r>
        <w:rPr>
          <w:rFonts w:hint="default" w:ascii="仿宋_GB2312" w:hAnsi="仿宋_GB2312" w:eastAsia="仿宋_GB2312" w:cs="仿宋_GB2312"/>
          <w:color w:val="000000"/>
          <w:sz w:val="32"/>
          <w:szCs w:val="32"/>
          <w:lang w:val="en" w:eastAsia="zh-CN"/>
        </w:rPr>
        <w:t>1</w:t>
      </w:r>
      <w:r>
        <w:rPr>
          <w:rFonts w:hint="eastAsia" w:ascii="仿宋_GB2312" w:hAnsi="仿宋_GB2312" w:eastAsia="仿宋_GB2312" w:cs="仿宋_GB2312"/>
          <w:color w:val="000000"/>
          <w:sz w:val="32"/>
          <w:szCs w:val="32"/>
          <w:lang w:val="en-US" w:eastAsia="zh-CN"/>
        </w:rPr>
        <w:t>日</w:t>
      </w:r>
    </w:p>
    <w:p>
      <w:pPr>
        <w:pageBreakBefore w:val="0"/>
        <w:kinsoku/>
        <w:wordWrap/>
        <w:overflowPunct/>
        <w:topLinePunct w:val="0"/>
        <w:autoSpaceDE/>
        <w:autoSpaceDN/>
        <w:bidi w:val="0"/>
        <w:adjustRightInd/>
        <w:spacing w:line="560" w:lineRule="exact"/>
        <w:textAlignment w:val="auto"/>
        <w:rPr>
          <w:rFonts w:hint="default" w:ascii="方正小标宋简体" w:hAnsi="方正小标宋简体" w:eastAsia="方正小标宋简体" w:cs="方正小标宋简体"/>
          <w:color w:val="000000"/>
          <w:sz w:val="44"/>
          <w:szCs w:val="44"/>
          <w:lang w:val="en"/>
        </w:rPr>
      </w:pPr>
      <w:r>
        <w:rPr>
          <w:rFonts w:hint="default" w:ascii="方正小标宋简体" w:hAnsi="方正小标宋简体" w:eastAsia="方正小标宋简体" w:cs="方正小标宋简体"/>
          <w:color w:val="000000"/>
          <w:sz w:val="44"/>
          <w:szCs w:val="44"/>
          <w:lang w:val="en"/>
        </w:rPr>
        <w:br w:type="page"/>
      </w:r>
    </w:p>
    <w:p>
      <w:pPr>
        <w:keepNext w:val="0"/>
        <w:keepLines w:val="0"/>
        <w:pageBreakBefore w:val="0"/>
        <w:widowControl w:val="0"/>
        <w:kinsoku/>
        <w:wordWrap/>
        <w:overflowPunct/>
        <w:topLinePunct w:val="0"/>
        <w:autoSpaceDE/>
        <w:autoSpaceDN/>
        <w:bidi w:val="0"/>
        <w:adjustRightInd/>
        <w:snapToGrid w:val="0"/>
        <w:spacing w:line="560" w:lineRule="exact"/>
        <w:ind w:firstLine="0" w:firstLineChars="0"/>
        <w:jc w:val="center"/>
        <w:textAlignment w:val="auto"/>
        <w:rPr>
          <w:rFonts w:hint="eastAsia" w:ascii="方正小标宋简体" w:hAnsi="方正小标宋简体" w:eastAsia="方正小标宋简体" w:cs="方正小标宋简体"/>
          <w:color w:val="000000"/>
          <w:sz w:val="44"/>
          <w:szCs w:val="44"/>
        </w:rPr>
      </w:pPr>
      <w:r>
        <w:rPr>
          <w:rFonts w:hint="default" w:ascii="方正小标宋简体" w:hAnsi="方正小标宋简体" w:eastAsia="方正小标宋简体" w:cs="方正小标宋简体"/>
          <w:color w:val="000000"/>
          <w:sz w:val="44"/>
          <w:szCs w:val="44"/>
          <w:lang w:val="en"/>
        </w:rPr>
        <w:t>深</w:t>
      </w:r>
      <w:r>
        <w:rPr>
          <w:rFonts w:hint="eastAsia" w:ascii="方正小标宋简体" w:hAnsi="方正小标宋简体" w:eastAsia="方正小标宋简体" w:cs="方正小标宋简体"/>
          <w:color w:val="000000"/>
          <w:sz w:val="44"/>
          <w:szCs w:val="44"/>
        </w:rPr>
        <w:t>圳市深汕特别合作区支持商贸服务业</w:t>
      </w:r>
    </w:p>
    <w:p>
      <w:pPr>
        <w:keepNext/>
        <w:keepLines/>
        <w:pageBreakBefore w:val="0"/>
        <w:widowControl w:val="0"/>
        <w:kinsoku/>
        <w:wordWrap/>
        <w:overflowPunct/>
        <w:topLinePunct w:val="0"/>
        <w:autoSpaceDE/>
        <w:autoSpaceDN/>
        <w:bidi w:val="0"/>
        <w:adjustRightInd/>
        <w:snapToGrid w:val="0"/>
        <w:spacing w:line="560" w:lineRule="exact"/>
        <w:ind w:left="0" w:leftChars="0" w:firstLine="0" w:firstLineChars="0"/>
        <w:jc w:val="center"/>
        <w:textAlignment w:val="auto"/>
        <w:outlineLvl w:val="0"/>
        <w:rPr>
          <w:rFonts w:hint="eastAsia" w:ascii="方正小标宋简体" w:hAnsi="方正小标宋简体" w:eastAsia="方正小标宋简体" w:cs="方正小标宋简体"/>
          <w:bCs/>
          <w:color w:val="1A1A1A"/>
          <w:kern w:val="2"/>
          <w:sz w:val="44"/>
          <w:szCs w:val="44"/>
          <w:lang w:val="en-US" w:eastAsia="zh-CN" w:bidi="ar-SA"/>
        </w:rPr>
      </w:pPr>
      <w:bookmarkStart w:id="0" w:name="_Toc160430430_WPSOffice_Level1"/>
      <w:bookmarkStart w:id="1" w:name="_Toc2087469299"/>
      <w:bookmarkStart w:id="2" w:name="_Toc2067532706"/>
      <w:bookmarkStart w:id="3" w:name="_Toc2015485081"/>
      <w:bookmarkStart w:id="4" w:name="_Toc1197634493"/>
      <w:bookmarkStart w:id="5" w:name="_Toc1403016407"/>
      <w:bookmarkStart w:id="6" w:name="_Toc1532654061_WPSOffice_Level1"/>
      <w:bookmarkStart w:id="7" w:name="_Toc1838529405"/>
      <w:bookmarkStart w:id="8" w:name="_Toc638540800"/>
      <w:bookmarkStart w:id="9" w:name="_Toc2020623157"/>
      <w:bookmarkStart w:id="10" w:name="_Toc2732"/>
      <w:bookmarkStart w:id="11" w:name="_Toc2046376623"/>
      <w:bookmarkStart w:id="12" w:name="_Toc818329705"/>
      <w:bookmarkStart w:id="13" w:name="_Toc520881784"/>
      <w:bookmarkStart w:id="14" w:name="_Toc26350"/>
      <w:bookmarkStart w:id="15" w:name="_Toc19410"/>
      <w:bookmarkStart w:id="16" w:name="_Toc1907125245"/>
      <w:r>
        <w:rPr>
          <w:rFonts w:hint="eastAsia" w:ascii="方正小标宋简体" w:hAnsi="方正小标宋简体" w:eastAsia="方正小标宋简体" w:cs="方正小标宋简体"/>
          <w:bCs/>
          <w:color w:val="1A1A1A"/>
          <w:kern w:val="2"/>
          <w:sz w:val="44"/>
          <w:szCs w:val="44"/>
          <w:lang w:val="en-US" w:eastAsia="zh-CN" w:bidi="ar-SA"/>
        </w:rPr>
        <w:t>高质量发展若干措施</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pPr>
        <w:keepNext/>
        <w:keepLines/>
        <w:pageBreakBefore w:val="0"/>
        <w:widowControl w:val="0"/>
        <w:kinsoku/>
        <w:wordWrap/>
        <w:overflowPunct/>
        <w:topLinePunct w:val="0"/>
        <w:autoSpaceDE/>
        <w:autoSpaceDN/>
        <w:bidi w:val="0"/>
        <w:adjustRightInd/>
        <w:snapToGrid w:val="0"/>
        <w:spacing w:before="0" w:after="0" w:line="560" w:lineRule="exact"/>
        <w:ind w:firstLine="0" w:firstLineChars="0"/>
        <w:jc w:val="center"/>
        <w:textAlignment w:val="auto"/>
        <w:outlineLvl w:val="0"/>
        <w:rPr>
          <w:rFonts w:ascii="黑体" w:hAnsi="黑体" w:eastAsia="黑体" w:cs="Times New Roman"/>
          <w:bCs/>
          <w:color w:val="1A1A1A"/>
          <w:kern w:val="2"/>
          <w:sz w:val="32"/>
          <w:szCs w:val="36"/>
          <w:lang w:val="en-US" w:eastAsia="zh-CN" w:bidi="ar-SA"/>
        </w:rPr>
      </w:pPr>
      <w:bookmarkStart w:id="17" w:name="_Toc215469487"/>
      <w:bookmarkStart w:id="18" w:name="_Toc1169668262"/>
      <w:bookmarkStart w:id="19" w:name="_Toc1401793501"/>
      <w:bookmarkStart w:id="20" w:name="_Toc1509763291_WPSOffice_Level1"/>
      <w:bookmarkStart w:id="21" w:name="_Toc945191048"/>
      <w:bookmarkStart w:id="22" w:name="_Toc410763036"/>
      <w:bookmarkStart w:id="23" w:name="_Toc347183217"/>
      <w:bookmarkStart w:id="24" w:name="_Toc6672"/>
    </w:p>
    <w:p>
      <w:pPr>
        <w:keepNext/>
        <w:keepLines/>
        <w:pageBreakBefore w:val="0"/>
        <w:widowControl w:val="0"/>
        <w:kinsoku/>
        <w:wordWrap/>
        <w:overflowPunct/>
        <w:topLinePunct w:val="0"/>
        <w:autoSpaceDE/>
        <w:autoSpaceDN/>
        <w:bidi w:val="0"/>
        <w:adjustRightInd/>
        <w:snapToGrid w:val="0"/>
        <w:spacing w:before="0" w:after="0" w:line="560" w:lineRule="exact"/>
        <w:ind w:firstLine="0" w:firstLineChars="0"/>
        <w:jc w:val="center"/>
        <w:textAlignment w:val="auto"/>
        <w:outlineLvl w:val="0"/>
        <w:rPr>
          <w:rFonts w:ascii="黑体" w:hAnsi="黑体" w:eastAsia="黑体" w:cs="Times New Roman"/>
          <w:bCs/>
          <w:color w:val="1A1A1A"/>
          <w:kern w:val="2"/>
          <w:sz w:val="32"/>
          <w:szCs w:val="36"/>
          <w:lang w:val="en-US" w:eastAsia="zh-CN" w:bidi="ar-SA"/>
        </w:rPr>
      </w:pPr>
      <w:r>
        <w:rPr>
          <w:rFonts w:ascii="黑体" w:hAnsi="黑体" w:eastAsia="黑体" w:cs="Times New Roman"/>
          <w:bCs/>
          <w:color w:val="1A1A1A"/>
          <w:kern w:val="2"/>
          <w:sz w:val="32"/>
          <w:szCs w:val="36"/>
          <w:lang w:val="en-US" w:eastAsia="zh-CN" w:bidi="ar-SA"/>
        </w:rPr>
        <w:t>第一章</w:t>
      </w:r>
      <w:r>
        <w:rPr>
          <w:rFonts w:hint="eastAsia" w:ascii="黑体" w:hAnsi="黑体" w:eastAsia="黑体" w:cs="Times New Roman"/>
          <w:bCs/>
          <w:color w:val="1A1A1A"/>
          <w:kern w:val="2"/>
          <w:sz w:val="32"/>
          <w:szCs w:val="36"/>
          <w:lang w:val="en-US" w:eastAsia="zh-CN" w:bidi="ar-SA"/>
        </w:rPr>
        <w:t xml:space="preserve">  </w:t>
      </w:r>
      <w:r>
        <w:rPr>
          <w:rFonts w:ascii="黑体" w:hAnsi="黑体" w:eastAsia="黑体" w:cs="Times New Roman"/>
          <w:bCs/>
          <w:color w:val="1A1A1A"/>
          <w:kern w:val="2"/>
          <w:sz w:val="32"/>
          <w:szCs w:val="36"/>
          <w:lang w:val="en-US" w:eastAsia="zh-CN" w:bidi="ar-SA"/>
        </w:rPr>
        <w:t>总则</w:t>
      </w:r>
      <w:bookmarkEnd w:id="17"/>
      <w:bookmarkEnd w:id="18"/>
      <w:bookmarkEnd w:id="19"/>
      <w:bookmarkEnd w:id="20"/>
      <w:bookmarkEnd w:id="21"/>
      <w:bookmarkEnd w:id="22"/>
      <w:bookmarkEnd w:id="23"/>
      <w:bookmarkEnd w:id="24"/>
    </w:p>
    <w:p>
      <w:pPr>
        <w:pageBreakBefore w:val="0"/>
        <w:widowControl w:val="0"/>
        <w:kinsoku/>
        <w:wordWrap/>
        <w:overflowPunct/>
        <w:topLinePunct w:val="0"/>
        <w:autoSpaceDE/>
        <w:autoSpaceDN/>
        <w:bidi w:val="0"/>
        <w:adjustRightInd/>
        <w:snapToGrid w:val="0"/>
        <w:spacing w:line="560" w:lineRule="exact"/>
        <w:ind w:firstLine="642" w:firstLineChars="200"/>
        <w:textAlignment w:val="auto"/>
        <w:outlineLvl w:val="9"/>
        <w:rPr>
          <w:rFonts w:ascii="仿宋_GB2312" w:hAnsi="仿宋_GB2312" w:eastAsia="仿宋_GB2312" w:cs="Times New Roman"/>
          <w:b/>
          <w:bCs/>
          <w:color w:val="auto"/>
          <w:sz w:val="32"/>
          <w:highlight w:val="none"/>
        </w:rPr>
      </w:pPr>
    </w:p>
    <w:p>
      <w:pPr>
        <w:pageBreakBefore w:val="0"/>
        <w:widowControl w:val="0"/>
        <w:kinsoku/>
        <w:wordWrap/>
        <w:overflowPunct/>
        <w:topLinePunct w:val="0"/>
        <w:autoSpaceDE/>
        <w:autoSpaceDN/>
        <w:bidi w:val="0"/>
        <w:adjustRightInd/>
        <w:snapToGrid w:val="0"/>
        <w:spacing w:line="560" w:lineRule="exact"/>
        <w:ind w:firstLine="640" w:firstLineChars="200"/>
        <w:textAlignment w:val="auto"/>
        <w:outlineLvl w:val="9"/>
        <w:rPr>
          <w:rFonts w:ascii="仿宋_GB2312" w:hAnsi="仿宋_GB2312" w:eastAsia="仿宋_GB2312" w:cs="Times New Roman"/>
          <w:color w:val="auto"/>
          <w:sz w:val="32"/>
          <w:highlight w:val="none"/>
        </w:rPr>
      </w:pPr>
      <w:r>
        <w:rPr>
          <w:rFonts w:hint="eastAsia" w:ascii="CESI黑体-GB13000" w:hAnsi="CESI黑体-GB13000" w:eastAsia="CESI黑体-GB13000" w:cs="CESI黑体-GB13000"/>
          <w:b w:val="0"/>
          <w:bCs w:val="0"/>
          <w:color w:val="auto"/>
          <w:sz w:val="32"/>
          <w:highlight w:val="none"/>
        </w:rPr>
        <w:t>第一条</w:t>
      </w:r>
      <w:r>
        <w:rPr>
          <w:rFonts w:hint="default" w:ascii="仿宋_GB2312" w:hAnsi="仿宋_GB2312" w:eastAsia="仿宋_GB2312" w:cs="Times New Roman"/>
          <w:b/>
          <w:bCs/>
          <w:color w:val="auto"/>
          <w:sz w:val="32"/>
          <w:highlight w:val="none"/>
          <w:lang w:val="en"/>
        </w:rPr>
        <w:t xml:space="preserve">  </w:t>
      </w:r>
      <w:r>
        <w:rPr>
          <w:rFonts w:ascii="仿宋_GB2312" w:hAnsi="仿宋_GB2312" w:eastAsia="仿宋_GB2312" w:cs="Times New Roman"/>
          <w:color w:val="auto"/>
          <w:sz w:val="32"/>
          <w:highlight w:val="none"/>
        </w:rPr>
        <w:t>为推动</w:t>
      </w:r>
      <w:r>
        <w:rPr>
          <w:rFonts w:hint="default" w:ascii="仿宋_GB2312" w:hAnsi="仿宋_GB2312" w:eastAsia="仿宋_GB2312" w:cs="Times New Roman"/>
          <w:color w:val="auto"/>
          <w:sz w:val="32"/>
          <w:highlight w:val="none"/>
          <w:lang w:eastAsia="zh-CN"/>
        </w:rPr>
        <w:t>深圳市</w:t>
      </w:r>
      <w:r>
        <w:rPr>
          <w:rFonts w:ascii="仿宋_GB2312" w:hAnsi="仿宋_GB2312" w:eastAsia="仿宋_GB2312" w:cs="Times New Roman"/>
          <w:color w:val="auto"/>
          <w:sz w:val="32"/>
          <w:highlight w:val="none"/>
        </w:rPr>
        <w:t>深汕特别合作区（以下简称</w:t>
      </w:r>
      <w:r>
        <w:rPr>
          <w:rFonts w:hint="default" w:ascii="仿宋_GB2312" w:hAnsi="仿宋_GB2312" w:eastAsia="仿宋_GB2312" w:cs="Times New Roman"/>
          <w:b w:val="0"/>
          <w:bCs w:val="0"/>
          <w:i w:val="0"/>
          <w:iCs w:val="0"/>
          <w:color w:val="000000"/>
          <w:spacing w:val="0"/>
          <w:w w:val="100"/>
          <w:sz w:val="32"/>
          <w:szCs w:val="22"/>
          <w:highlight w:val="none"/>
          <w:vertAlign w:val="baseline"/>
          <w:lang w:eastAsia="zh-CN"/>
        </w:rPr>
        <w:t>“</w:t>
      </w:r>
      <w:r>
        <w:rPr>
          <w:rFonts w:hint="default" w:ascii="仿宋_GB2312" w:hAnsi="仿宋_GB2312" w:eastAsia="仿宋_GB2312" w:cs="Times New Roman"/>
          <w:b w:val="0"/>
          <w:bCs w:val="0"/>
          <w:i w:val="0"/>
          <w:iCs w:val="0"/>
          <w:color w:val="000000"/>
          <w:spacing w:val="0"/>
          <w:w w:val="100"/>
          <w:sz w:val="32"/>
          <w:szCs w:val="22"/>
          <w:highlight w:val="none"/>
          <w:vertAlign w:val="baseline"/>
          <w:lang w:val="en" w:eastAsia="zh-CN"/>
        </w:rPr>
        <w:t>合作区</w:t>
      </w:r>
      <w:r>
        <w:rPr>
          <w:rFonts w:hint="default" w:ascii="仿宋_GB2312" w:hAnsi="仿宋_GB2312" w:eastAsia="仿宋_GB2312" w:cs="Times New Roman"/>
          <w:b w:val="0"/>
          <w:bCs w:val="0"/>
          <w:i w:val="0"/>
          <w:iCs w:val="0"/>
          <w:color w:val="000000"/>
          <w:spacing w:val="0"/>
          <w:w w:val="100"/>
          <w:sz w:val="32"/>
          <w:szCs w:val="22"/>
          <w:highlight w:val="none"/>
          <w:vertAlign w:val="baseline"/>
          <w:lang w:eastAsia="zh-CN"/>
        </w:rPr>
        <w:t>”</w:t>
      </w:r>
      <w:r>
        <w:rPr>
          <w:rFonts w:ascii="仿宋_GB2312" w:hAnsi="仿宋_GB2312" w:eastAsia="仿宋_GB2312" w:cs="Times New Roman"/>
          <w:color w:val="auto"/>
          <w:sz w:val="32"/>
          <w:highlight w:val="none"/>
        </w:rPr>
        <w:t>）商贸服务业</w:t>
      </w:r>
      <w:r>
        <w:rPr>
          <w:rFonts w:hint="default" w:ascii="仿宋_GB2312" w:hAnsi="仿宋_GB2312" w:eastAsia="仿宋_GB2312" w:cs="Times New Roman"/>
          <w:color w:val="auto"/>
          <w:sz w:val="32"/>
          <w:highlight w:val="none"/>
          <w:lang w:eastAsia="zh-CN"/>
        </w:rPr>
        <w:t>高质量</w:t>
      </w:r>
      <w:r>
        <w:rPr>
          <w:rFonts w:ascii="仿宋_GB2312" w:hAnsi="仿宋_GB2312" w:eastAsia="仿宋_GB2312" w:cs="Times New Roman"/>
          <w:color w:val="auto"/>
          <w:sz w:val="32"/>
          <w:highlight w:val="none"/>
        </w:rPr>
        <w:t>发展，</w:t>
      </w:r>
      <w:r>
        <w:rPr>
          <w:rFonts w:hint="default" w:ascii="仿宋_GB2312" w:hAnsi="仿宋_GB2312" w:eastAsia="仿宋_GB2312" w:cs="Times New Roman"/>
          <w:color w:val="auto"/>
          <w:sz w:val="32"/>
          <w:highlight w:val="none"/>
          <w:lang w:eastAsia="zh-CN"/>
        </w:rPr>
        <w:t>引导各类资源优化配置</w:t>
      </w:r>
      <w:r>
        <w:rPr>
          <w:rFonts w:ascii="仿宋_GB2312" w:hAnsi="仿宋_GB2312" w:eastAsia="仿宋_GB2312" w:cs="Times New Roman"/>
          <w:color w:val="auto"/>
          <w:sz w:val="32"/>
          <w:highlight w:val="none"/>
        </w:rPr>
        <w:t>，</w:t>
      </w:r>
      <w:r>
        <w:rPr>
          <w:rFonts w:hint="default" w:ascii="仿宋_GB2312" w:hAnsi="仿宋_GB2312" w:eastAsia="仿宋_GB2312" w:cs="Times New Roman"/>
          <w:color w:val="auto"/>
          <w:sz w:val="32"/>
          <w:highlight w:val="none"/>
          <w:lang w:eastAsia="zh-CN"/>
        </w:rPr>
        <w:t>促进</w:t>
      </w:r>
      <w:r>
        <w:rPr>
          <w:rFonts w:ascii="仿宋_GB2312" w:hAnsi="仿宋_GB2312" w:eastAsia="仿宋_GB2312" w:cs="Times New Roman"/>
          <w:color w:val="auto"/>
          <w:sz w:val="32"/>
          <w:highlight w:val="none"/>
        </w:rPr>
        <w:t>全区</w:t>
      </w:r>
      <w:r>
        <w:rPr>
          <w:rFonts w:ascii="仿宋_GB2312" w:hAnsi="仿宋_GB2312" w:eastAsia="仿宋_GB2312" w:cs="Times New Roman"/>
          <w:b w:val="0"/>
          <w:i w:val="0"/>
          <w:strike w:val="0"/>
          <w:color w:val="auto"/>
          <w:spacing w:val="0"/>
          <w:sz w:val="32"/>
          <w:highlight w:val="none"/>
          <w:u w:val="none"/>
        </w:rPr>
        <w:t>经济持续、健康、稳定发展，根据</w:t>
      </w:r>
      <w:r>
        <w:rPr>
          <w:rFonts w:hint="eastAsia" w:ascii="仿宋_GB2312" w:hAnsi="仿宋_GB2312" w:eastAsia="仿宋_GB2312" w:cs="Times New Roman"/>
          <w:i w:val="0"/>
          <w:caps w:val="0"/>
          <w:color w:val="000000"/>
          <w:spacing w:val="0"/>
          <w:kern w:val="2"/>
          <w:sz w:val="32"/>
          <w:szCs w:val="22"/>
          <w:highlight w:val="none"/>
          <w:shd w:val="clear" w:color="auto" w:fill="auto"/>
          <w:lang w:val="en-US" w:eastAsia="zh-CN" w:bidi="ar"/>
        </w:rPr>
        <w:t>《广东省商务厅关于印发广东省加快发展流通促进商业消费政策措施的通知》（粤商务建函〔2020〕141号）</w:t>
      </w:r>
      <w:r>
        <w:rPr>
          <w:rFonts w:hint="default" w:ascii="仿宋_GB2312" w:hAnsi="仿宋_GB2312" w:eastAsia="仿宋_GB2312" w:cs="Times New Roman"/>
          <w:i w:val="0"/>
          <w:caps w:val="0"/>
          <w:color w:val="auto"/>
          <w:spacing w:val="0"/>
          <w:kern w:val="2"/>
          <w:sz w:val="32"/>
          <w:szCs w:val="22"/>
          <w:highlight w:val="none"/>
          <w:shd w:val="clear" w:color="auto" w:fill="auto"/>
          <w:lang w:val="en-US" w:eastAsia="zh-CN" w:bidi="ar"/>
        </w:rPr>
        <w:t>、</w:t>
      </w:r>
      <w:r>
        <w:rPr>
          <w:rFonts w:hint="eastAsia" w:ascii="仿宋_GB2312" w:hAnsi="仿宋_GB2312" w:eastAsia="仿宋_GB2312" w:cs="Times New Roman"/>
          <w:b w:val="0"/>
          <w:i w:val="0"/>
          <w:strike w:val="0"/>
          <w:color w:val="auto"/>
          <w:spacing w:val="0"/>
          <w:sz w:val="32"/>
          <w:highlight w:val="none"/>
          <w:u w:val="none"/>
        </w:rPr>
        <w:t>《深圳市关于加快建设国际消费中心城市的若干措施》</w:t>
      </w:r>
      <w:r>
        <w:rPr>
          <w:rFonts w:hint="default" w:ascii="仿宋_GB2312" w:hAnsi="仿宋_GB2312" w:eastAsia="仿宋_GB2312" w:cs="Times New Roman"/>
          <w:b w:val="0"/>
          <w:i w:val="0"/>
          <w:strike w:val="0"/>
          <w:color w:val="auto"/>
          <w:spacing w:val="0"/>
          <w:sz w:val="32"/>
          <w:highlight w:val="none"/>
          <w:u w:val="none"/>
          <w:lang w:eastAsia="zh-CN"/>
        </w:rPr>
        <w:t>（深商务规〔2022〕</w:t>
      </w:r>
      <w:r>
        <w:rPr>
          <w:rFonts w:hint="eastAsia" w:ascii="仿宋_GB2312" w:hAnsi="仿宋_GB2312" w:eastAsia="仿宋_GB2312" w:cs="Times New Roman"/>
          <w:b w:val="0"/>
          <w:i w:val="0"/>
          <w:strike w:val="0"/>
          <w:color w:val="auto"/>
          <w:spacing w:val="0"/>
          <w:sz w:val="32"/>
          <w:highlight w:val="none"/>
          <w:u w:val="none"/>
          <w:lang w:val="en-US" w:eastAsia="zh-CN"/>
        </w:rPr>
        <w:t>2</w:t>
      </w:r>
      <w:r>
        <w:rPr>
          <w:rFonts w:hint="default" w:ascii="仿宋_GB2312" w:hAnsi="仿宋_GB2312" w:eastAsia="仿宋_GB2312" w:cs="Times New Roman"/>
          <w:b w:val="0"/>
          <w:i w:val="0"/>
          <w:strike w:val="0"/>
          <w:color w:val="auto"/>
          <w:spacing w:val="0"/>
          <w:sz w:val="32"/>
          <w:highlight w:val="none"/>
          <w:u w:val="none"/>
          <w:lang w:eastAsia="zh-CN"/>
        </w:rPr>
        <w:t>号）</w:t>
      </w:r>
      <w:r>
        <w:rPr>
          <w:rFonts w:ascii="仿宋_GB2312" w:hAnsi="仿宋_GB2312" w:eastAsia="仿宋_GB2312" w:cs="Times New Roman"/>
          <w:color w:val="auto"/>
          <w:sz w:val="32"/>
          <w:highlight w:val="none"/>
        </w:rPr>
        <w:t>等文件精神，结合</w:t>
      </w:r>
      <w:r>
        <w:rPr>
          <w:rFonts w:hint="default" w:ascii="仿宋_GB2312" w:hAnsi="仿宋_GB2312" w:eastAsia="仿宋_GB2312" w:cs="Times New Roman"/>
          <w:b w:val="0"/>
          <w:bCs w:val="0"/>
          <w:i w:val="0"/>
          <w:iCs w:val="0"/>
          <w:color w:val="000000"/>
          <w:spacing w:val="0"/>
          <w:w w:val="100"/>
          <w:sz w:val="32"/>
          <w:szCs w:val="22"/>
          <w:highlight w:val="none"/>
          <w:vertAlign w:val="baseline"/>
          <w:lang w:val="en" w:eastAsia="zh-CN"/>
        </w:rPr>
        <w:t>合作区</w:t>
      </w:r>
      <w:r>
        <w:rPr>
          <w:rFonts w:ascii="仿宋_GB2312" w:hAnsi="仿宋_GB2312" w:eastAsia="仿宋_GB2312" w:cs="Times New Roman"/>
          <w:color w:val="auto"/>
          <w:sz w:val="32"/>
          <w:highlight w:val="none"/>
        </w:rPr>
        <w:t>实际</w:t>
      </w:r>
      <w:r>
        <w:rPr>
          <w:rFonts w:hint="default" w:ascii="仿宋_GB2312" w:hAnsi="仿宋_GB2312" w:eastAsia="仿宋_GB2312" w:cs="Times New Roman"/>
          <w:color w:val="auto"/>
          <w:sz w:val="32"/>
          <w:highlight w:val="none"/>
          <w:lang w:eastAsia="zh-CN"/>
        </w:rPr>
        <w:t>制定</w:t>
      </w:r>
      <w:r>
        <w:rPr>
          <w:rFonts w:ascii="仿宋_GB2312" w:hAnsi="仿宋_GB2312" w:eastAsia="仿宋_GB2312" w:cs="Times New Roman"/>
          <w:color w:val="auto"/>
          <w:sz w:val="32"/>
          <w:highlight w:val="none"/>
        </w:rPr>
        <w:t>本措施。</w:t>
      </w:r>
    </w:p>
    <w:p>
      <w:pPr>
        <w:pageBreakBefore w:val="0"/>
        <w:widowControl w:val="0"/>
        <w:kinsoku/>
        <w:wordWrap/>
        <w:overflowPunct/>
        <w:topLinePunct w:val="0"/>
        <w:autoSpaceDE/>
        <w:autoSpaceDN/>
        <w:bidi w:val="0"/>
        <w:adjustRightInd/>
        <w:snapToGrid w:val="0"/>
        <w:spacing w:line="560" w:lineRule="exact"/>
        <w:ind w:left="0" w:right="147" w:firstLine="640" w:firstLineChars="200"/>
        <w:jc w:val="both"/>
        <w:textAlignment w:val="auto"/>
        <w:outlineLvl w:val="0"/>
        <w:rPr>
          <w:rFonts w:hint="default" w:ascii="仿宋_GB2312" w:hAnsi="仿宋_GB2312" w:eastAsia="仿宋_GB2312" w:cs="Times New Roman"/>
          <w:color w:val="auto"/>
          <w:kern w:val="2"/>
          <w:sz w:val="32"/>
          <w:szCs w:val="22"/>
          <w:highlight w:val="none"/>
          <w:lang w:val="en-US" w:eastAsia="zh-CN" w:bidi="ar-SA"/>
        </w:rPr>
      </w:pPr>
      <w:r>
        <w:rPr>
          <w:rFonts w:hint="eastAsia" w:ascii="CESI黑体-GB13000" w:hAnsi="CESI黑体-GB13000" w:eastAsia="CESI黑体-GB13000" w:cs="CESI黑体-GB13000"/>
          <w:b w:val="0"/>
          <w:bCs w:val="0"/>
          <w:color w:val="auto"/>
          <w:kern w:val="2"/>
          <w:sz w:val="32"/>
          <w:szCs w:val="22"/>
          <w:highlight w:val="none"/>
          <w:lang w:val="en-US" w:eastAsia="zh-CN" w:bidi="ar-SA"/>
        </w:rPr>
        <w:t>第二条</w:t>
      </w:r>
      <w:r>
        <w:rPr>
          <w:rFonts w:hint="default" w:ascii="仿宋_GB2312" w:hAnsi="仿宋_GB2312" w:eastAsia="仿宋_GB2312" w:cs="Times New Roman"/>
          <w:b/>
          <w:bCs/>
          <w:i w:val="0"/>
          <w:strike w:val="0"/>
          <w:color w:val="auto"/>
          <w:spacing w:val="0"/>
          <w:kern w:val="2"/>
          <w:sz w:val="32"/>
          <w:szCs w:val="22"/>
          <w:highlight w:val="none"/>
          <w:u w:val="none"/>
          <w:lang w:val="en" w:eastAsia="zh-CN" w:bidi="ar-SA"/>
        </w:rPr>
        <w:t xml:space="preserve">  </w:t>
      </w:r>
      <w:r>
        <w:rPr>
          <w:rFonts w:hint="eastAsia" w:ascii="仿宋_GB2312" w:hAnsi="仿宋_GB2312" w:eastAsia="仿宋_GB2312" w:cs="Times New Roman"/>
          <w:b w:val="0"/>
          <w:i w:val="0"/>
          <w:caps w:val="0"/>
          <w:color w:val="000000"/>
          <w:spacing w:val="0"/>
          <w:kern w:val="2"/>
          <w:sz w:val="32"/>
          <w:szCs w:val="22"/>
          <w:highlight w:val="none"/>
          <w:shd w:val="clear" w:color="auto" w:fill="auto"/>
          <w:lang w:val="en-US" w:eastAsia="zh-CN" w:bidi="ar"/>
        </w:rPr>
        <w:t>本</w:t>
      </w:r>
      <w:r>
        <w:rPr>
          <w:rFonts w:hint="default" w:ascii="仿宋_GB2312" w:hAnsi="仿宋_GB2312" w:eastAsia="仿宋_GB2312" w:cs="Times New Roman"/>
          <w:b w:val="0"/>
          <w:i w:val="0"/>
          <w:caps w:val="0"/>
          <w:color w:val="auto"/>
          <w:spacing w:val="0"/>
          <w:kern w:val="2"/>
          <w:sz w:val="32"/>
          <w:szCs w:val="22"/>
          <w:highlight w:val="none"/>
          <w:shd w:val="clear" w:color="auto" w:fill="FFFFFF"/>
          <w:lang w:val="en-US" w:eastAsia="zh-CN" w:bidi="ar-SA"/>
        </w:rPr>
        <w:t>措施适用于商贸业（批发业、零售业、住宿业、餐饮业）、服务业（租赁和商务服务业，居民服务、修理和其他服务业）、商业综合体运营主体、商业运营实体</w:t>
      </w:r>
      <w:r>
        <w:rPr>
          <w:rFonts w:hint="eastAsia" w:ascii="仿宋_GB2312" w:hAnsi="仿宋_GB2312" w:eastAsia="仿宋_GB2312" w:cs="Times New Roman"/>
          <w:b w:val="0"/>
          <w:i w:val="0"/>
          <w:caps w:val="0"/>
          <w:color w:val="auto"/>
          <w:spacing w:val="0"/>
          <w:kern w:val="2"/>
          <w:sz w:val="32"/>
          <w:szCs w:val="22"/>
          <w:highlight w:val="none"/>
          <w:shd w:val="clear" w:color="auto" w:fill="FFFFFF"/>
          <w:lang w:val="en-US" w:eastAsia="zh-CN" w:bidi="ar-SA"/>
        </w:rPr>
        <w:t>、低空航运领域</w:t>
      </w:r>
      <w:r>
        <w:rPr>
          <w:rFonts w:hint="default" w:ascii="仿宋_GB2312" w:hAnsi="仿宋_GB2312" w:eastAsia="仿宋_GB2312" w:cs="Times New Roman"/>
          <w:b w:val="0"/>
          <w:i w:val="0"/>
          <w:caps w:val="0"/>
          <w:color w:val="auto"/>
          <w:spacing w:val="0"/>
          <w:kern w:val="2"/>
          <w:sz w:val="32"/>
          <w:szCs w:val="22"/>
          <w:highlight w:val="none"/>
          <w:shd w:val="clear" w:color="auto" w:fill="FFFFFF"/>
          <w:lang w:val="en-US" w:eastAsia="zh-CN" w:bidi="ar-SA"/>
        </w:rPr>
        <w:t>的相关企业、组织、机构等单位。</w:t>
      </w:r>
      <w:bookmarkStart w:id="25" w:name="_Toc28559"/>
    </w:p>
    <w:p>
      <w:pPr>
        <w:pageBreakBefore w:val="0"/>
        <w:widowControl w:val="0"/>
        <w:kinsoku/>
        <w:wordWrap/>
        <w:overflowPunct/>
        <w:topLinePunct w:val="0"/>
        <w:autoSpaceDE/>
        <w:autoSpaceDN/>
        <w:bidi w:val="0"/>
        <w:adjustRightInd/>
        <w:snapToGrid w:val="0"/>
        <w:spacing w:line="560" w:lineRule="exact"/>
        <w:ind w:left="150" w:right="150" w:firstLine="640" w:firstLineChars="200"/>
        <w:jc w:val="both"/>
        <w:textAlignment w:val="auto"/>
        <w:outlineLvl w:val="0"/>
        <w:rPr>
          <w:rFonts w:hint="default" w:ascii="仿宋_GB2312" w:hAnsi="仿宋_GB2312" w:eastAsia="仿宋_GB2312" w:cs="Times New Roman"/>
          <w:color w:val="auto"/>
          <w:kern w:val="2"/>
          <w:sz w:val="32"/>
          <w:szCs w:val="22"/>
          <w:highlight w:val="none"/>
          <w:lang w:val="en-US" w:eastAsia="zh-CN" w:bidi="ar-SA"/>
        </w:rPr>
      </w:pPr>
    </w:p>
    <w:p>
      <w:pPr>
        <w:keepNext/>
        <w:keepLines/>
        <w:pageBreakBefore w:val="0"/>
        <w:widowControl w:val="0"/>
        <w:kinsoku/>
        <w:wordWrap/>
        <w:overflowPunct/>
        <w:topLinePunct w:val="0"/>
        <w:autoSpaceDE/>
        <w:autoSpaceDN/>
        <w:bidi w:val="0"/>
        <w:adjustRightInd/>
        <w:snapToGrid w:val="0"/>
        <w:spacing w:before="0" w:after="0" w:line="560" w:lineRule="exact"/>
        <w:ind w:firstLine="0" w:firstLineChars="0"/>
        <w:jc w:val="center"/>
        <w:textAlignment w:val="auto"/>
        <w:outlineLvl w:val="0"/>
        <w:rPr>
          <w:rFonts w:ascii="黑体" w:hAnsi="黑体" w:eastAsia="黑体" w:cs="Times New Roman"/>
          <w:bCs/>
          <w:color w:val="1A1A1A"/>
          <w:kern w:val="2"/>
          <w:sz w:val="32"/>
          <w:szCs w:val="36"/>
          <w:lang w:val="en-US" w:eastAsia="zh-CN" w:bidi="ar-SA"/>
        </w:rPr>
      </w:pPr>
      <w:bookmarkStart w:id="26" w:name="_Toc1166992111"/>
      <w:bookmarkStart w:id="27" w:name="_Toc2095541366_WPSOffice_Level1"/>
      <w:bookmarkStart w:id="28" w:name="_Toc1828864547"/>
      <w:bookmarkStart w:id="29" w:name="_Toc844307"/>
      <w:bookmarkStart w:id="30" w:name="_Toc24554296"/>
      <w:bookmarkStart w:id="31" w:name="_Toc1553078963"/>
      <w:bookmarkStart w:id="32" w:name="_Toc742341790"/>
      <w:r>
        <w:rPr>
          <w:rFonts w:ascii="黑体" w:hAnsi="黑体" w:eastAsia="黑体" w:cs="Times New Roman"/>
          <w:bCs/>
          <w:color w:val="1A1A1A"/>
          <w:kern w:val="2"/>
          <w:sz w:val="32"/>
          <w:szCs w:val="36"/>
          <w:lang w:val="en-US" w:eastAsia="zh-CN" w:bidi="ar-SA"/>
        </w:rPr>
        <w:t>第二章  支持商贸服务业企业发展</w:t>
      </w:r>
      <w:bookmarkEnd w:id="25"/>
      <w:bookmarkEnd w:id="26"/>
      <w:bookmarkEnd w:id="27"/>
      <w:bookmarkEnd w:id="28"/>
      <w:bookmarkEnd w:id="29"/>
      <w:bookmarkEnd w:id="30"/>
      <w:bookmarkEnd w:id="31"/>
      <w:bookmarkEnd w:id="32"/>
    </w:p>
    <w:p>
      <w:pPr>
        <w:keepNext/>
        <w:keepLines/>
        <w:pageBreakBefore w:val="0"/>
        <w:widowControl w:val="0"/>
        <w:kinsoku/>
        <w:wordWrap/>
        <w:overflowPunct/>
        <w:topLinePunct w:val="0"/>
        <w:autoSpaceDE/>
        <w:autoSpaceDN/>
        <w:bidi w:val="0"/>
        <w:adjustRightInd/>
        <w:snapToGrid w:val="0"/>
        <w:spacing w:beforeAutospacing="0" w:afterAutospacing="0" w:line="560" w:lineRule="exact"/>
        <w:ind w:firstLine="642" w:firstLineChars="200"/>
        <w:jc w:val="both"/>
        <w:textAlignment w:val="auto"/>
        <w:outlineLvl w:val="1"/>
        <w:rPr>
          <w:rFonts w:ascii="仿宋_GB2312" w:hAnsi="仿宋_GB2312" w:eastAsia="仿宋_GB2312" w:cs="Times New Roman"/>
          <w:b/>
          <w:bCs/>
          <w:color w:val="000000"/>
          <w:kern w:val="2"/>
          <w:sz w:val="32"/>
          <w:szCs w:val="22"/>
          <w:lang w:val="en-US" w:eastAsia="zh-CN" w:bidi="ar-SA"/>
        </w:rPr>
      </w:pPr>
      <w:bookmarkStart w:id="33" w:name="_Toc1100949545"/>
      <w:bookmarkStart w:id="34" w:name="_Toc23168"/>
      <w:bookmarkStart w:id="35" w:name="_Toc2116497205"/>
      <w:bookmarkStart w:id="36" w:name="_Toc473470237"/>
      <w:bookmarkStart w:id="37" w:name="_Toc674095165"/>
      <w:bookmarkStart w:id="38" w:name="_Toc71105254"/>
      <w:bookmarkStart w:id="39" w:name="_Toc928243964"/>
    </w:p>
    <w:p>
      <w:pPr>
        <w:keepNext/>
        <w:keepLines/>
        <w:pageBreakBefore w:val="0"/>
        <w:widowControl w:val="0"/>
        <w:kinsoku/>
        <w:wordWrap/>
        <w:overflowPunct/>
        <w:topLinePunct w:val="0"/>
        <w:autoSpaceDE/>
        <w:autoSpaceDN/>
        <w:bidi w:val="0"/>
        <w:adjustRightInd/>
        <w:snapToGrid w:val="0"/>
        <w:spacing w:beforeAutospacing="0" w:afterAutospacing="0" w:line="560" w:lineRule="exact"/>
        <w:ind w:firstLine="640" w:firstLineChars="200"/>
        <w:jc w:val="both"/>
        <w:textAlignment w:val="auto"/>
        <w:outlineLvl w:val="1"/>
        <w:rPr>
          <w:rFonts w:ascii="仿宋_GB2312" w:hAnsi="仿宋_GB2312" w:eastAsia="仿宋_GB2312" w:cs="Times New Roman"/>
          <w:color w:val="000000"/>
          <w:kern w:val="2"/>
          <w:sz w:val="32"/>
          <w:szCs w:val="22"/>
          <w:lang w:val="en-US" w:eastAsia="zh-CN" w:bidi="ar-SA"/>
        </w:rPr>
      </w:pPr>
      <w:r>
        <w:rPr>
          <w:rFonts w:hint="eastAsia" w:ascii="CESI黑体-GB13000" w:hAnsi="CESI黑体-GB13000" w:eastAsia="CESI黑体-GB13000" w:cs="CESI黑体-GB13000"/>
          <w:b w:val="0"/>
          <w:bCs w:val="0"/>
          <w:color w:val="auto"/>
          <w:kern w:val="2"/>
          <w:sz w:val="32"/>
          <w:szCs w:val="22"/>
          <w:highlight w:val="none"/>
          <w:lang w:val="en-US" w:eastAsia="zh-CN" w:bidi="ar-SA"/>
        </w:rPr>
        <w:t>第三条</w:t>
      </w:r>
      <w:r>
        <w:rPr>
          <w:rFonts w:hint="default" w:ascii="仿宋_GB2312" w:hAnsi="仿宋_GB2312" w:eastAsia="仿宋_GB2312" w:cs="Times New Roman"/>
          <w:color w:val="000000"/>
          <w:kern w:val="2"/>
          <w:sz w:val="32"/>
          <w:szCs w:val="22"/>
          <w:lang w:val="en" w:eastAsia="zh-CN" w:bidi="ar-SA"/>
        </w:rPr>
        <w:t xml:space="preserve">  </w:t>
      </w:r>
      <w:r>
        <w:rPr>
          <w:rFonts w:hint="eastAsia" w:ascii="仿宋_GB2312" w:hAnsi="仿宋_GB2312" w:eastAsia="仿宋_GB2312" w:cs="Times New Roman"/>
          <w:color w:val="000000"/>
          <w:kern w:val="2"/>
          <w:sz w:val="32"/>
          <w:szCs w:val="22"/>
          <w:lang w:val="en-US" w:eastAsia="zh-CN" w:bidi="ar-SA"/>
        </w:rPr>
        <w:t>支持企业升规纳统</w:t>
      </w:r>
      <w:bookmarkEnd w:id="33"/>
      <w:bookmarkEnd w:id="34"/>
      <w:bookmarkEnd w:id="35"/>
      <w:bookmarkEnd w:id="36"/>
      <w:bookmarkEnd w:id="37"/>
      <w:bookmarkEnd w:id="38"/>
      <w:bookmarkEnd w:id="39"/>
    </w:p>
    <w:p>
      <w:pPr>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Times New Roman"/>
          <w:color w:val="000000"/>
          <w:sz w:val="32"/>
        </w:rPr>
      </w:pPr>
      <w:bookmarkStart w:id="40" w:name="_Toc13326"/>
      <w:r>
        <w:rPr>
          <w:rFonts w:hint="eastAsia" w:ascii="仿宋_GB2312" w:hAnsi="仿宋_GB2312" w:eastAsia="仿宋_GB2312" w:cs="Times New Roman"/>
          <w:color w:val="000000"/>
          <w:sz w:val="32"/>
        </w:rPr>
        <w:t>对首次</w:t>
      </w:r>
      <w:r>
        <w:rPr>
          <w:rFonts w:hint="eastAsia" w:ascii="仿宋_GB2312" w:hAnsi="仿宋_GB2312" w:eastAsia="仿宋_GB2312" w:cs="Times New Roman"/>
          <w:color w:val="000000"/>
          <w:sz w:val="32"/>
          <w:lang w:eastAsia="zh-CN"/>
        </w:rPr>
        <w:t>纳统</w:t>
      </w:r>
      <w:r>
        <w:rPr>
          <w:rFonts w:hint="eastAsia" w:ascii="仿宋_GB2312" w:hAnsi="仿宋_GB2312" w:eastAsia="仿宋_GB2312" w:cs="Times New Roman"/>
          <w:color w:val="000000"/>
          <w:sz w:val="32"/>
        </w:rPr>
        <w:t>（非转专业）的批发、零售、住宿、餐饮</w:t>
      </w:r>
      <w:r>
        <w:rPr>
          <w:rFonts w:hint="eastAsia" w:ascii="仿宋_GB2312" w:hAnsi="仿宋_GB2312" w:eastAsia="仿宋_GB2312" w:cs="Times New Roman"/>
          <w:color w:val="000000"/>
          <w:sz w:val="32"/>
          <w:lang w:eastAsia="zh-CN"/>
        </w:rPr>
        <w:t>业</w:t>
      </w:r>
      <w:r>
        <w:rPr>
          <w:rFonts w:hint="eastAsia" w:ascii="仿宋_GB2312" w:hAnsi="仿宋_GB2312" w:eastAsia="仿宋_GB2312" w:cs="Times New Roman"/>
          <w:color w:val="000000"/>
          <w:sz w:val="32"/>
        </w:rPr>
        <w:t>企业</w:t>
      </w:r>
      <w:r>
        <w:rPr>
          <w:rFonts w:hint="eastAsia" w:ascii="仿宋_GB2312" w:hAnsi="仿宋_GB2312" w:eastAsia="仿宋_GB2312" w:cs="Times New Roman"/>
          <w:color w:val="000000"/>
          <w:sz w:val="32"/>
          <w:lang w:eastAsia="zh-CN"/>
        </w:rPr>
        <w:t>，</w:t>
      </w:r>
      <w:r>
        <w:rPr>
          <w:rFonts w:hint="eastAsia" w:ascii="仿宋_GB2312" w:hAnsi="仿宋_GB2312" w:eastAsia="仿宋_GB2312" w:cs="Times New Roman"/>
          <w:color w:val="000000"/>
          <w:sz w:val="32"/>
        </w:rPr>
        <w:t>租赁和商务服务业企业，居民服务、修理和其他服务业企业</w:t>
      </w:r>
      <w:r>
        <w:rPr>
          <w:rFonts w:hint="eastAsia" w:ascii="仿宋_GB2312" w:hAnsi="仿宋_GB2312" w:eastAsia="仿宋_GB2312" w:cs="Times New Roman"/>
          <w:color w:val="000000"/>
          <w:sz w:val="32"/>
          <w:lang w:eastAsia="zh-CN"/>
        </w:rPr>
        <w:t>给予</w:t>
      </w:r>
      <w:r>
        <w:rPr>
          <w:rFonts w:hint="eastAsia" w:ascii="仿宋_GB2312" w:hAnsi="仿宋_GB2312" w:eastAsia="仿宋_GB2312" w:cs="Times New Roman"/>
          <w:color w:val="auto"/>
          <w:sz w:val="32"/>
          <w:highlight w:val="none"/>
          <w:lang w:val="en-US" w:eastAsia="zh-CN"/>
        </w:rPr>
        <w:t>1</w:t>
      </w:r>
      <w:r>
        <w:rPr>
          <w:rFonts w:hint="default" w:ascii="仿宋_GB2312" w:hAnsi="仿宋_GB2312" w:eastAsia="仿宋_GB2312" w:cs="Times New Roman"/>
          <w:color w:val="auto"/>
          <w:sz w:val="32"/>
          <w:highlight w:val="none"/>
          <w:lang w:val="en" w:eastAsia="zh-CN"/>
        </w:rPr>
        <w:t>0万元一次性奖</w:t>
      </w:r>
      <w:r>
        <w:rPr>
          <w:rFonts w:hint="default" w:ascii="仿宋_GB2312" w:hAnsi="仿宋_GB2312" w:eastAsia="仿宋_GB2312" w:cs="Times New Roman"/>
          <w:color w:val="000000"/>
          <w:sz w:val="32"/>
          <w:lang w:val="en" w:eastAsia="zh-CN"/>
        </w:rPr>
        <w:t>励</w:t>
      </w:r>
      <w:r>
        <w:rPr>
          <w:rFonts w:hint="eastAsia" w:ascii="仿宋_GB2312" w:hAnsi="仿宋_GB2312" w:eastAsia="仿宋_GB2312" w:cs="Times New Roman"/>
          <w:color w:val="000000"/>
          <w:sz w:val="32"/>
        </w:rPr>
        <w:t>。</w:t>
      </w:r>
    </w:p>
    <w:p>
      <w:pPr>
        <w:keepNext/>
        <w:keepLines/>
        <w:pageBreakBefore w:val="0"/>
        <w:widowControl w:val="0"/>
        <w:kinsoku/>
        <w:wordWrap/>
        <w:overflowPunct/>
        <w:topLinePunct w:val="0"/>
        <w:autoSpaceDE/>
        <w:autoSpaceDN/>
        <w:bidi w:val="0"/>
        <w:adjustRightInd/>
        <w:snapToGrid w:val="0"/>
        <w:spacing w:beforeAutospacing="0" w:afterAutospacing="0" w:line="560" w:lineRule="exact"/>
        <w:ind w:firstLine="640" w:firstLineChars="200"/>
        <w:jc w:val="both"/>
        <w:textAlignment w:val="auto"/>
        <w:outlineLvl w:val="1"/>
        <w:rPr>
          <w:rFonts w:ascii="仿宋_GB2312" w:hAnsi="仿宋_GB2312" w:eastAsia="仿宋_GB2312" w:cs="Times New Roman"/>
          <w:color w:val="000000"/>
          <w:kern w:val="2"/>
          <w:sz w:val="32"/>
          <w:szCs w:val="22"/>
          <w:lang w:val="en-US" w:eastAsia="zh-CN" w:bidi="ar-SA"/>
        </w:rPr>
      </w:pPr>
      <w:bookmarkStart w:id="41" w:name="_Toc698584954"/>
      <w:bookmarkStart w:id="42" w:name="_Toc898542046"/>
      <w:bookmarkStart w:id="43" w:name="_Toc1630338335"/>
      <w:bookmarkStart w:id="44" w:name="_Toc2120201136"/>
      <w:bookmarkStart w:id="45" w:name="_Toc1095225786"/>
      <w:bookmarkStart w:id="46" w:name="_Toc718307275"/>
      <w:r>
        <w:rPr>
          <w:rFonts w:hint="eastAsia" w:ascii="CESI黑体-GB13000" w:hAnsi="CESI黑体-GB13000" w:eastAsia="CESI黑体-GB13000" w:cs="CESI黑体-GB13000"/>
          <w:b w:val="0"/>
          <w:bCs w:val="0"/>
          <w:color w:val="auto"/>
          <w:kern w:val="2"/>
          <w:sz w:val="32"/>
          <w:szCs w:val="22"/>
          <w:highlight w:val="none"/>
          <w:lang w:val="en-US" w:eastAsia="zh-CN" w:bidi="ar-SA"/>
        </w:rPr>
        <w:t>第四条</w:t>
      </w:r>
      <w:r>
        <w:rPr>
          <w:rFonts w:hint="default" w:ascii="仿宋_GB2312" w:hAnsi="仿宋_GB2312" w:eastAsia="仿宋_GB2312" w:cs="Times New Roman"/>
          <w:color w:val="000000"/>
          <w:kern w:val="2"/>
          <w:sz w:val="32"/>
          <w:szCs w:val="22"/>
          <w:lang w:val="en" w:eastAsia="zh-CN" w:bidi="ar-SA"/>
        </w:rPr>
        <w:t xml:space="preserve">  支持</w:t>
      </w:r>
      <w:r>
        <w:rPr>
          <w:rFonts w:ascii="仿宋_GB2312" w:hAnsi="仿宋_GB2312" w:eastAsia="仿宋_GB2312" w:cs="Times New Roman"/>
          <w:color w:val="000000"/>
          <w:kern w:val="2"/>
          <w:sz w:val="32"/>
          <w:szCs w:val="22"/>
          <w:lang w:val="en-US" w:eastAsia="zh-CN" w:bidi="ar-SA"/>
        </w:rPr>
        <w:t>企业发展壮大</w:t>
      </w:r>
      <w:bookmarkEnd w:id="40"/>
      <w:bookmarkEnd w:id="41"/>
      <w:bookmarkEnd w:id="42"/>
      <w:bookmarkEnd w:id="43"/>
      <w:bookmarkEnd w:id="44"/>
      <w:bookmarkEnd w:id="45"/>
      <w:bookmarkEnd w:id="46"/>
    </w:p>
    <w:p>
      <w:pPr>
        <w:keepNext w:val="0"/>
        <w:keepLines w:val="0"/>
        <w:pageBreakBefore w:val="0"/>
        <w:widowControl w:val="0"/>
        <w:numPr>
          <w:ilvl w:val="0"/>
          <w:numId w:val="0"/>
        </w:numPr>
        <w:pBdr>
          <w:bottom w:val="none" w:color="auto" w:sz="0" w:space="0"/>
        </w:pBd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Times New Roman"/>
          <w:b w:val="0"/>
          <w:i w:val="0"/>
          <w:strike w:val="0"/>
          <w:color w:val="auto"/>
          <w:spacing w:val="0"/>
          <w:sz w:val="32"/>
          <w:u w:val="none"/>
          <w:lang w:val="en-US" w:eastAsia="zh-CN"/>
        </w:rPr>
      </w:pPr>
      <w:r>
        <w:rPr>
          <w:rFonts w:hint="eastAsia" w:ascii="仿宋_GB2312" w:hAnsi="仿宋_GB2312" w:eastAsia="仿宋_GB2312" w:cs="Times New Roman"/>
          <w:b w:val="0"/>
          <w:i w:val="0"/>
          <w:strike w:val="0"/>
          <w:color w:val="auto"/>
          <w:spacing w:val="0"/>
          <w:sz w:val="32"/>
          <w:u w:val="none"/>
          <w:lang w:val="en" w:eastAsia="zh-CN"/>
        </w:rPr>
        <w:t>下述第（一）至</w:t>
      </w:r>
      <w:r>
        <w:rPr>
          <w:rFonts w:hint="eastAsia" w:ascii="仿宋_GB2312" w:hAnsi="仿宋_GB2312" w:eastAsia="仿宋_GB2312" w:cs="Times New Roman"/>
          <w:b w:val="0"/>
          <w:i w:val="0"/>
          <w:strike w:val="0"/>
          <w:color w:val="auto"/>
          <w:spacing w:val="0"/>
          <w:sz w:val="32"/>
          <w:u w:val="none"/>
          <w:lang w:val="en-US" w:eastAsia="zh-CN"/>
        </w:rPr>
        <w:t>（三）条，每条措施均按就高不就低原则给予同一申报主体奖励。</w:t>
      </w:r>
    </w:p>
    <w:p>
      <w:pPr>
        <w:keepNext w:val="0"/>
        <w:keepLines w:val="0"/>
        <w:pageBreakBefore w:val="0"/>
        <w:widowControl w:val="0"/>
        <w:numPr>
          <w:ilvl w:val="0"/>
          <w:numId w:val="0"/>
        </w:numPr>
        <w:pBdr>
          <w:bottom w:val="none" w:color="auto" w:sz="0" w:space="0"/>
        </w:pBdr>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Times New Roman"/>
          <w:color w:val="auto"/>
          <w:sz w:val="32"/>
          <w:highlight w:val="none"/>
        </w:rPr>
      </w:pPr>
      <w:r>
        <w:rPr>
          <w:rFonts w:hint="eastAsia" w:ascii="仿宋_GB2312" w:hAnsi="仿宋_GB2312" w:eastAsia="仿宋_GB2312" w:cs="Times New Roman"/>
          <w:b w:val="0"/>
          <w:i w:val="0"/>
          <w:strike w:val="0"/>
          <w:color w:val="auto"/>
          <w:spacing w:val="0"/>
          <w:sz w:val="32"/>
          <w:u w:val="none"/>
          <w:lang w:eastAsia="zh-CN"/>
        </w:rPr>
        <w:t>（一）</w:t>
      </w:r>
      <w:r>
        <w:rPr>
          <w:rFonts w:ascii="仿宋_GB2312" w:hAnsi="仿宋_GB2312" w:eastAsia="仿宋_GB2312" w:cs="Times New Roman"/>
          <w:b w:val="0"/>
          <w:i w:val="0"/>
          <w:strike w:val="0"/>
          <w:color w:val="auto"/>
          <w:spacing w:val="0"/>
          <w:sz w:val="32"/>
          <w:u w:val="none"/>
        </w:rPr>
        <w:t>对纳统的</w:t>
      </w:r>
      <w:r>
        <w:rPr>
          <w:rFonts w:hint="eastAsia" w:ascii="仿宋_GB2312" w:hAnsi="仿宋_GB2312" w:eastAsia="仿宋_GB2312" w:cs="Times New Roman"/>
          <w:b w:val="0"/>
          <w:i w:val="0"/>
          <w:strike w:val="0"/>
          <w:color w:val="auto"/>
          <w:spacing w:val="0"/>
          <w:sz w:val="32"/>
          <w:u w:val="none"/>
        </w:rPr>
        <w:t>批发</w:t>
      </w:r>
      <w:r>
        <w:rPr>
          <w:rFonts w:hint="eastAsia" w:ascii="仿宋_GB2312" w:hAnsi="仿宋_GB2312" w:eastAsia="仿宋_GB2312" w:cs="Times New Roman"/>
          <w:b w:val="0"/>
          <w:i w:val="0"/>
          <w:strike w:val="0"/>
          <w:color w:val="auto"/>
          <w:spacing w:val="0"/>
          <w:sz w:val="32"/>
          <w:u w:val="none"/>
          <w:lang w:eastAsia="zh-CN"/>
        </w:rPr>
        <w:t>、</w:t>
      </w:r>
      <w:r>
        <w:rPr>
          <w:rFonts w:hint="eastAsia" w:ascii="仿宋_GB2312" w:hAnsi="仿宋_GB2312" w:eastAsia="仿宋_GB2312" w:cs="Times New Roman"/>
          <w:b w:val="0"/>
          <w:i w:val="0"/>
          <w:strike w:val="0"/>
          <w:color w:val="auto"/>
          <w:spacing w:val="0"/>
          <w:sz w:val="32"/>
          <w:u w:val="none"/>
        </w:rPr>
        <w:t>零售业</w:t>
      </w:r>
      <w:r>
        <w:rPr>
          <w:rFonts w:hint="eastAsia" w:ascii="仿宋_GB2312" w:hAnsi="仿宋_GB2312" w:eastAsia="仿宋_GB2312" w:cs="Times New Roman"/>
          <w:b w:val="0"/>
          <w:i w:val="0"/>
          <w:strike w:val="0"/>
          <w:color w:val="auto"/>
          <w:spacing w:val="0"/>
          <w:sz w:val="32"/>
          <w:u w:val="none"/>
          <w:lang w:eastAsia="zh-CN"/>
        </w:rPr>
        <w:t>企业</w:t>
      </w:r>
      <w:r>
        <w:rPr>
          <w:rFonts w:hint="eastAsia" w:ascii="仿宋_GB2312" w:hAnsi="仿宋_GB2312" w:eastAsia="仿宋_GB2312" w:cs="Times New Roman"/>
          <w:b w:val="0"/>
          <w:i w:val="0"/>
          <w:strike w:val="0"/>
          <w:color w:val="auto"/>
          <w:spacing w:val="0"/>
          <w:sz w:val="32"/>
          <w:u w:val="none"/>
        </w:rPr>
        <w:t>，</w:t>
      </w:r>
      <w:r>
        <w:rPr>
          <w:rFonts w:hint="eastAsia" w:ascii="仿宋_GB2312" w:hAnsi="仿宋_GB2312" w:eastAsia="仿宋_GB2312" w:cs="Times New Roman"/>
          <w:b w:val="0"/>
          <w:i w:val="0"/>
          <w:strike w:val="0"/>
          <w:color w:val="auto"/>
          <w:spacing w:val="0"/>
          <w:sz w:val="32"/>
          <w:u w:val="none"/>
          <w:lang w:eastAsia="zh-CN"/>
        </w:rPr>
        <w:t>上年度销售</w:t>
      </w:r>
      <w:r>
        <w:rPr>
          <w:rFonts w:hint="eastAsia" w:ascii="仿宋_GB2312" w:hAnsi="仿宋_GB2312" w:eastAsia="仿宋_GB2312" w:cs="Times New Roman"/>
          <w:b w:val="0"/>
          <w:i w:val="0"/>
          <w:strike w:val="0"/>
          <w:color w:val="auto"/>
          <w:spacing w:val="0"/>
          <w:sz w:val="32"/>
          <w:u w:val="none"/>
        </w:rPr>
        <w:t>额</w:t>
      </w:r>
      <w:r>
        <w:rPr>
          <w:rFonts w:hint="eastAsia" w:ascii="仿宋_GB2312" w:hAnsi="仿宋_GB2312" w:eastAsia="仿宋_GB2312" w:cs="Times New Roman"/>
          <w:b w:val="0"/>
          <w:i w:val="0"/>
          <w:strike w:val="0"/>
          <w:color w:val="auto"/>
          <w:spacing w:val="0"/>
          <w:sz w:val="32"/>
          <w:u w:val="none"/>
          <w:lang w:eastAsia="zh-CN"/>
        </w:rPr>
        <w:t>分别</w:t>
      </w:r>
      <w:r>
        <w:rPr>
          <w:rFonts w:hint="eastAsia" w:ascii="仿宋_GB2312" w:hAnsi="仿宋_GB2312" w:eastAsia="仿宋_GB2312" w:cs="Times New Roman"/>
          <w:b w:val="0"/>
          <w:i w:val="0"/>
          <w:strike w:val="0"/>
          <w:color w:val="auto"/>
          <w:spacing w:val="0"/>
          <w:sz w:val="32"/>
          <w:u w:val="none"/>
        </w:rPr>
        <w:t>达到</w:t>
      </w:r>
      <w:r>
        <w:rPr>
          <w:rFonts w:hint="eastAsia" w:ascii="仿宋_GB2312" w:hAnsi="仿宋_GB2312" w:eastAsia="仿宋_GB2312" w:cs="Times New Roman"/>
          <w:b w:val="0"/>
          <w:i w:val="0"/>
          <w:strike w:val="0"/>
          <w:color w:val="auto"/>
          <w:spacing w:val="0"/>
          <w:sz w:val="32"/>
          <w:u w:val="none"/>
          <w:lang w:val="en-US" w:eastAsia="zh-CN"/>
        </w:rPr>
        <w:t>1亿</w:t>
      </w:r>
      <w:r>
        <w:rPr>
          <w:rFonts w:hint="eastAsia" w:ascii="仿宋_GB2312" w:hAnsi="仿宋_GB2312" w:eastAsia="仿宋_GB2312" w:cs="Times New Roman"/>
          <w:b w:val="0"/>
          <w:i w:val="0"/>
          <w:strike w:val="0"/>
          <w:color w:val="auto"/>
          <w:spacing w:val="0"/>
          <w:sz w:val="32"/>
          <w:u w:val="none"/>
          <w:lang w:val="en" w:eastAsia="zh-CN"/>
        </w:rPr>
        <w:t>元、</w:t>
      </w:r>
      <w:r>
        <w:rPr>
          <w:rFonts w:hint="eastAsia" w:ascii="仿宋_GB2312" w:hAnsi="仿宋_GB2312" w:eastAsia="仿宋_GB2312" w:cs="Times New Roman"/>
          <w:b w:val="0"/>
          <w:i w:val="0"/>
          <w:strike w:val="0"/>
          <w:color w:val="auto"/>
          <w:spacing w:val="0"/>
          <w:sz w:val="32"/>
          <w:u w:val="none"/>
          <w:lang w:val="en-US" w:eastAsia="zh-CN"/>
        </w:rPr>
        <w:t>1000</w:t>
      </w:r>
      <w:r>
        <w:rPr>
          <w:rFonts w:hint="eastAsia" w:ascii="仿宋_GB2312" w:hAnsi="仿宋_GB2312" w:eastAsia="仿宋_GB2312" w:cs="Times New Roman"/>
          <w:b w:val="0"/>
          <w:i w:val="0"/>
          <w:strike w:val="0"/>
          <w:color w:val="auto"/>
          <w:spacing w:val="0"/>
          <w:sz w:val="32"/>
          <w:u w:val="none"/>
        </w:rPr>
        <w:t>万</w:t>
      </w:r>
      <w:r>
        <w:rPr>
          <w:rFonts w:hint="eastAsia" w:ascii="仿宋_GB2312" w:hAnsi="仿宋_GB2312" w:eastAsia="仿宋_GB2312" w:cs="Times New Roman"/>
          <w:color w:val="auto"/>
          <w:sz w:val="32"/>
          <w:highlight w:val="none"/>
        </w:rPr>
        <w:t>元且同比增速为</w:t>
      </w:r>
      <w:r>
        <w:rPr>
          <w:rFonts w:hint="eastAsia" w:ascii="仿宋_GB2312" w:hAnsi="仿宋_GB2312" w:eastAsia="仿宋_GB2312" w:cs="Times New Roman"/>
          <w:color w:val="auto"/>
          <w:sz w:val="32"/>
          <w:highlight w:val="none"/>
          <w:lang w:eastAsia="zh-CN"/>
        </w:rPr>
        <w:t>正的</w:t>
      </w:r>
      <w:r>
        <w:rPr>
          <w:rFonts w:hint="eastAsia" w:ascii="仿宋_GB2312" w:hAnsi="仿宋_GB2312" w:eastAsia="仿宋_GB2312" w:cs="Times New Roman"/>
          <w:color w:val="auto"/>
          <w:sz w:val="32"/>
          <w:highlight w:val="none"/>
        </w:rPr>
        <w:t>，</w:t>
      </w:r>
      <w:r>
        <w:rPr>
          <w:rFonts w:hint="eastAsia" w:ascii="仿宋_GB2312" w:hAnsi="仿宋_GB2312" w:eastAsia="仿宋_GB2312" w:cs="Times New Roman"/>
          <w:color w:val="auto"/>
          <w:sz w:val="32"/>
          <w:highlight w:val="none"/>
          <w:lang w:eastAsia="zh-CN"/>
        </w:rPr>
        <w:t>分别按上年度销售额同比增量的</w:t>
      </w:r>
      <w:r>
        <w:rPr>
          <w:rFonts w:hint="eastAsia" w:ascii="仿宋_GB2312" w:hAnsi="仿宋_GB2312" w:eastAsia="仿宋_GB2312" w:cs="Times New Roman"/>
          <w:color w:val="auto"/>
          <w:sz w:val="32"/>
          <w:highlight w:val="none"/>
          <w:lang w:val="en-US" w:eastAsia="zh-CN"/>
        </w:rPr>
        <w:t>1‰、1%</w:t>
      </w:r>
      <w:r>
        <w:rPr>
          <w:rFonts w:hint="eastAsia" w:ascii="仿宋_GB2312" w:hAnsi="仿宋_GB2312" w:eastAsia="仿宋_GB2312" w:cs="Times New Roman"/>
          <w:color w:val="auto"/>
          <w:sz w:val="32"/>
          <w:highlight w:val="none"/>
        </w:rPr>
        <w:t>给予</w:t>
      </w:r>
      <w:r>
        <w:rPr>
          <w:rFonts w:hint="eastAsia" w:ascii="仿宋_GB2312" w:hAnsi="仿宋_GB2312" w:eastAsia="仿宋_GB2312" w:cs="Times New Roman"/>
          <w:color w:val="auto"/>
          <w:sz w:val="32"/>
          <w:highlight w:val="none"/>
          <w:lang w:eastAsia="zh-CN"/>
        </w:rPr>
        <w:t>不超过</w:t>
      </w:r>
      <w:r>
        <w:rPr>
          <w:rFonts w:hint="eastAsia" w:ascii="仿宋_GB2312" w:hAnsi="仿宋_GB2312" w:eastAsia="仿宋_GB2312" w:cs="Times New Roman"/>
          <w:color w:val="auto"/>
          <w:sz w:val="32"/>
          <w:highlight w:val="none"/>
          <w:lang w:val="en-US" w:eastAsia="zh-CN"/>
        </w:rPr>
        <w:t>50</w:t>
      </w:r>
      <w:r>
        <w:rPr>
          <w:rFonts w:hint="eastAsia" w:ascii="仿宋_GB2312" w:hAnsi="仿宋_GB2312" w:eastAsia="仿宋_GB2312" w:cs="Times New Roman"/>
          <w:color w:val="auto"/>
          <w:sz w:val="32"/>
          <w:highlight w:val="none"/>
        </w:rPr>
        <w:t>万元</w:t>
      </w:r>
      <w:r>
        <w:rPr>
          <w:rFonts w:hint="eastAsia" w:ascii="仿宋_GB2312" w:hAnsi="仿宋_GB2312" w:eastAsia="仿宋_GB2312" w:cs="Times New Roman"/>
          <w:color w:val="auto"/>
          <w:sz w:val="32"/>
          <w:highlight w:val="none"/>
          <w:lang w:eastAsia="zh-CN"/>
        </w:rPr>
        <w:t>资金</w:t>
      </w:r>
      <w:r>
        <w:rPr>
          <w:rFonts w:hint="eastAsia" w:ascii="仿宋_GB2312" w:hAnsi="仿宋_GB2312" w:eastAsia="仿宋_GB2312" w:cs="Times New Roman"/>
          <w:b w:val="0"/>
          <w:i w:val="0"/>
          <w:strike w:val="0"/>
          <w:color w:val="auto"/>
          <w:spacing w:val="0"/>
          <w:sz w:val="32"/>
          <w:u w:val="none"/>
          <w:lang w:eastAsia="zh-CN"/>
        </w:rPr>
        <w:t>奖励</w:t>
      </w:r>
      <w:r>
        <w:rPr>
          <w:rFonts w:hint="eastAsia" w:ascii="仿宋_GB2312" w:hAnsi="仿宋_GB2312" w:eastAsia="仿宋_GB2312" w:cs="Times New Roman"/>
          <w:color w:val="000000"/>
          <w:sz w:val="32"/>
          <w:highlight w:val="none"/>
          <w:lang w:eastAsia="zh-CN"/>
        </w:rPr>
        <w:t>。上年度销售额同比增速达到</w:t>
      </w:r>
      <w:r>
        <w:rPr>
          <w:rFonts w:hint="eastAsia" w:ascii="仿宋_GB2312" w:hAnsi="仿宋_GB2312" w:eastAsia="仿宋_GB2312" w:cs="Times New Roman"/>
          <w:color w:val="000000"/>
          <w:sz w:val="32"/>
          <w:highlight w:val="none"/>
          <w:lang w:val="en-US" w:eastAsia="zh-CN"/>
        </w:rPr>
        <w:t>15%的，给予10万元奖励。</w:t>
      </w:r>
      <w:r>
        <w:rPr>
          <w:rFonts w:hint="eastAsia" w:ascii="仿宋_GB2312" w:hAnsi="仿宋_GB2312" w:eastAsia="仿宋_GB2312" w:cs="Times New Roman"/>
          <w:color w:val="000000"/>
          <w:sz w:val="32"/>
          <w:highlight w:val="none"/>
          <w:lang w:eastAsia="zh-CN"/>
        </w:rPr>
        <w:t>上年度销售额同比增速达到</w:t>
      </w:r>
      <w:r>
        <w:rPr>
          <w:rFonts w:hint="eastAsia" w:ascii="仿宋_GB2312" w:hAnsi="仿宋_GB2312" w:eastAsia="仿宋_GB2312" w:cs="Times New Roman"/>
          <w:color w:val="000000"/>
          <w:sz w:val="32"/>
          <w:highlight w:val="none"/>
          <w:lang w:val="en-US" w:eastAsia="zh-CN"/>
        </w:rPr>
        <w:t>30%的，给予15万元奖励。</w:t>
      </w:r>
    </w:p>
    <w:p>
      <w:pPr>
        <w:keepNext w:val="0"/>
        <w:keepLines w:val="0"/>
        <w:pageBreakBefore w:val="0"/>
        <w:widowControl w:val="0"/>
        <w:numPr>
          <w:ilvl w:val="0"/>
          <w:numId w:val="0"/>
        </w:numPr>
        <w:pBdr>
          <w:bottom w:val="none" w:color="auto" w:sz="0" w:space="0"/>
        </w:pBdr>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Times New Roman"/>
          <w:color w:val="auto"/>
          <w:sz w:val="32"/>
          <w:highlight w:val="none"/>
        </w:rPr>
      </w:pPr>
      <w:r>
        <w:rPr>
          <w:rFonts w:hint="eastAsia" w:ascii="仿宋_GB2312" w:hAnsi="仿宋_GB2312" w:eastAsia="仿宋_GB2312" w:cs="Times New Roman"/>
          <w:b w:val="0"/>
          <w:i w:val="0"/>
          <w:strike w:val="0"/>
          <w:color w:val="auto"/>
          <w:spacing w:val="0"/>
          <w:sz w:val="32"/>
          <w:u w:val="none"/>
          <w:lang w:eastAsia="zh-CN"/>
        </w:rPr>
        <w:t>（二）</w:t>
      </w:r>
      <w:r>
        <w:rPr>
          <w:rFonts w:ascii="仿宋_GB2312" w:hAnsi="仿宋_GB2312" w:eastAsia="仿宋_GB2312" w:cs="Times New Roman"/>
          <w:b w:val="0"/>
          <w:i w:val="0"/>
          <w:strike w:val="0"/>
          <w:color w:val="auto"/>
          <w:spacing w:val="0"/>
          <w:sz w:val="32"/>
          <w:u w:val="none"/>
        </w:rPr>
        <w:t>对纳统的住宿</w:t>
      </w:r>
      <w:r>
        <w:rPr>
          <w:rFonts w:hint="eastAsia" w:ascii="仿宋_GB2312" w:hAnsi="仿宋_GB2312" w:eastAsia="仿宋_GB2312" w:cs="Times New Roman"/>
          <w:b w:val="0"/>
          <w:i w:val="0"/>
          <w:strike w:val="0"/>
          <w:color w:val="auto"/>
          <w:spacing w:val="0"/>
          <w:sz w:val="32"/>
          <w:u w:val="none"/>
          <w:lang w:eastAsia="zh-CN"/>
        </w:rPr>
        <w:t>、</w:t>
      </w:r>
      <w:r>
        <w:rPr>
          <w:rFonts w:ascii="仿宋_GB2312" w:hAnsi="仿宋_GB2312" w:eastAsia="仿宋_GB2312" w:cs="Times New Roman"/>
          <w:b w:val="0"/>
          <w:i w:val="0"/>
          <w:strike w:val="0"/>
          <w:color w:val="auto"/>
          <w:spacing w:val="0"/>
          <w:sz w:val="32"/>
          <w:u w:val="none"/>
        </w:rPr>
        <w:t>餐饮业企业，</w:t>
      </w:r>
      <w:r>
        <w:rPr>
          <w:rFonts w:hint="eastAsia" w:ascii="仿宋_GB2312" w:hAnsi="仿宋_GB2312" w:eastAsia="仿宋_GB2312" w:cs="Times New Roman"/>
          <w:b w:val="0"/>
          <w:i w:val="0"/>
          <w:strike w:val="0"/>
          <w:color w:val="auto"/>
          <w:spacing w:val="0"/>
          <w:sz w:val="32"/>
          <w:u w:val="none"/>
          <w:lang w:eastAsia="zh-CN"/>
        </w:rPr>
        <w:t>上年度营业</w:t>
      </w:r>
      <w:r>
        <w:rPr>
          <w:rFonts w:hint="eastAsia" w:ascii="仿宋_GB2312" w:hAnsi="仿宋_GB2312" w:eastAsia="仿宋_GB2312" w:cs="Times New Roman"/>
          <w:b w:val="0"/>
          <w:i w:val="0"/>
          <w:strike w:val="0"/>
          <w:color w:val="auto"/>
          <w:spacing w:val="0"/>
          <w:sz w:val="32"/>
          <w:u w:val="none"/>
        </w:rPr>
        <w:t>额</w:t>
      </w:r>
      <w:r>
        <w:rPr>
          <w:rFonts w:hint="eastAsia" w:ascii="仿宋_GB2312" w:hAnsi="仿宋_GB2312" w:eastAsia="仿宋_GB2312" w:cs="Times New Roman"/>
          <w:b w:val="0"/>
          <w:i w:val="0"/>
          <w:strike w:val="0"/>
          <w:color w:val="auto"/>
          <w:spacing w:val="0"/>
          <w:sz w:val="32"/>
          <w:u w:val="none"/>
          <w:lang w:eastAsia="zh-CN"/>
        </w:rPr>
        <w:t>分别</w:t>
      </w:r>
      <w:r>
        <w:rPr>
          <w:rFonts w:hint="eastAsia" w:ascii="仿宋_GB2312" w:hAnsi="仿宋_GB2312" w:eastAsia="仿宋_GB2312" w:cs="Times New Roman"/>
          <w:b w:val="0"/>
          <w:i w:val="0"/>
          <w:strike w:val="0"/>
          <w:color w:val="auto"/>
          <w:spacing w:val="0"/>
          <w:sz w:val="32"/>
          <w:u w:val="none"/>
        </w:rPr>
        <w:t>达到</w:t>
      </w:r>
      <w:r>
        <w:rPr>
          <w:rFonts w:hint="eastAsia" w:ascii="仿宋_GB2312" w:hAnsi="仿宋_GB2312" w:eastAsia="仿宋_GB2312" w:cs="Times New Roman"/>
          <w:b w:val="0"/>
          <w:i w:val="0"/>
          <w:strike w:val="0"/>
          <w:color w:val="auto"/>
          <w:spacing w:val="0"/>
          <w:sz w:val="32"/>
          <w:u w:val="none"/>
          <w:lang w:val="en-US" w:eastAsia="zh-CN"/>
        </w:rPr>
        <w:t>500</w:t>
      </w:r>
      <w:r>
        <w:rPr>
          <w:rFonts w:hint="eastAsia" w:ascii="仿宋_GB2312" w:hAnsi="仿宋_GB2312" w:eastAsia="仿宋_GB2312" w:cs="Times New Roman"/>
          <w:b w:val="0"/>
          <w:i w:val="0"/>
          <w:strike w:val="0"/>
          <w:color w:val="auto"/>
          <w:spacing w:val="0"/>
          <w:sz w:val="32"/>
          <w:u w:val="none"/>
        </w:rPr>
        <w:t>万元</w:t>
      </w:r>
      <w:r>
        <w:rPr>
          <w:rFonts w:hint="eastAsia" w:ascii="仿宋_GB2312" w:hAnsi="仿宋_GB2312" w:eastAsia="仿宋_GB2312" w:cs="Times New Roman"/>
          <w:b w:val="0"/>
          <w:i w:val="0"/>
          <w:strike w:val="0"/>
          <w:color w:val="auto"/>
          <w:spacing w:val="0"/>
          <w:sz w:val="32"/>
          <w:u w:val="none"/>
          <w:lang w:eastAsia="zh-CN"/>
        </w:rPr>
        <w:t>、</w:t>
      </w:r>
      <w:r>
        <w:rPr>
          <w:rFonts w:hint="eastAsia" w:ascii="仿宋_GB2312" w:hAnsi="仿宋_GB2312" w:eastAsia="仿宋_GB2312" w:cs="Times New Roman"/>
          <w:color w:val="auto"/>
          <w:sz w:val="32"/>
          <w:highlight w:val="none"/>
          <w:lang w:val="en-US" w:eastAsia="zh-CN"/>
        </w:rPr>
        <w:t>300</w:t>
      </w:r>
      <w:r>
        <w:rPr>
          <w:rFonts w:hint="eastAsia" w:ascii="仿宋_GB2312" w:hAnsi="仿宋_GB2312" w:eastAsia="仿宋_GB2312" w:cs="Times New Roman"/>
          <w:color w:val="auto"/>
          <w:sz w:val="32"/>
          <w:highlight w:val="none"/>
        </w:rPr>
        <w:t>万元且同比增速为</w:t>
      </w:r>
      <w:r>
        <w:rPr>
          <w:rFonts w:hint="eastAsia" w:ascii="仿宋_GB2312" w:hAnsi="仿宋_GB2312" w:eastAsia="仿宋_GB2312" w:cs="Times New Roman"/>
          <w:color w:val="auto"/>
          <w:sz w:val="32"/>
          <w:highlight w:val="none"/>
          <w:lang w:eastAsia="zh-CN"/>
        </w:rPr>
        <w:t>正</w:t>
      </w:r>
      <w:r>
        <w:rPr>
          <w:rFonts w:hint="eastAsia" w:ascii="仿宋_GB2312" w:hAnsi="仿宋_GB2312" w:eastAsia="仿宋_GB2312" w:cs="Times New Roman"/>
          <w:color w:val="auto"/>
          <w:sz w:val="32"/>
          <w:highlight w:val="none"/>
        </w:rPr>
        <w:t>的，</w:t>
      </w:r>
      <w:r>
        <w:rPr>
          <w:rFonts w:hint="eastAsia" w:ascii="仿宋_GB2312" w:hAnsi="仿宋_GB2312" w:eastAsia="仿宋_GB2312" w:cs="Times New Roman"/>
          <w:color w:val="auto"/>
          <w:sz w:val="32"/>
          <w:highlight w:val="none"/>
          <w:lang w:eastAsia="zh-CN"/>
        </w:rPr>
        <w:t>均按上年度营业额同比增量的</w:t>
      </w:r>
      <w:r>
        <w:rPr>
          <w:rFonts w:hint="eastAsia" w:ascii="仿宋_GB2312" w:hAnsi="仿宋_GB2312" w:eastAsia="仿宋_GB2312" w:cs="Times New Roman"/>
          <w:color w:val="auto"/>
          <w:sz w:val="32"/>
          <w:highlight w:val="none"/>
          <w:lang w:val="en-US" w:eastAsia="zh-CN"/>
        </w:rPr>
        <w:t>1.5%</w:t>
      </w:r>
      <w:r>
        <w:rPr>
          <w:rFonts w:hint="eastAsia" w:ascii="仿宋_GB2312" w:hAnsi="仿宋_GB2312" w:eastAsia="仿宋_GB2312" w:cs="Times New Roman"/>
          <w:color w:val="auto"/>
          <w:sz w:val="32"/>
          <w:highlight w:val="none"/>
          <w:lang w:eastAsia="zh-CN"/>
        </w:rPr>
        <w:t>给</w:t>
      </w:r>
      <w:r>
        <w:rPr>
          <w:rFonts w:hint="eastAsia" w:ascii="仿宋_GB2312" w:hAnsi="仿宋_GB2312" w:eastAsia="仿宋_GB2312" w:cs="Times New Roman"/>
          <w:color w:val="auto"/>
          <w:sz w:val="32"/>
          <w:highlight w:val="none"/>
        </w:rPr>
        <w:t>予</w:t>
      </w:r>
      <w:r>
        <w:rPr>
          <w:rFonts w:hint="eastAsia" w:ascii="仿宋_GB2312" w:hAnsi="仿宋_GB2312" w:eastAsia="仿宋_GB2312" w:cs="Times New Roman"/>
          <w:color w:val="auto"/>
          <w:sz w:val="32"/>
          <w:highlight w:val="none"/>
          <w:lang w:eastAsia="zh-CN"/>
        </w:rPr>
        <w:t>不超过</w:t>
      </w:r>
      <w:r>
        <w:rPr>
          <w:rFonts w:hint="eastAsia" w:ascii="仿宋_GB2312" w:hAnsi="仿宋_GB2312" w:eastAsia="仿宋_GB2312" w:cs="Times New Roman"/>
          <w:color w:val="auto"/>
          <w:sz w:val="32"/>
          <w:highlight w:val="none"/>
          <w:lang w:val="en-US" w:eastAsia="zh-CN"/>
        </w:rPr>
        <w:t>30</w:t>
      </w:r>
      <w:r>
        <w:rPr>
          <w:rFonts w:hint="eastAsia" w:ascii="仿宋_GB2312" w:hAnsi="仿宋_GB2312" w:eastAsia="仿宋_GB2312" w:cs="Times New Roman"/>
          <w:color w:val="auto"/>
          <w:sz w:val="32"/>
          <w:highlight w:val="none"/>
        </w:rPr>
        <w:t>万元</w:t>
      </w:r>
      <w:r>
        <w:rPr>
          <w:rFonts w:hint="eastAsia" w:ascii="仿宋_GB2312" w:hAnsi="仿宋_GB2312" w:eastAsia="仿宋_GB2312" w:cs="Times New Roman"/>
          <w:color w:val="auto"/>
          <w:sz w:val="32"/>
          <w:highlight w:val="none"/>
          <w:lang w:eastAsia="zh-CN"/>
        </w:rPr>
        <w:t>资金奖励</w:t>
      </w:r>
      <w:r>
        <w:rPr>
          <w:rFonts w:hint="eastAsia" w:ascii="仿宋_GB2312" w:hAnsi="仿宋_GB2312" w:eastAsia="仿宋_GB2312" w:cs="Times New Roman"/>
          <w:color w:val="auto"/>
          <w:sz w:val="32"/>
          <w:highlight w:val="none"/>
        </w:rPr>
        <w:t>。</w:t>
      </w:r>
      <w:r>
        <w:rPr>
          <w:rFonts w:hint="eastAsia" w:ascii="仿宋_GB2312" w:hAnsi="仿宋_GB2312" w:eastAsia="仿宋_GB2312" w:cs="Times New Roman"/>
          <w:color w:val="auto"/>
          <w:sz w:val="32"/>
          <w:highlight w:val="none"/>
          <w:lang w:eastAsia="zh-CN"/>
        </w:rPr>
        <w:t>上年度营业额同比增速达到</w:t>
      </w:r>
      <w:r>
        <w:rPr>
          <w:rFonts w:hint="eastAsia" w:ascii="仿宋_GB2312" w:hAnsi="仿宋_GB2312" w:eastAsia="仿宋_GB2312" w:cs="Times New Roman"/>
          <w:color w:val="auto"/>
          <w:sz w:val="32"/>
          <w:highlight w:val="none"/>
          <w:lang w:val="en-US" w:eastAsia="zh-CN"/>
        </w:rPr>
        <w:t>15%的，给予10万元奖励。</w:t>
      </w:r>
      <w:r>
        <w:rPr>
          <w:rFonts w:hint="eastAsia" w:ascii="仿宋_GB2312" w:hAnsi="仿宋_GB2312" w:eastAsia="仿宋_GB2312" w:cs="Times New Roman"/>
          <w:color w:val="000000"/>
          <w:sz w:val="32"/>
          <w:highlight w:val="none"/>
          <w:lang w:eastAsia="zh-CN"/>
        </w:rPr>
        <w:t>上年度营业额同比增速达到</w:t>
      </w:r>
      <w:r>
        <w:rPr>
          <w:rFonts w:hint="eastAsia" w:ascii="仿宋_GB2312" w:hAnsi="仿宋_GB2312" w:eastAsia="仿宋_GB2312" w:cs="Times New Roman"/>
          <w:color w:val="000000"/>
          <w:sz w:val="32"/>
          <w:highlight w:val="none"/>
          <w:lang w:val="en-US" w:eastAsia="zh-CN"/>
        </w:rPr>
        <w:t>30%的，给予15万元奖励。</w:t>
      </w:r>
    </w:p>
    <w:p>
      <w:pPr>
        <w:keepNext w:val="0"/>
        <w:keepLines w:val="0"/>
        <w:pageBreakBefore w:val="0"/>
        <w:widowControl w:val="0"/>
        <w:numPr>
          <w:ilvl w:val="0"/>
          <w:numId w:val="0"/>
        </w:numPr>
        <w:pBdr>
          <w:bottom w:val="none" w:color="auto" w:sz="0" w:space="0"/>
        </w:pBd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Times New Roman"/>
          <w:b w:val="0"/>
          <w:i w:val="0"/>
          <w:strike w:val="0"/>
          <w:color w:val="auto"/>
          <w:spacing w:val="0"/>
          <w:sz w:val="32"/>
          <w:highlight w:val="none"/>
          <w:u w:val="none"/>
          <w:lang w:eastAsia="zh-CN"/>
        </w:rPr>
      </w:pPr>
      <w:bookmarkStart w:id="47" w:name="_Toc560"/>
      <w:r>
        <w:rPr>
          <w:rFonts w:hint="eastAsia" w:ascii="仿宋_GB2312" w:hAnsi="仿宋_GB2312" w:eastAsia="仿宋_GB2312" w:cs="Times New Roman"/>
          <w:b w:val="0"/>
          <w:i w:val="0"/>
          <w:strike w:val="0"/>
          <w:color w:val="auto"/>
          <w:spacing w:val="0"/>
          <w:sz w:val="32"/>
          <w:u w:val="none"/>
          <w:lang w:eastAsia="zh-CN"/>
        </w:rPr>
        <w:t>（三）</w:t>
      </w:r>
      <w:r>
        <w:rPr>
          <w:rFonts w:ascii="仿宋_GB2312" w:hAnsi="仿宋_GB2312" w:eastAsia="仿宋_GB2312" w:cs="Times New Roman"/>
          <w:b w:val="0"/>
          <w:i w:val="0"/>
          <w:strike w:val="0"/>
          <w:color w:val="auto"/>
          <w:spacing w:val="0"/>
          <w:sz w:val="32"/>
          <w:u w:val="none"/>
        </w:rPr>
        <w:t>对纳统的租赁和商务服务业</w:t>
      </w:r>
      <w:r>
        <w:rPr>
          <w:rFonts w:hint="eastAsia" w:ascii="仿宋_GB2312" w:hAnsi="仿宋_GB2312" w:eastAsia="仿宋_GB2312" w:cs="Times New Roman"/>
          <w:b w:val="0"/>
          <w:i w:val="0"/>
          <w:strike w:val="0"/>
          <w:color w:val="auto"/>
          <w:spacing w:val="0"/>
          <w:sz w:val="32"/>
          <w:u w:val="none"/>
          <w:lang w:eastAsia="zh-CN"/>
        </w:rPr>
        <w:t>，</w:t>
      </w:r>
      <w:r>
        <w:rPr>
          <w:rFonts w:ascii="仿宋_GB2312" w:hAnsi="仿宋_GB2312" w:eastAsia="仿宋_GB2312" w:cs="Times New Roman"/>
          <w:b w:val="0"/>
          <w:i w:val="0"/>
          <w:strike w:val="0"/>
          <w:color w:val="auto"/>
          <w:spacing w:val="0"/>
          <w:sz w:val="32"/>
          <w:u w:val="none"/>
        </w:rPr>
        <w:t>居民服务、修理和其他服务业企业，</w:t>
      </w:r>
      <w:r>
        <w:rPr>
          <w:rFonts w:hint="eastAsia" w:ascii="仿宋_GB2312" w:hAnsi="仿宋_GB2312" w:eastAsia="仿宋_GB2312" w:cs="Times New Roman"/>
          <w:b w:val="0"/>
          <w:i w:val="0"/>
          <w:strike w:val="0"/>
          <w:color w:val="auto"/>
          <w:spacing w:val="0"/>
          <w:sz w:val="32"/>
          <w:u w:val="none"/>
          <w:lang w:eastAsia="zh-CN"/>
        </w:rPr>
        <w:t>上年度营业</w:t>
      </w:r>
      <w:r>
        <w:rPr>
          <w:rFonts w:hint="eastAsia" w:ascii="仿宋_GB2312" w:hAnsi="仿宋_GB2312" w:eastAsia="仿宋_GB2312" w:cs="Times New Roman"/>
          <w:b w:val="0"/>
          <w:i w:val="0"/>
          <w:strike w:val="0"/>
          <w:color w:val="auto"/>
          <w:spacing w:val="0"/>
          <w:sz w:val="32"/>
          <w:u w:val="none"/>
        </w:rPr>
        <w:t>额</w:t>
      </w:r>
      <w:r>
        <w:rPr>
          <w:rFonts w:hint="eastAsia" w:ascii="仿宋_GB2312" w:hAnsi="仿宋_GB2312" w:eastAsia="仿宋_GB2312" w:cs="Times New Roman"/>
          <w:b w:val="0"/>
          <w:i w:val="0"/>
          <w:strike w:val="0"/>
          <w:color w:val="auto"/>
          <w:spacing w:val="0"/>
          <w:sz w:val="32"/>
          <w:u w:val="none"/>
          <w:lang w:eastAsia="zh-CN"/>
        </w:rPr>
        <w:t>分别</w:t>
      </w:r>
      <w:r>
        <w:rPr>
          <w:rFonts w:hint="eastAsia" w:ascii="仿宋_GB2312" w:hAnsi="仿宋_GB2312" w:eastAsia="仿宋_GB2312" w:cs="Times New Roman"/>
          <w:b w:val="0"/>
          <w:i w:val="0"/>
          <w:strike w:val="0"/>
          <w:color w:val="auto"/>
          <w:spacing w:val="0"/>
          <w:sz w:val="32"/>
          <w:u w:val="none"/>
        </w:rPr>
        <w:t>达到</w:t>
      </w:r>
      <w:r>
        <w:rPr>
          <w:rFonts w:hint="eastAsia" w:ascii="仿宋_GB2312" w:hAnsi="仿宋_GB2312" w:eastAsia="仿宋_GB2312" w:cs="Times New Roman"/>
          <w:b w:val="0"/>
          <w:i w:val="0"/>
          <w:strike w:val="0"/>
          <w:color w:val="auto"/>
          <w:spacing w:val="0"/>
          <w:sz w:val="32"/>
          <w:u w:val="none"/>
          <w:lang w:val="en-US" w:eastAsia="zh-CN"/>
        </w:rPr>
        <w:t>2000万</w:t>
      </w:r>
      <w:r>
        <w:rPr>
          <w:rFonts w:hint="eastAsia" w:ascii="仿宋_GB2312" w:hAnsi="仿宋_GB2312" w:eastAsia="仿宋_GB2312" w:cs="Times New Roman"/>
          <w:b w:val="0"/>
          <w:i w:val="0"/>
          <w:strike w:val="0"/>
          <w:color w:val="auto"/>
          <w:spacing w:val="0"/>
          <w:sz w:val="32"/>
          <w:u w:val="none"/>
        </w:rPr>
        <w:t>元</w:t>
      </w:r>
      <w:r>
        <w:rPr>
          <w:rFonts w:hint="eastAsia" w:ascii="仿宋_GB2312" w:hAnsi="仿宋_GB2312" w:eastAsia="仿宋_GB2312" w:cs="Times New Roman"/>
          <w:color w:val="auto"/>
          <w:sz w:val="32"/>
          <w:highlight w:val="none"/>
          <w:lang w:val="en-US" w:eastAsia="zh-CN"/>
        </w:rPr>
        <w:t>、1000万元且同比增速为正的，均按上年度营业额同比增量的3‰给予不超过30万元资金奖励。上年度营业额同比增速达到15%的，给予10万元奖励。上年度营业额同比增速达到30%的，给予15万元奖</w:t>
      </w:r>
      <w:r>
        <w:rPr>
          <w:rFonts w:hint="eastAsia" w:ascii="仿宋_GB2312" w:hAnsi="仿宋_GB2312" w:eastAsia="仿宋_GB2312" w:cs="Times New Roman"/>
          <w:color w:val="000000"/>
          <w:sz w:val="32"/>
          <w:highlight w:val="none"/>
          <w:lang w:val="en-US" w:eastAsia="zh-CN"/>
        </w:rPr>
        <w:t>励。</w:t>
      </w:r>
    </w:p>
    <w:bookmarkEnd w:id="47"/>
    <w:p>
      <w:pPr>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000000"/>
          <w:sz w:val="32"/>
        </w:rPr>
      </w:pPr>
      <w:bookmarkStart w:id="48" w:name="_Toc2060158727"/>
      <w:bookmarkStart w:id="49" w:name="_Toc1629457995"/>
      <w:bookmarkStart w:id="50" w:name="_Toc897775618"/>
      <w:bookmarkStart w:id="51" w:name="_Toc296870656"/>
      <w:bookmarkStart w:id="52" w:name="_Toc7576985"/>
      <w:bookmarkStart w:id="53" w:name="_Toc96355992"/>
      <w:r>
        <w:rPr>
          <w:rStyle w:val="19"/>
          <w:rFonts w:hint="eastAsia" w:ascii="CESI黑体-GB13000" w:hAnsi="CESI黑体-GB13000" w:eastAsia="CESI黑体-GB13000" w:cs="CESI黑体-GB13000"/>
          <w:b w:val="0"/>
          <w:bCs w:val="0"/>
          <w:color w:val="auto"/>
          <w:sz w:val="32"/>
          <w:highlight w:val="none"/>
        </w:rPr>
        <w:t>第</w:t>
      </w:r>
      <w:r>
        <w:rPr>
          <w:rStyle w:val="19"/>
          <w:rFonts w:hint="eastAsia" w:ascii="CESI黑体-GB13000" w:hAnsi="CESI黑体-GB13000" w:eastAsia="CESI黑体-GB13000" w:cs="CESI黑体-GB13000"/>
          <w:b w:val="0"/>
          <w:bCs w:val="0"/>
          <w:color w:val="auto"/>
          <w:sz w:val="32"/>
          <w:highlight w:val="none"/>
          <w:lang w:val="en-US" w:eastAsia="zh-CN"/>
        </w:rPr>
        <w:t>五</w:t>
      </w:r>
      <w:r>
        <w:rPr>
          <w:rStyle w:val="19"/>
          <w:rFonts w:hint="eastAsia" w:ascii="CESI黑体-GB13000" w:hAnsi="CESI黑体-GB13000" w:eastAsia="CESI黑体-GB13000" w:cs="CESI黑体-GB13000"/>
          <w:b w:val="0"/>
          <w:bCs w:val="0"/>
          <w:color w:val="auto"/>
          <w:sz w:val="32"/>
          <w:highlight w:val="none"/>
        </w:rPr>
        <w:t>条</w:t>
      </w:r>
      <w:r>
        <w:rPr>
          <w:rStyle w:val="19"/>
          <w:rFonts w:ascii="Calibri" w:hAnsi="Calibri" w:eastAsia="宋体" w:cs="Times New Roman"/>
          <w:color w:val="000000"/>
          <w:sz w:val="32"/>
        </w:rPr>
        <w:t xml:space="preserve"> </w:t>
      </w:r>
      <w:bookmarkStart w:id="54" w:name="_Toc486287687"/>
      <w:r>
        <w:rPr>
          <w:rStyle w:val="19"/>
          <w:rFonts w:hint="default" w:ascii="Calibri" w:hAnsi="Calibri" w:eastAsia="宋体" w:cs="Times New Roman"/>
          <w:color w:val="000000"/>
          <w:sz w:val="32"/>
          <w:lang w:val="en"/>
        </w:rPr>
        <w:t xml:space="preserve"> </w:t>
      </w:r>
      <w:r>
        <w:rPr>
          <w:rStyle w:val="19"/>
          <w:rFonts w:hint="eastAsia" w:ascii="仿宋_GB2312" w:hAnsi="仿宋_GB2312" w:eastAsia="仿宋_GB2312" w:cs="仿宋_GB2312"/>
          <w:color w:val="000000"/>
          <w:sz w:val="32"/>
        </w:rPr>
        <w:t>支持</w:t>
      </w:r>
      <w:r>
        <w:rPr>
          <w:rStyle w:val="19"/>
          <w:rFonts w:hint="eastAsia" w:ascii="仿宋_GB2312" w:hAnsi="仿宋_GB2312" w:eastAsia="仿宋_GB2312" w:cs="仿宋_GB2312"/>
          <w:color w:val="000000"/>
          <w:sz w:val="32"/>
          <w:lang w:eastAsia="zh-CN"/>
        </w:rPr>
        <w:t>制造业</w:t>
      </w:r>
      <w:r>
        <w:rPr>
          <w:rStyle w:val="19"/>
          <w:rFonts w:hint="eastAsia" w:ascii="仿宋_GB2312" w:hAnsi="仿宋_GB2312" w:eastAsia="仿宋_GB2312" w:cs="仿宋_GB2312"/>
          <w:color w:val="000000"/>
          <w:sz w:val="32"/>
        </w:rPr>
        <w:t>企业</w:t>
      </w:r>
      <w:r>
        <w:rPr>
          <w:rStyle w:val="19"/>
          <w:rFonts w:hint="eastAsia" w:ascii="仿宋_GB2312" w:hAnsi="仿宋_GB2312" w:eastAsia="仿宋_GB2312" w:cs="仿宋_GB2312"/>
          <w:color w:val="000000"/>
          <w:sz w:val="32"/>
          <w:lang w:val="en-US" w:eastAsia="zh-CN"/>
        </w:rPr>
        <w:t>设立</w:t>
      </w:r>
      <w:bookmarkEnd w:id="48"/>
      <w:bookmarkEnd w:id="49"/>
      <w:bookmarkEnd w:id="50"/>
      <w:bookmarkEnd w:id="51"/>
      <w:bookmarkEnd w:id="52"/>
      <w:bookmarkEnd w:id="53"/>
      <w:r>
        <w:rPr>
          <w:rStyle w:val="19"/>
          <w:rFonts w:hint="eastAsia" w:ascii="仿宋_GB2312" w:hAnsi="仿宋_GB2312" w:eastAsia="仿宋_GB2312" w:cs="仿宋_GB2312"/>
          <w:color w:val="000000"/>
          <w:sz w:val="32"/>
          <w:lang w:val="en" w:eastAsia="zh-CN"/>
        </w:rPr>
        <w:t>销售公司</w:t>
      </w:r>
      <w:bookmarkEnd w:id="54"/>
    </w:p>
    <w:p>
      <w:pPr>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color w:val="000000"/>
          <w:sz w:val="32"/>
          <w:lang w:val="en-US" w:eastAsia="zh-CN"/>
        </w:rPr>
      </w:pPr>
      <w:r>
        <w:rPr>
          <w:rFonts w:hint="eastAsia" w:ascii="仿宋_GB2312" w:hAnsi="仿宋_GB2312" w:eastAsia="仿宋_GB2312" w:cs="仿宋_GB2312"/>
          <w:color w:val="000000"/>
          <w:sz w:val="32"/>
        </w:rPr>
        <w:t>鼓励</w:t>
      </w:r>
      <w:r>
        <w:rPr>
          <w:rFonts w:hint="eastAsia" w:ascii="仿宋_GB2312" w:hAnsi="仿宋_GB2312" w:eastAsia="仿宋_GB2312" w:cs="仿宋_GB2312"/>
          <w:color w:val="000000"/>
          <w:sz w:val="32"/>
          <w:lang w:eastAsia="zh-CN"/>
        </w:rPr>
        <w:t>制造业企业</w:t>
      </w:r>
      <w:r>
        <w:rPr>
          <w:rFonts w:hint="eastAsia" w:ascii="仿宋_GB2312" w:hAnsi="仿宋_GB2312" w:eastAsia="仿宋_GB2312" w:cs="仿宋_GB2312"/>
          <w:color w:val="000000"/>
          <w:sz w:val="32"/>
        </w:rPr>
        <w:t>成立</w:t>
      </w:r>
      <w:r>
        <w:rPr>
          <w:rFonts w:hint="eastAsia" w:ascii="仿宋_GB2312" w:hAnsi="仿宋_GB2312" w:eastAsia="仿宋_GB2312" w:cs="仿宋_GB2312"/>
          <w:color w:val="000000"/>
          <w:sz w:val="32"/>
          <w:lang w:eastAsia="zh-CN"/>
        </w:rPr>
        <w:t>专业化</w:t>
      </w:r>
      <w:r>
        <w:rPr>
          <w:rFonts w:hint="eastAsia" w:ascii="仿宋_GB2312" w:hAnsi="仿宋_GB2312" w:eastAsia="仿宋_GB2312" w:cs="仿宋_GB2312"/>
          <w:color w:val="000000"/>
          <w:sz w:val="32"/>
        </w:rPr>
        <w:t>公司对其产品进行销售。对</w:t>
      </w:r>
      <w:r>
        <w:rPr>
          <w:rFonts w:hint="eastAsia" w:ascii="仿宋_GB2312" w:hAnsi="仿宋_GB2312" w:eastAsia="仿宋_GB2312" w:cs="仿宋_GB2312"/>
          <w:color w:val="000000"/>
          <w:sz w:val="32"/>
          <w:lang w:eastAsia="zh-CN"/>
        </w:rPr>
        <w:t>制造业企业</w:t>
      </w:r>
      <w:r>
        <w:rPr>
          <w:rFonts w:hint="eastAsia" w:ascii="仿宋_GB2312" w:hAnsi="仿宋_GB2312" w:eastAsia="仿宋_GB2312" w:cs="仿宋_GB2312"/>
          <w:color w:val="000000"/>
          <w:sz w:val="32"/>
          <w:lang w:val="en-US" w:eastAsia="zh-CN"/>
        </w:rPr>
        <w:t>在合作区</w:t>
      </w:r>
      <w:r>
        <w:rPr>
          <w:rFonts w:hint="eastAsia" w:ascii="仿宋_GB2312" w:hAnsi="仿宋_GB2312" w:eastAsia="仿宋_GB2312" w:cs="仿宋_GB2312"/>
          <w:color w:val="000000"/>
          <w:sz w:val="32"/>
        </w:rPr>
        <w:t>设立</w:t>
      </w:r>
      <w:r>
        <w:rPr>
          <w:rFonts w:hint="eastAsia" w:ascii="仿宋_GB2312" w:hAnsi="仿宋_GB2312" w:eastAsia="仿宋_GB2312" w:cs="仿宋_GB2312"/>
          <w:color w:val="000000"/>
          <w:sz w:val="32"/>
          <w:lang w:val="en"/>
        </w:rPr>
        <w:t>的</w:t>
      </w:r>
      <w:r>
        <w:rPr>
          <w:rFonts w:hint="eastAsia" w:ascii="仿宋_GB2312" w:hAnsi="仿宋_GB2312" w:eastAsia="仿宋_GB2312" w:cs="仿宋_GB2312"/>
          <w:color w:val="000000"/>
          <w:sz w:val="32"/>
          <w:lang w:eastAsia="zh-CN"/>
        </w:rPr>
        <w:t>且</w:t>
      </w:r>
      <w:r>
        <w:rPr>
          <w:rFonts w:hint="eastAsia" w:ascii="仿宋_GB2312" w:hAnsi="仿宋_GB2312" w:eastAsia="仿宋_GB2312" w:cs="仿宋_GB2312"/>
          <w:color w:val="000000"/>
          <w:sz w:val="32"/>
          <w:lang w:val="en-US" w:eastAsia="zh-CN"/>
        </w:rPr>
        <w:t>成功纳统的</w:t>
      </w:r>
      <w:r>
        <w:rPr>
          <w:rFonts w:hint="eastAsia" w:ascii="仿宋_GB2312" w:hAnsi="仿宋_GB2312" w:eastAsia="仿宋_GB2312" w:cs="仿宋_GB2312"/>
          <w:color w:val="000000"/>
          <w:sz w:val="32"/>
          <w:lang w:val="en" w:eastAsia="zh-CN"/>
        </w:rPr>
        <w:t>销售公司</w:t>
      </w:r>
      <w:r>
        <w:rPr>
          <w:rFonts w:hint="eastAsia" w:ascii="仿宋_GB2312" w:hAnsi="仿宋_GB2312" w:eastAsia="仿宋_GB2312" w:cs="仿宋_GB2312"/>
          <w:color w:val="000000"/>
          <w:sz w:val="32"/>
          <w:highlight w:val="none"/>
        </w:rPr>
        <w:t>（</w:t>
      </w:r>
      <w:r>
        <w:rPr>
          <w:rFonts w:hint="eastAsia" w:ascii="仿宋_GB2312" w:hAnsi="仿宋_GB2312" w:eastAsia="仿宋_GB2312" w:cs="仿宋_GB2312"/>
          <w:color w:val="000000"/>
          <w:sz w:val="32"/>
          <w:highlight w:val="none"/>
          <w:lang w:val="en"/>
        </w:rPr>
        <w:t>属</w:t>
      </w:r>
      <w:r>
        <w:rPr>
          <w:rFonts w:hint="eastAsia" w:ascii="仿宋_GB2312" w:hAnsi="仿宋_GB2312" w:eastAsia="仿宋_GB2312" w:cs="仿宋_GB2312"/>
          <w:color w:val="000000"/>
          <w:sz w:val="32"/>
          <w:highlight w:val="none"/>
        </w:rPr>
        <w:t>批发</w:t>
      </w:r>
      <w:r>
        <w:rPr>
          <w:rFonts w:hint="eastAsia" w:ascii="仿宋_GB2312" w:hAnsi="仿宋_GB2312" w:eastAsia="仿宋_GB2312" w:cs="仿宋_GB2312"/>
          <w:color w:val="000000"/>
          <w:sz w:val="32"/>
          <w:highlight w:val="none"/>
          <w:lang w:eastAsia="zh-CN"/>
        </w:rPr>
        <w:t>业、</w:t>
      </w:r>
      <w:r>
        <w:rPr>
          <w:rFonts w:hint="eastAsia" w:ascii="仿宋_GB2312" w:hAnsi="仿宋_GB2312" w:eastAsia="仿宋_GB2312" w:cs="仿宋_GB2312"/>
          <w:color w:val="000000"/>
          <w:sz w:val="32"/>
          <w:highlight w:val="none"/>
        </w:rPr>
        <w:t>零售</w:t>
      </w:r>
      <w:r>
        <w:rPr>
          <w:rFonts w:hint="eastAsia" w:ascii="仿宋_GB2312" w:hAnsi="仿宋_GB2312" w:eastAsia="仿宋_GB2312" w:cs="仿宋_GB2312"/>
          <w:color w:val="000000"/>
          <w:sz w:val="32"/>
          <w:highlight w:val="none"/>
          <w:lang w:eastAsia="zh-CN"/>
        </w:rPr>
        <w:t>业企业</w:t>
      </w:r>
      <w:r>
        <w:rPr>
          <w:rFonts w:hint="eastAsia" w:ascii="仿宋_GB2312" w:hAnsi="仿宋_GB2312" w:eastAsia="仿宋_GB2312" w:cs="仿宋_GB2312"/>
          <w:color w:val="000000"/>
          <w:sz w:val="32"/>
          <w:highlight w:val="none"/>
        </w:rPr>
        <w:t>）</w:t>
      </w:r>
      <w:r>
        <w:rPr>
          <w:rFonts w:hint="eastAsia" w:ascii="仿宋_GB2312" w:hAnsi="仿宋_GB2312" w:eastAsia="仿宋_GB2312" w:cs="仿宋_GB2312"/>
          <w:color w:val="000000"/>
          <w:sz w:val="32"/>
          <w:highlight w:val="none"/>
          <w:lang w:eastAsia="zh-CN"/>
        </w:rPr>
        <w:t>，</w:t>
      </w:r>
      <w:r>
        <w:rPr>
          <w:rFonts w:hint="eastAsia" w:ascii="仿宋_GB2312" w:hAnsi="仿宋_GB2312" w:eastAsia="仿宋_GB2312" w:cs="仿宋_GB2312"/>
          <w:color w:val="000000"/>
          <w:sz w:val="32"/>
          <w:highlight w:val="none"/>
          <w:lang w:val="en-US" w:eastAsia="zh-CN"/>
        </w:rPr>
        <w:t>按其上年度销售额的2‰</w:t>
      </w:r>
      <w:r>
        <w:rPr>
          <w:rFonts w:hint="eastAsia" w:ascii="仿宋_GB2312" w:hAnsi="仿宋_GB2312" w:eastAsia="仿宋_GB2312" w:cs="仿宋_GB2312"/>
          <w:color w:val="000000"/>
          <w:sz w:val="32"/>
          <w:highlight w:val="none"/>
          <w:lang w:val="en" w:eastAsia="zh-CN"/>
        </w:rPr>
        <w:t>给予</w:t>
      </w:r>
      <w:r>
        <w:rPr>
          <w:rFonts w:hint="eastAsia" w:ascii="仿宋_GB2312" w:hAnsi="仿宋_GB2312" w:eastAsia="仿宋_GB2312" w:cs="仿宋_GB2312"/>
          <w:color w:val="000000"/>
          <w:sz w:val="32"/>
          <w:lang w:val="en" w:eastAsia="zh-CN"/>
        </w:rPr>
        <w:t>不超过</w:t>
      </w:r>
      <w:r>
        <w:rPr>
          <w:rFonts w:hint="eastAsia" w:ascii="仿宋_GB2312" w:hAnsi="仿宋_GB2312" w:eastAsia="仿宋_GB2312" w:cs="仿宋_GB2312"/>
          <w:color w:val="000000"/>
          <w:sz w:val="32"/>
          <w:lang w:val="en-US" w:eastAsia="zh-CN"/>
        </w:rPr>
        <w:t>50万元一次性奖励。</w:t>
      </w:r>
    </w:p>
    <w:p>
      <w:pPr>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000000"/>
          <w:sz w:val="32"/>
          <w:szCs w:val="22"/>
          <w:lang w:val="en-US" w:eastAsia="zh-CN"/>
        </w:rPr>
      </w:pPr>
      <w:r>
        <w:rPr>
          <w:rFonts w:hint="eastAsia" w:ascii="仿宋_GB2312" w:hAnsi="仿宋_GB2312" w:eastAsia="仿宋_GB2312" w:cs="仿宋_GB2312"/>
          <w:color w:val="000000"/>
          <w:sz w:val="32"/>
          <w:szCs w:val="22"/>
          <w:lang w:val="en-US" w:eastAsia="zh-CN"/>
        </w:rPr>
        <w:t>本条措施可与第二章第三条“</w:t>
      </w:r>
      <w:r>
        <w:rPr>
          <w:rFonts w:hint="eastAsia" w:ascii="仿宋_GB2312" w:hAnsi="仿宋_GB2312" w:eastAsia="仿宋_GB2312" w:cs="仿宋_GB2312"/>
          <w:color w:val="000000"/>
          <w:sz w:val="32"/>
        </w:rPr>
        <w:t>支持</w:t>
      </w:r>
      <w:r>
        <w:rPr>
          <w:rFonts w:hint="eastAsia" w:ascii="仿宋_GB2312" w:hAnsi="仿宋_GB2312" w:eastAsia="仿宋_GB2312" w:cs="仿宋_GB2312"/>
          <w:color w:val="000000"/>
          <w:sz w:val="32"/>
          <w:lang w:eastAsia="zh-CN"/>
        </w:rPr>
        <w:t>企业升规纳统</w:t>
      </w:r>
      <w:r>
        <w:rPr>
          <w:rFonts w:hint="eastAsia" w:ascii="仿宋_GB2312" w:hAnsi="仿宋_GB2312" w:eastAsia="仿宋_GB2312" w:cs="仿宋_GB2312"/>
          <w:color w:val="000000"/>
          <w:sz w:val="32"/>
          <w:szCs w:val="22"/>
          <w:lang w:val="en-US" w:eastAsia="zh-CN"/>
        </w:rPr>
        <w:t>”、第二章第四条“</w:t>
      </w:r>
      <w:r>
        <w:rPr>
          <w:rFonts w:hint="eastAsia" w:ascii="仿宋_GB2312" w:hAnsi="仿宋_GB2312" w:eastAsia="仿宋_GB2312" w:cs="仿宋_GB2312"/>
          <w:color w:val="000000"/>
          <w:sz w:val="32"/>
          <w:lang w:val="en"/>
        </w:rPr>
        <w:t>支持</w:t>
      </w:r>
      <w:r>
        <w:rPr>
          <w:rFonts w:hint="eastAsia" w:ascii="仿宋_GB2312" w:hAnsi="仿宋_GB2312" w:eastAsia="仿宋_GB2312" w:cs="仿宋_GB2312"/>
          <w:color w:val="000000"/>
          <w:sz w:val="32"/>
        </w:rPr>
        <w:t>企业发展壮大</w:t>
      </w:r>
      <w:r>
        <w:rPr>
          <w:rFonts w:hint="eastAsia" w:ascii="仿宋_GB2312" w:hAnsi="仿宋_GB2312" w:eastAsia="仿宋_GB2312" w:cs="仿宋_GB2312"/>
          <w:color w:val="000000"/>
          <w:sz w:val="32"/>
          <w:szCs w:val="22"/>
          <w:lang w:val="en-US" w:eastAsia="zh-CN"/>
        </w:rPr>
        <w:t>”奖励叠加享受。</w:t>
      </w:r>
    </w:p>
    <w:p>
      <w:pPr>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000000"/>
          <w:sz w:val="32"/>
          <w:szCs w:val="32"/>
          <w:highlight w:val="none"/>
          <w:lang w:val="en-US" w:eastAsia="zh-CN"/>
        </w:rPr>
      </w:pPr>
      <w:bookmarkStart w:id="55" w:name="_Toc341928137"/>
      <w:bookmarkStart w:id="56" w:name="_Toc1308947929"/>
      <w:bookmarkStart w:id="57" w:name="_Toc1819268554"/>
      <w:bookmarkStart w:id="58" w:name="_Toc775665237"/>
      <w:bookmarkStart w:id="59" w:name="_Toc489549568"/>
      <w:bookmarkStart w:id="60" w:name="_Toc719571084"/>
      <w:r>
        <w:rPr>
          <w:rStyle w:val="19"/>
          <w:rFonts w:hint="eastAsia" w:ascii="CESI黑体-GB13000" w:hAnsi="CESI黑体-GB13000" w:eastAsia="CESI黑体-GB13000" w:cs="CESI黑体-GB13000"/>
          <w:b w:val="0"/>
          <w:bCs w:val="0"/>
          <w:color w:val="auto"/>
          <w:sz w:val="32"/>
          <w:highlight w:val="none"/>
        </w:rPr>
        <w:t>第</w:t>
      </w:r>
      <w:r>
        <w:rPr>
          <w:rStyle w:val="19"/>
          <w:rFonts w:hint="eastAsia" w:ascii="CESI黑体-GB13000" w:hAnsi="CESI黑体-GB13000" w:eastAsia="CESI黑体-GB13000" w:cs="CESI黑体-GB13000"/>
          <w:b w:val="0"/>
          <w:bCs w:val="0"/>
          <w:color w:val="auto"/>
          <w:sz w:val="32"/>
          <w:highlight w:val="none"/>
          <w:lang w:eastAsia="zh-CN"/>
        </w:rPr>
        <w:t>六</w:t>
      </w:r>
      <w:r>
        <w:rPr>
          <w:rStyle w:val="19"/>
          <w:rFonts w:hint="eastAsia" w:ascii="CESI黑体-GB13000" w:hAnsi="CESI黑体-GB13000" w:eastAsia="CESI黑体-GB13000" w:cs="CESI黑体-GB13000"/>
          <w:b w:val="0"/>
          <w:bCs w:val="0"/>
          <w:color w:val="auto"/>
          <w:sz w:val="32"/>
          <w:highlight w:val="none"/>
        </w:rPr>
        <w:t>条</w:t>
      </w:r>
      <w:r>
        <w:rPr>
          <w:rStyle w:val="19"/>
          <w:rFonts w:hint="default" w:ascii="Calibri" w:hAnsi="Calibri" w:eastAsia="宋体" w:cs="Times New Roman"/>
          <w:b/>
          <w:bCs/>
          <w:color w:val="000000"/>
          <w:sz w:val="32"/>
          <w:lang w:val="en"/>
        </w:rPr>
        <w:t xml:space="preserve"> </w:t>
      </w:r>
      <w:r>
        <w:rPr>
          <w:rStyle w:val="19"/>
          <w:rFonts w:hint="eastAsia" w:ascii="Calibri" w:hAnsi="Calibri" w:eastAsia="宋体" w:cs="Times New Roman"/>
          <w:color w:val="000000"/>
          <w:sz w:val="32"/>
          <w:lang w:val="en-US" w:eastAsia="zh-CN"/>
        </w:rPr>
        <w:t xml:space="preserve"> </w:t>
      </w:r>
      <w:r>
        <w:rPr>
          <w:rStyle w:val="19"/>
          <w:rFonts w:hint="eastAsia" w:ascii="仿宋_GB2312" w:hAnsi="仿宋_GB2312" w:eastAsia="仿宋_GB2312" w:cs="仿宋_GB2312"/>
          <w:color w:val="000000"/>
          <w:sz w:val="32"/>
          <w:szCs w:val="32"/>
          <w:lang w:val="en-US" w:eastAsia="zh-CN"/>
        </w:rPr>
        <w:t>支持</w:t>
      </w:r>
      <w:r>
        <w:rPr>
          <w:rStyle w:val="19"/>
          <w:rFonts w:hint="eastAsia" w:ascii="仿宋_GB2312" w:hAnsi="仿宋_GB2312" w:eastAsia="仿宋_GB2312" w:cs="仿宋_GB2312"/>
          <w:color w:val="000000"/>
          <w:sz w:val="32"/>
          <w:szCs w:val="32"/>
          <w:lang w:val="en" w:eastAsia="zh-CN"/>
        </w:rPr>
        <w:t>企业</w:t>
      </w:r>
      <w:r>
        <w:rPr>
          <w:rStyle w:val="19"/>
          <w:rFonts w:hint="eastAsia" w:ascii="仿宋_GB2312" w:hAnsi="仿宋_GB2312" w:eastAsia="仿宋_GB2312" w:cs="仿宋_GB2312"/>
          <w:color w:val="000000"/>
          <w:sz w:val="32"/>
          <w:szCs w:val="32"/>
          <w:lang w:val="en-US" w:eastAsia="zh-CN"/>
        </w:rPr>
        <w:t>合理使用外资</w:t>
      </w:r>
      <w:bookmarkEnd w:id="55"/>
      <w:bookmarkEnd w:id="56"/>
      <w:bookmarkEnd w:id="57"/>
      <w:bookmarkEnd w:id="58"/>
      <w:bookmarkEnd w:id="59"/>
      <w:bookmarkEnd w:id="60"/>
    </w:p>
    <w:p>
      <w:pPr>
        <w:pageBreakBefore w:val="0"/>
        <w:widowControl w:val="0"/>
        <w:kinsoku/>
        <w:wordWrap/>
        <w:overflowPunct/>
        <w:topLinePunct w:val="0"/>
        <w:autoSpaceDE/>
        <w:autoSpaceDN/>
        <w:bidi w:val="0"/>
        <w:adjustRightInd/>
        <w:snapToGrid w:val="0"/>
        <w:spacing w:line="560" w:lineRule="exact"/>
        <w:ind w:right="-162" w:rightChars="-77"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对合作区</w:t>
      </w:r>
      <w:r>
        <w:rPr>
          <w:rFonts w:hint="eastAsia" w:ascii="仿宋_GB2312" w:hAnsi="仿宋_GB2312" w:eastAsia="仿宋_GB2312" w:cs="仿宋_GB2312"/>
          <w:color w:val="000000"/>
          <w:kern w:val="2"/>
          <w:sz w:val="32"/>
          <w:szCs w:val="32"/>
          <w:lang w:val="en-US" w:eastAsia="zh-CN" w:bidi="ar-SA"/>
        </w:rPr>
        <w:t>批发、零售、住宿、餐饮业企业，租赁和商务服务业企业，居民服务、修理和其他服务业企业</w:t>
      </w:r>
      <w:r>
        <w:rPr>
          <w:rFonts w:hint="eastAsia" w:ascii="仿宋_GB2312" w:hAnsi="仿宋_GB2312" w:eastAsia="仿宋_GB2312" w:cs="仿宋_GB2312"/>
          <w:color w:val="000000"/>
          <w:kern w:val="2"/>
          <w:sz w:val="32"/>
          <w:szCs w:val="32"/>
          <w:highlight w:val="none"/>
          <w:lang w:val="en-US" w:eastAsia="zh-CN" w:bidi="ar-SA"/>
        </w:rPr>
        <w:t>使用外资的，按其上一年在合作区实际使用外资金</w:t>
      </w:r>
      <w:r>
        <w:rPr>
          <w:rFonts w:hint="eastAsia" w:ascii="仿宋_GB2312" w:hAnsi="仿宋_GB2312" w:eastAsia="仿宋_GB2312" w:cs="仿宋_GB2312"/>
          <w:color w:val="000000"/>
          <w:kern w:val="2"/>
          <w:sz w:val="32"/>
          <w:szCs w:val="32"/>
          <w:lang w:val="en-US" w:eastAsia="zh-CN" w:bidi="ar-SA"/>
        </w:rPr>
        <w:t>额的0.5%给予不超过100万元资金奖励。</w:t>
      </w:r>
    </w:p>
    <w:p>
      <w:pPr>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Times New Roman"/>
          <w:color w:val="000000"/>
          <w:kern w:val="2"/>
          <w:sz w:val="32"/>
          <w:szCs w:val="22"/>
          <w:lang w:val="en-US" w:eastAsia="zh-CN" w:bidi="ar-SA"/>
        </w:rPr>
      </w:pPr>
    </w:p>
    <w:p>
      <w:pPr>
        <w:keepNext/>
        <w:keepLines/>
        <w:pageBreakBefore w:val="0"/>
        <w:widowControl w:val="0"/>
        <w:kinsoku/>
        <w:wordWrap/>
        <w:overflowPunct/>
        <w:topLinePunct w:val="0"/>
        <w:autoSpaceDE/>
        <w:autoSpaceDN/>
        <w:bidi w:val="0"/>
        <w:adjustRightInd/>
        <w:snapToGrid w:val="0"/>
        <w:spacing w:before="0" w:after="0" w:line="560" w:lineRule="exact"/>
        <w:ind w:firstLine="0" w:firstLineChars="0"/>
        <w:jc w:val="center"/>
        <w:textAlignment w:val="auto"/>
        <w:outlineLvl w:val="0"/>
        <w:rPr>
          <w:rFonts w:hint="eastAsia" w:ascii="黑体" w:hAnsi="黑体" w:eastAsia="黑体" w:cs="Times New Roman"/>
          <w:bCs/>
          <w:color w:val="1A1A1A"/>
          <w:kern w:val="2"/>
          <w:sz w:val="32"/>
          <w:szCs w:val="36"/>
          <w:lang w:val="en-US" w:eastAsia="zh-CN" w:bidi="ar-SA"/>
        </w:rPr>
      </w:pPr>
      <w:bookmarkStart w:id="61" w:name="_Toc18843"/>
      <w:bookmarkStart w:id="62" w:name="_Toc954919414_WPSOffice_Level1"/>
      <w:bookmarkStart w:id="63" w:name="_Toc978846243"/>
      <w:bookmarkStart w:id="64" w:name="_Toc948889259"/>
      <w:bookmarkStart w:id="65" w:name="_Toc1833952650"/>
      <w:bookmarkStart w:id="66" w:name="_Toc1668658732"/>
      <w:bookmarkStart w:id="67" w:name="_Toc1445451692"/>
      <w:bookmarkStart w:id="68" w:name="_Toc1692774393"/>
      <w:r>
        <w:rPr>
          <w:rFonts w:hint="eastAsia" w:ascii="黑体" w:hAnsi="黑体" w:eastAsia="黑体" w:cs="Times New Roman"/>
          <w:bCs/>
          <w:color w:val="1A1A1A"/>
          <w:kern w:val="2"/>
          <w:sz w:val="32"/>
          <w:szCs w:val="36"/>
          <w:lang w:val="en-US" w:eastAsia="zh-CN" w:bidi="ar-SA"/>
        </w:rPr>
        <w:t>第三章  支持</w:t>
      </w:r>
      <w:r>
        <w:rPr>
          <w:rFonts w:ascii="黑体" w:hAnsi="黑体" w:eastAsia="黑体" w:cs="Times New Roman"/>
          <w:bCs/>
          <w:color w:val="1A1A1A"/>
          <w:kern w:val="2"/>
          <w:sz w:val="32"/>
          <w:szCs w:val="36"/>
          <w:lang w:val="en-US" w:eastAsia="zh-CN" w:bidi="ar-SA"/>
        </w:rPr>
        <w:t>商业</w:t>
      </w:r>
      <w:bookmarkEnd w:id="61"/>
      <w:bookmarkEnd w:id="62"/>
      <w:r>
        <w:rPr>
          <w:rFonts w:hint="eastAsia" w:ascii="黑体" w:hAnsi="黑体" w:eastAsia="黑体" w:cs="Times New Roman"/>
          <w:bCs/>
          <w:color w:val="1A1A1A"/>
          <w:kern w:val="2"/>
          <w:sz w:val="32"/>
          <w:szCs w:val="36"/>
          <w:lang w:val="en-US" w:eastAsia="zh-CN" w:bidi="ar-SA"/>
        </w:rPr>
        <w:t>综合体发展</w:t>
      </w:r>
      <w:bookmarkEnd w:id="63"/>
      <w:bookmarkEnd w:id="64"/>
      <w:bookmarkEnd w:id="65"/>
      <w:bookmarkEnd w:id="66"/>
      <w:bookmarkEnd w:id="67"/>
      <w:bookmarkEnd w:id="68"/>
    </w:p>
    <w:p>
      <w:pPr>
        <w:keepNext/>
        <w:keepLines/>
        <w:pageBreakBefore w:val="0"/>
        <w:widowControl w:val="0"/>
        <w:kinsoku/>
        <w:wordWrap/>
        <w:overflowPunct/>
        <w:topLinePunct w:val="0"/>
        <w:autoSpaceDE/>
        <w:autoSpaceDN/>
        <w:bidi w:val="0"/>
        <w:adjustRightInd/>
        <w:snapToGrid w:val="0"/>
        <w:spacing w:beforeAutospacing="0" w:afterAutospacing="0" w:line="560" w:lineRule="exact"/>
        <w:ind w:firstLine="642" w:firstLineChars="200"/>
        <w:jc w:val="both"/>
        <w:textAlignment w:val="auto"/>
        <w:outlineLvl w:val="1"/>
        <w:rPr>
          <w:rFonts w:hint="eastAsia" w:ascii="仿宋_GB2312" w:hAnsi="仿宋_GB2312" w:eastAsia="仿宋_GB2312" w:cs="Times New Roman"/>
          <w:b/>
          <w:bCs/>
          <w:color w:val="000000"/>
          <w:kern w:val="2"/>
          <w:sz w:val="32"/>
          <w:szCs w:val="22"/>
          <w:lang w:val="en-US" w:eastAsia="zh-CN" w:bidi="ar-SA"/>
        </w:rPr>
      </w:pPr>
      <w:bookmarkStart w:id="69" w:name="_Toc372285151"/>
      <w:bookmarkStart w:id="70" w:name="_Toc1267414494"/>
      <w:bookmarkStart w:id="71" w:name="_Toc22363"/>
      <w:bookmarkStart w:id="72" w:name="_Toc2020569452"/>
      <w:bookmarkStart w:id="73" w:name="_Toc1726214709"/>
      <w:bookmarkStart w:id="74" w:name="_Toc1055582166"/>
      <w:bookmarkStart w:id="75" w:name="_Toc1400135078"/>
    </w:p>
    <w:p>
      <w:pPr>
        <w:keepNext/>
        <w:keepLines/>
        <w:pageBreakBefore w:val="0"/>
        <w:widowControl w:val="0"/>
        <w:kinsoku/>
        <w:wordWrap/>
        <w:overflowPunct/>
        <w:topLinePunct w:val="0"/>
        <w:autoSpaceDE/>
        <w:autoSpaceDN/>
        <w:bidi w:val="0"/>
        <w:adjustRightInd/>
        <w:snapToGrid w:val="0"/>
        <w:spacing w:beforeAutospacing="0" w:afterAutospacing="0" w:line="560" w:lineRule="exact"/>
        <w:ind w:firstLine="640" w:firstLineChars="200"/>
        <w:jc w:val="both"/>
        <w:textAlignment w:val="auto"/>
        <w:outlineLvl w:val="1"/>
        <w:rPr>
          <w:rFonts w:hint="eastAsia" w:ascii="仿宋_GB2312" w:hAnsi="仿宋_GB2312" w:eastAsia="仿宋_GB2312" w:cs="Times New Roman"/>
          <w:color w:val="000000"/>
          <w:kern w:val="2"/>
          <w:sz w:val="32"/>
          <w:szCs w:val="22"/>
          <w:lang w:val="en-US" w:eastAsia="zh-CN" w:bidi="ar-SA"/>
        </w:rPr>
      </w:pPr>
      <w:r>
        <w:rPr>
          <w:rFonts w:hint="eastAsia" w:ascii="CESI黑体-GB13000" w:hAnsi="CESI黑体-GB13000" w:eastAsia="CESI黑体-GB13000" w:cs="CESI黑体-GB13000"/>
          <w:b w:val="0"/>
          <w:bCs w:val="0"/>
          <w:color w:val="auto"/>
          <w:kern w:val="2"/>
          <w:sz w:val="32"/>
          <w:szCs w:val="22"/>
          <w:highlight w:val="none"/>
          <w:lang w:val="en-US" w:eastAsia="zh-CN" w:bidi="ar-SA"/>
        </w:rPr>
        <w:t>第七条</w:t>
      </w:r>
      <w:r>
        <w:rPr>
          <w:rFonts w:hint="default" w:ascii="仿宋_GB2312" w:hAnsi="仿宋_GB2312" w:eastAsia="仿宋_GB2312" w:cs="Times New Roman"/>
          <w:b/>
          <w:bCs/>
          <w:color w:val="000000"/>
          <w:kern w:val="2"/>
          <w:sz w:val="32"/>
          <w:szCs w:val="22"/>
          <w:lang w:val="en" w:eastAsia="zh-CN" w:bidi="ar-SA"/>
        </w:rPr>
        <w:t xml:space="preserve"> </w:t>
      </w:r>
      <w:r>
        <w:rPr>
          <w:rFonts w:hint="eastAsia" w:ascii="仿宋_GB2312" w:hAnsi="仿宋_GB2312" w:eastAsia="仿宋_GB2312" w:cs="Times New Roman"/>
          <w:color w:val="000000"/>
          <w:kern w:val="2"/>
          <w:sz w:val="32"/>
          <w:szCs w:val="22"/>
          <w:lang w:val="en-US" w:eastAsia="zh-CN" w:bidi="ar-SA"/>
        </w:rPr>
        <w:t xml:space="preserve"> 支持商业综合体开设</w:t>
      </w:r>
      <w:bookmarkEnd w:id="69"/>
      <w:bookmarkEnd w:id="70"/>
      <w:bookmarkEnd w:id="71"/>
      <w:bookmarkEnd w:id="72"/>
      <w:bookmarkEnd w:id="73"/>
      <w:bookmarkEnd w:id="74"/>
      <w:bookmarkEnd w:id="75"/>
    </w:p>
    <w:p>
      <w:pPr>
        <w:keepNext/>
        <w:keepLines/>
        <w:pageBreakBefore w:val="0"/>
        <w:widowControl w:val="0"/>
        <w:kinsoku/>
        <w:wordWrap/>
        <w:overflowPunct/>
        <w:topLinePunct w:val="0"/>
        <w:autoSpaceDE/>
        <w:autoSpaceDN/>
        <w:bidi w:val="0"/>
        <w:adjustRightInd/>
        <w:snapToGrid w:val="0"/>
        <w:spacing w:beforeAutospacing="0" w:afterAutospacing="0" w:line="560" w:lineRule="exact"/>
        <w:ind w:firstLine="640" w:firstLineChars="200"/>
        <w:jc w:val="both"/>
        <w:textAlignment w:val="auto"/>
        <w:outlineLvl w:val="1"/>
        <w:rPr>
          <w:rFonts w:hint="eastAsia" w:ascii="仿宋_GB2312" w:hAnsi="仿宋_GB2312" w:eastAsia="仿宋_GB2312" w:cs="Times New Roman"/>
          <w:b/>
          <w:bCs/>
          <w:color w:val="000000"/>
          <w:kern w:val="2"/>
          <w:sz w:val="32"/>
          <w:szCs w:val="22"/>
          <w:lang w:val="en-US" w:eastAsia="zh-CN" w:bidi="ar-SA"/>
        </w:rPr>
      </w:pPr>
      <w:r>
        <w:rPr>
          <w:rFonts w:hint="eastAsia" w:ascii="仿宋_GB2312" w:hAnsi="仿宋_GB2312" w:eastAsia="仿宋_GB2312" w:cs="Times New Roman"/>
          <w:color w:val="000000"/>
          <w:kern w:val="2"/>
          <w:sz w:val="32"/>
          <w:szCs w:val="22"/>
          <w:highlight w:val="none"/>
          <w:lang w:val="en-US" w:eastAsia="zh-CN" w:bidi="ar-SA"/>
        </w:rPr>
        <w:t>对在合作区新开设建筑面积达1万（含）-2万（不含）平方米、2万（含）-3万（不含）平方米、3万（含）平方米以上的商业综合体，经区商务主管部门备案，开业满一年后，分别给予其运营主体60万元、80万元、100万元一次性奖励。</w:t>
      </w:r>
      <w:bookmarkStart w:id="76" w:name="_Toc21473"/>
      <w:bookmarkStart w:id="77" w:name="_Toc824826770"/>
      <w:bookmarkStart w:id="78" w:name="_Toc231803480"/>
      <w:bookmarkStart w:id="79" w:name="_Toc725797301"/>
      <w:bookmarkStart w:id="80" w:name="_Toc1854755109"/>
      <w:bookmarkStart w:id="81" w:name="_Toc1986863437"/>
      <w:bookmarkStart w:id="82" w:name="_Toc222673548"/>
      <w:bookmarkStart w:id="83" w:name="_Toc21958"/>
    </w:p>
    <w:p>
      <w:pPr>
        <w:keepNext/>
        <w:keepLines/>
        <w:pageBreakBefore w:val="0"/>
        <w:widowControl w:val="0"/>
        <w:kinsoku/>
        <w:wordWrap/>
        <w:overflowPunct/>
        <w:topLinePunct w:val="0"/>
        <w:autoSpaceDE/>
        <w:autoSpaceDN/>
        <w:bidi w:val="0"/>
        <w:adjustRightInd/>
        <w:snapToGrid w:val="0"/>
        <w:spacing w:beforeAutospacing="0" w:afterAutospacing="0" w:line="560" w:lineRule="exact"/>
        <w:ind w:firstLine="640" w:firstLineChars="200"/>
        <w:jc w:val="both"/>
        <w:textAlignment w:val="auto"/>
        <w:outlineLvl w:val="1"/>
        <w:rPr>
          <w:rFonts w:hint="eastAsia" w:ascii="仿宋_GB2312" w:hAnsi="仿宋_GB2312" w:eastAsia="仿宋_GB2312" w:cs="Times New Roman"/>
          <w:color w:val="000000"/>
          <w:kern w:val="2"/>
          <w:sz w:val="32"/>
          <w:szCs w:val="22"/>
          <w:lang w:val="en-US" w:eastAsia="zh-CN" w:bidi="ar-SA"/>
        </w:rPr>
      </w:pPr>
      <w:r>
        <w:rPr>
          <w:rFonts w:hint="eastAsia" w:ascii="CESI黑体-GB13000" w:hAnsi="CESI黑体-GB13000" w:eastAsia="CESI黑体-GB13000" w:cs="CESI黑体-GB13000"/>
          <w:b w:val="0"/>
          <w:bCs w:val="0"/>
          <w:color w:val="auto"/>
          <w:kern w:val="2"/>
          <w:sz w:val="32"/>
          <w:szCs w:val="22"/>
          <w:highlight w:val="none"/>
          <w:lang w:val="en-US" w:eastAsia="zh-CN" w:bidi="ar-SA"/>
        </w:rPr>
        <w:t>第八条</w:t>
      </w:r>
      <w:r>
        <w:rPr>
          <w:rFonts w:hint="default" w:ascii="仿宋_GB2312" w:hAnsi="仿宋_GB2312" w:eastAsia="仿宋_GB2312" w:cs="Times New Roman"/>
          <w:b/>
          <w:bCs/>
          <w:color w:val="000000"/>
          <w:kern w:val="2"/>
          <w:sz w:val="32"/>
          <w:szCs w:val="22"/>
          <w:lang w:val="en" w:eastAsia="zh-CN" w:bidi="ar-SA"/>
        </w:rPr>
        <w:t xml:space="preserve"> </w:t>
      </w:r>
      <w:r>
        <w:rPr>
          <w:rFonts w:hint="eastAsia" w:ascii="仿宋_GB2312" w:hAnsi="仿宋_GB2312" w:eastAsia="仿宋_GB2312" w:cs="Times New Roman"/>
          <w:color w:val="000000"/>
          <w:kern w:val="2"/>
          <w:sz w:val="32"/>
          <w:szCs w:val="22"/>
          <w:lang w:val="en-US" w:eastAsia="zh-CN" w:bidi="ar-SA"/>
        </w:rPr>
        <w:t xml:space="preserve"> </w:t>
      </w:r>
      <w:bookmarkEnd w:id="76"/>
      <w:bookmarkEnd w:id="77"/>
      <w:bookmarkEnd w:id="78"/>
      <w:bookmarkEnd w:id="79"/>
      <w:bookmarkEnd w:id="80"/>
      <w:bookmarkEnd w:id="81"/>
      <w:bookmarkEnd w:id="82"/>
      <w:bookmarkEnd w:id="83"/>
      <w:r>
        <w:rPr>
          <w:rFonts w:hint="eastAsia" w:ascii="仿宋_GB2312" w:hAnsi="仿宋_GB2312" w:eastAsia="仿宋_GB2312" w:cs="Times New Roman"/>
          <w:color w:val="000000"/>
          <w:kern w:val="2"/>
          <w:sz w:val="32"/>
          <w:szCs w:val="22"/>
          <w:lang w:val="en-US" w:eastAsia="zh-CN" w:bidi="ar-SA"/>
        </w:rPr>
        <w:t>支持商业综合体开设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bookmarkStart w:id="84" w:name="_Toc14304"/>
      <w:bookmarkStart w:id="85" w:name="_Toc437207496_WPSOffice_Level1"/>
      <w:r>
        <w:rPr>
          <w:rFonts w:hint="eastAsia" w:ascii="仿宋_GB2312" w:hAnsi="仿宋_GB2312" w:eastAsia="仿宋_GB2312" w:cs="仿宋_GB2312"/>
          <w:color w:val="000000"/>
          <w:sz w:val="32"/>
          <w:szCs w:val="32"/>
        </w:rPr>
        <w:t>（一）对合作区商业综合体场内引进注册于合作区的独立法人商户</w:t>
      </w:r>
      <w:r>
        <w:rPr>
          <w:rFonts w:hint="eastAsia" w:ascii="仿宋_GB2312" w:hAnsi="仿宋_GB2312" w:eastAsia="仿宋_GB2312" w:cs="仿宋_GB2312"/>
          <w:color w:val="000000"/>
          <w:sz w:val="32"/>
          <w:szCs w:val="32"/>
          <w:highlight w:val="none"/>
        </w:rPr>
        <w:t>，与商户签订两年</w:t>
      </w:r>
      <w:r>
        <w:rPr>
          <w:rFonts w:hint="eastAsia" w:ascii="仿宋_GB2312" w:hAnsi="仿宋_GB2312" w:eastAsia="仿宋_GB2312" w:cs="仿宋_GB2312"/>
          <w:color w:val="000000"/>
          <w:sz w:val="32"/>
          <w:szCs w:val="32"/>
          <w:highlight w:val="none"/>
          <w:lang w:eastAsia="zh-CN"/>
        </w:rPr>
        <w:t>及</w:t>
      </w:r>
      <w:r>
        <w:rPr>
          <w:rFonts w:hint="eastAsia" w:ascii="仿宋_GB2312" w:hAnsi="仿宋_GB2312" w:eastAsia="仿宋_GB2312" w:cs="仿宋_GB2312"/>
          <w:color w:val="000000"/>
          <w:sz w:val="32"/>
          <w:szCs w:val="32"/>
          <w:highlight w:val="none"/>
        </w:rPr>
        <w:t>以上入驻协议且正常经营满一年的</w:t>
      </w:r>
      <w:r>
        <w:rPr>
          <w:rFonts w:hint="eastAsia" w:ascii="仿宋_GB2312" w:hAnsi="仿宋_GB2312" w:eastAsia="仿宋_GB2312" w:cs="Times New Roman"/>
          <w:color w:val="000000"/>
          <w:kern w:val="2"/>
          <w:sz w:val="32"/>
          <w:szCs w:val="22"/>
          <w:highlight w:val="none"/>
          <w:lang w:val="en-US" w:eastAsia="zh-CN" w:bidi="ar-SA"/>
        </w:rPr>
        <w:t>，按</w:t>
      </w:r>
      <w:r>
        <w:rPr>
          <w:rFonts w:hint="eastAsia" w:ascii="仿宋_GB2312" w:hAnsi="仿宋_GB2312" w:eastAsia="仿宋_GB2312" w:cs="仿宋_GB2312"/>
          <w:color w:val="000000"/>
          <w:sz w:val="32"/>
          <w:szCs w:val="32"/>
          <w:lang w:val="en-US" w:eastAsia="zh-CN"/>
        </w:rPr>
        <w:t>单位面积营业额分</w:t>
      </w:r>
      <w:r>
        <w:rPr>
          <w:rFonts w:hint="eastAsia" w:ascii="仿宋_GB2312" w:hAnsi="仿宋_GB2312" w:eastAsia="仿宋_GB2312" w:cs="Times New Roman"/>
          <w:color w:val="000000"/>
          <w:kern w:val="2"/>
          <w:sz w:val="32"/>
          <w:szCs w:val="22"/>
          <w:highlight w:val="none"/>
          <w:lang w:val="en-US" w:eastAsia="zh-CN" w:bidi="ar-SA"/>
        </w:rPr>
        <w:t>级给予商业综合体的运营主体资金奖励，单个运营主体每年最高奖励40</w:t>
      </w:r>
      <w:r>
        <w:rPr>
          <w:rFonts w:hint="eastAsia" w:ascii="仿宋_GB2312" w:hAnsi="仿宋_GB2312" w:eastAsia="仿宋_GB2312" w:cs="仿宋_GB2312"/>
          <w:color w:val="000000"/>
          <w:sz w:val="32"/>
          <w:szCs w:val="32"/>
        </w:rPr>
        <w:t>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对合作区商业综合体的运营主体成功推动场内批发、零售、住宿、餐饮业企业，租赁和商务服务业企业，居民服务、修理和其他服务业企业首次纳统（非转专业）的，给予运营主体5万元/户奖励，单个运营主体每年最高奖励100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Times New Roman"/>
          <w:color w:val="000000"/>
          <w:sz w:val="32"/>
        </w:rPr>
      </w:pPr>
      <w:r>
        <w:rPr>
          <w:rFonts w:hint="eastAsia" w:ascii="仿宋_GB2312" w:hAnsi="仿宋_GB2312" w:eastAsia="仿宋_GB2312" w:cs="仿宋_GB2312"/>
          <w:color w:val="000000"/>
          <w:sz w:val="32"/>
          <w:szCs w:val="32"/>
        </w:rPr>
        <w:t>（三）对合作区商业综合体场内纳统企业上年度纳统总营业收入同比每增加500万元，给予商业综合体的运营主体5万元奖励，单个运营主体每年最高奖励</w:t>
      </w:r>
      <w:r>
        <w:rPr>
          <w:rFonts w:hint="eastAsia" w:ascii="仿宋_GB2312" w:hAnsi="仿宋_GB2312" w:eastAsia="仿宋_GB2312" w:cs="仿宋_GB2312"/>
          <w:color w:val="000000"/>
          <w:sz w:val="32"/>
          <w:szCs w:val="32"/>
          <w:lang w:val="en-US" w:eastAsia="zh-CN"/>
        </w:rPr>
        <w:t>10</w:t>
      </w:r>
      <w:r>
        <w:rPr>
          <w:rFonts w:hint="eastAsia" w:ascii="仿宋_GB2312" w:hAnsi="仿宋_GB2312" w:eastAsia="仿宋_GB2312" w:cs="仿宋_GB2312"/>
          <w:color w:val="000000"/>
          <w:sz w:val="32"/>
          <w:szCs w:val="32"/>
        </w:rPr>
        <w:t>0万元。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p>
    <w:p>
      <w:pPr>
        <w:keepNext/>
        <w:keepLines/>
        <w:pageBreakBefore w:val="0"/>
        <w:widowControl w:val="0"/>
        <w:kinsoku/>
        <w:wordWrap/>
        <w:overflowPunct/>
        <w:topLinePunct w:val="0"/>
        <w:autoSpaceDE/>
        <w:autoSpaceDN/>
        <w:bidi w:val="0"/>
        <w:adjustRightInd/>
        <w:snapToGrid w:val="0"/>
        <w:spacing w:before="0" w:after="0" w:line="560" w:lineRule="exact"/>
        <w:ind w:firstLine="0" w:firstLineChars="0"/>
        <w:jc w:val="center"/>
        <w:textAlignment w:val="auto"/>
        <w:outlineLvl w:val="0"/>
        <w:rPr>
          <w:rFonts w:hint="eastAsia" w:ascii="黑体" w:hAnsi="黑体" w:eastAsia="黑体" w:cs="Times New Roman"/>
          <w:bCs/>
          <w:color w:val="1A1A1A"/>
          <w:kern w:val="2"/>
          <w:sz w:val="32"/>
          <w:szCs w:val="36"/>
          <w:lang w:val="en-US" w:eastAsia="zh-CN" w:bidi="ar-SA"/>
        </w:rPr>
      </w:pPr>
      <w:bookmarkStart w:id="86" w:name="_Toc1207532806"/>
      <w:bookmarkStart w:id="87" w:name="_Toc1968118101"/>
      <w:bookmarkStart w:id="88" w:name="_Toc508140592"/>
      <w:bookmarkStart w:id="89" w:name="_Toc1148210537"/>
      <w:bookmarkStart w:id="90" w:name="_Toc647385307"/>
      <w:bookmarkStart w:id="91" w:name="_Toc1196085139"/>
      <w:r>
        <w:rPr>
          <w:rFonts w:hint="eastAsia" w:ascii="黑体" w:hAnsi="黑体" w:eastAsia="黑体" w:cs="Times New Roman"/>
          <w:bCs/>
          <w:color w:val="1A1A1A"/>
          <w:kern w:val="2"/>
          <w:sz w:val="32"/>
          <w:szCs w:val="36"/>
          <w:lang w:val="en-US" w:eastAsia="zh-CN" w:bidi="ar-SA"/>
        </w:rPr>
        <w:t xml:space="preserve">第四章 </w:t>
      </w:r>
      <w:bookmarkEnd w:id="84"/>
      <w:bookmarkEnd w:id="85"/>
      <w:r>
        <w:rPr>
          <w:rFonts w:hint="default" w:ascii="黑体" w:hAnsi="黑体" w:eastAsia="黑体" w:cs="Times New Roman"/>
          <w:bCs/>
          <w:color w:val="1A1A1A"/>
          <w:kern w:val="2"/>
          <w:sz w:val="32"/>
          <w:szCs w:val="36"/>
          <w:lang w:val="en" w:eastAsia="zh-CN" w:bidi="ar-SA"/>
        </w:rPr>
        <w:t xml:space="preserve"> </w:t>
      </w:r>
      <w:r>
        <w:rPr>
          <w:rFonts w:hint="eastAsia" w:ascii="黑体" w:hAnsi="黑体" w:eastAsia="黑体" w:cs="Times New Roman"/>
          <w:bCs/>
          <w:color w:val="1A1A1A"/>
          <w:kern w:val="2"/>
          <w:sz w:val="32"/>
          <w:szCs w:val="36"/>
          <w:lang w:val="en-US" w:eastAsia="zh-CN" w:bidi="ar-SA"/>
        </w:rPr>
        <w:t>支持品牌业态发展</w:t>
      </w:r>
      <w:bookmarkEnd w:id="86"/>
      <w:bookmarkEnd w:id="87"/>
      <w:bookmarkEnd w:id="88"/>
      <w:bookmarkEnd w:id="89"/>
      <w:bookmarkEnd w:id="90"/>
      <w:bookmarkEnd w:id="91"/>
      <w:bookmarkStart w:id="92" w:name="_Toc24497"/>
    </w:p>
    <w:p>
      <w:pPr>
        <w:keepNext/>
        <w:keepLines/>
        <w:pageBreakBefore w:val="0"/>
        <w:widowControl w:val="0"/>
        <w:kinsoku/>
        <w:wordWrap/>
        <w:overflowPunct/>
        <w:topLinePunct w:val="0"/>
        <w:autoSpaceDE/>
        <w:autoSpaceDN/>
        <w:bidi w:val="0"/>
        <w:adjustRightInd/>
        <w:snapToGrid w:val="0"/>
        <w:spacing w:beforeAutospacing="0" w:afterAutospacing="0" w:line="560" w:lineRule="exact"/>
        <w:ind w:firstLine="642" w:firstLineChars="200"/>
        <w:jc w:val="both"/>
        <w:textAlignment w:val="auto"/>
        <w:outlineLvl w:val="1"/>
        <w:rPr>
          <w:rFonts w:ascii="仿宋_GB2312" w:hAnsi="仿宋_GB2312" w:eastAsia="仿宋_GB2312" w:cs="Times New Roman"/>
          <w:b/>
          <w:bCs/>
          <w:color w:val="000000"/>
          <w:kern w:val="2"/>
          <w:sz w:val="32"/>
          <w:szCs w:val="22"/>
          <w:lang w:val="en-US" w:eastAsia="zh-CN" w:bidi="ar-SA"/>
        </w:rPr>
      </w:pPr>
      <w:bookmarkStart w:id="93" w:name="_Toc2018278487"/>
      <w:bookmarkStart w:id="94" w:name="_Toc369131451"/>
      <w:bookmarkStart w:id="95" w:name="_Toc2107687692"/>
      <w:bookmarkStart w:id="96" w:name="_Toc514766922"/>
      <w:bookmarkStart w:id="97" w:name="_Toc712978807"/>
      <w:bookmarkStart w:id="98" w:name="_Toc421176644"/>
    </w:p>
    <w:p>
      <w:pPr>
        <w:keepNext/>
        <w:keepLines/>
        <w:pageBreakBefore w:val="0"/>
        <w:widowControl w:val="0"/>
        <w:kinsoku/>
        <w:wordWrap/>
        <w:overflowPunct/>
        <w:topLinePunct w:val="0"/>
        <w:autoSpaceDE/>
        <w:autoSpaceDN/>
        <w:bidi w:val="0"/>
        <w:adjustRightInd/>
        <w:snapToGrid w:val="0"/>
        <w:spacing w:beforeAutospacing="0" w:afterAutospacing="0" w:line="560" w:lineRule="exact"/>
        <w:ind w:firstLine="640" w:firstLineChars="200"/>
        <w:jc w:val="both"/>
        <w:textAlignment w:val="auto"/>
        <w:outlineLvl w:val="1"/>
        <w:rPr>
          <w:rFonts w:hint="eastAsia" w:ascii="仿宋_GB2312" w:hAnsi="仿宋_GB2312" w:eastAsia="仿宋_GB2312" w:cs="Times New Roman"/>
          <w:color w:val="000000"/>
          <w:kern w:val="2"/>
          <w:sz w:val="32"/>
          <w:szCs w:val="22"/>
          <w:highlight w:val="none"/>
          <w:lang w:val="en-US" w:eastAsia="zh-CN" w:bidi="ar-SA"/>
        </w:rPr>
      </w:pPr>
      <w:r>
        <w:rPr>
          <w:rFonts w:hint="eastAsia" w:ascii="CESI黑体-GB13000" w:hAnsi="CESI黑体-GB13000" w:eastAsia="CESI黑体-GB13000" w:cs="CESI黑体-GB13000"/>
          <w:b w:val="0"/>
          <w:bCs w:val="0"/>
          <w:color w:val="auto"/>
          <w:kern w:val="2"/>
          <w:sz w:val="32"/>
          <w:szCs w:val="22"/>
          <w:highlight w:val="none"/>
          <w:lang w:val="en-US" w:eastAsia="zh-CN" w:bidi="ar-SA"/>
        </w:rPr>
        <w:t>第九条</w:t>
      </w:r>
      <w:r>
        <w:rPr>
          <w:rFonts w:hint="default" w:ascii="仿宋_GB2312" w:hAnsi="仿宋_GB2312" w:eastAsia="仿宋_GB2312" w:cs="Times New Roman"/>
          <w:b/>
          <w:bCs/>
          <w:color w:val="000000"/>
          <w:kern w:val="2"/>
          <w:sz w:val="32"/>
          <w:szCs w:val="22"/>
          <w:lang w:val="en" w:eastAsia="zh-CN" w:bidi="ar-SA"/>
        </w:rPr>
        <w:t xml:space="preserve">  </w:t>
      </w:r>
      <w:bookmarkEnd w:id="92"/>
      <w:r>
        <w:rPr>
          <w:rFonts w:hint="eastAsia" w:ascii="仿宋_GB2312" w:hAnsi="仿宋_GB2312" w:eastAsia="仿宋_GB2312" w:cs="Times New Roman"/>
          <w:color w:val="000000"/>
          <w:kern w:val="2"/>
          <w:sz w:val="32"/>
          <w:szCs w:val="22"/>
          <w:lang w:val="en-US" w:eastAsia="zh-CN" w:bidi="ar-SA"/>
        </w:rPr>
        <w:t>支持</w:t>
      </w:r>
      <w:r>
        <w:rPr>
          <w:rFonts w:hint="eastAsia" w:ascii="仿宋_GB2312" w:hAnsi="仿宋_GB2312" w:eastAsia="仿宋_GB2312" w:cs="Times New Roman"/>
          <w:color w:val="000000"/>
          <w:kern w:val="2"/>
          <w:sz w:val="32"/>
          <w:szCs w:val="22"/>
          <w:highlight w:val="none"/>
          <w:lang w:val="en-US" w:eastAsia="zh-CN" w:bidi="ar-SA"/>
        </w:rPr>
        <w:t>品牌商业入驻</w:t>
      </w:r>
      <w:bookmarkEnd w:id="93"/>
      <w:bookmarkEnd w:id="94"/>
      <w:bookmarkEnd w:id="95"/>
      <w:bookmarkEnd w:id="96"/>
      <w:bookmarkEnd w:id="97"/>
      <w:bookmarkEnd w:id="98"/>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Times New Roman"/>
          <w:color w:val="000000"/>
          <w:kern w:val="2"/>
          <w:sz w:val="32"/>
          <w:szCs w:val="22"/>
          <w:highlight w:val="none"/>
          <w:lang w:val="en-US" w:eastAsia="zh-CN" w:bidi="ar-SA"/>
        </w:rPr>
      </w:pPr>
      <w:r>
        <w:rPr>
          <w:rFonts w:hint="eastAsia" w:ascii="仿宋_GB2312" w:hAnsi="仿宋_GB2312" w:eastAsia="仿宋_GB2312" w:cs="Times New Roman"/>
          <w:color w:val="000000"/>
          <w:kern w:val="2"/>
          <w:sz w:val="32"/>
          <w:szCs w:val="22"/>
          <w:highlight w:val="none"/>
          <w:lang w:val="en-US" w:eastAsia="zh-CN" w:bidi="ar-SA"/>
        </w:rPr>
        <w:t>鼓励国际知名品牌企业、国内知名品牌企业及</w:t>
      </w:r>
      <w:r>
        <w:rPr>
          <w:rFonts w:hint="default" w:ascii="仿宋_GB2312" w:hAnsi="仿宋_GB2312" w:eastAsia="仿宋_GB2312" w:cs="Times New Roman"/>
          <w:color w:val="000000"/>
          <w:kern w:val="2"/>
          <w:sz w:val="32"/>
          <w:szCs w:val="22"/>
          <w:highlight w:val="none"/>
          <w:lang w:val="en" w:eastAsia="zh-CN" w:bidi="ar-SA"/>
        </w:rPr>
        <w:t>其</w:t>
      </w:r>
      <w:r>
        <w:rPr>
          <w:rFonts w:hint="eastAsia" w:ascii="仿宋_GB2312" w:hAnsi="仿宋_GB2312" w:eastAsia="仿宋_GB2312" w:cs="Times New Roman"/>
          <w:color w:val="000000"/>
          <w:kern w:val="2"/>
          <w:sz w:val="32"/>
          <w:szCs w:val="22"/>
          <w:highlight w:val="none"/>
          <w:lang w:val="en-US" w:eastAsia="zh-CN" w:bidi="ar-SA"/>
        </w:rPr>
        <w:t>授权代理商在合作区开设区</w:t>
      </w:r>
      <w:r>
        <w:rPr>
          <w:rFonts w:hint="default" w:ascii="仿宋_GB2312" w:hAnsi="仿宋_GB2312" w:eastAsia="仿宋_GB2312" w:cs="Times New Roman"/>
          <w:color w:val="000000"/>
          <w:kern w:val="2"/>
          <w:sz w:val="32"/>
          <w:szCs w:val="22"/>
          <w:highlight w:val="none"/>
          <w:lang w:val="en" w:eastAsia="zh-CN" w:bidi="ar-SA"/>
        </w:rPr>
        <w:t>内</w:t>
      </w:r>
      <w:r>
        <w:rPr>
          <w:rFonts w:hint="eastAsia" w:ascii="仿宋_GB2312" w:hAnsi="仿宋_GB2312" w:eastAsia="仿宋_GB2312" w:cs="Times New Roman"/>
          <w:color w:val="000000"/>
          <w:kern w:val="2"/>
          <w:sz w:val="32"/>
          <w:szCs w:val="22"/>
          <w:highlight w:val="none"/>
          <w:lang w:val="en-US" w:eastAsia="zh-CN" w:bidi="ar-SA"/>
        </w:rPr>
        <w:t>首店或旗舰店。对国际知名品牌及</w:t>
      </w:r>
      <w:r>
        <w:rPr>
          <w:rFonts w:hint="default" w:ascii="仿宋_GB2312" w:hAnsi="仿宋_GB2312" w:eastAsia="仿宋_GB2312" w:cs="Times New Roman"/>
          <w:color w:val="000000"/>
          <w:kern w:val="2"/>
          <w:sz w:val="32"/>
          <w:szCs w:val="22"/>
          <w:highlight w:val="none"/>
          <w:lang w:val="en" w:eastAsia="zh-CN" w:bidi="ar-SA"/>
        </w:rPr>
        <w:t>其</w:t>
      </w:r>
      <w:r>
        <w:rPr>
          <w:rFonts w:hint="eastAsia" w:ascii="仿宋_GB2312" w:hAnsi="仿宋_GB2312" w:eastAsia="仿宋_GB2312" w:cs="Times New Roman"/>
          <w:color w:val="000000"/>
          <w:kern w:val="2"/>
          <w:sz w:val="32"/>
          <w:szCs w:val="22"/>
          <w:highlight w:val="none"/>
          <w:lang w:val="en-US" w:eastAsia="zh-CN" w:bidi="ar-SA"/>
        </w:rPr>
        <w:t>授权代理商在合作区注册开设的首店或旗舰店（属零售业、餐饮业），按营业面积分级</w:t>
      </w:r>
      <w:r>
        <w:rPr>
          <w:rFonts w:hint="default" w:ascii="仿宋_GB2312" w:hAnsi="仿宋_GB2312" w:eastAsia="仿宋_GB2312" w:cs="Times New Roman"/>
          <w:color w:val="000000"/>
          <w:kern w:val="2"/>
          <w:sz w:val="32"/>
          <w:szCs w:val="22"/>
          <w:highlight w:val="none"/>
          <w:lang w:val="en" w:eastAsia="zh-CN" w:bidi="ar-SA"/>
        </w:rPr>
        <w:t>给予</w:t>
      </w:r>
      <w:r>
        <w:rPr>
          <w:rFonts w:hint="eastAsia" w:ascii="仿宋_GB2312" w:hAnsi="仿宋_GB2312" w:eastAsia="仿宋_GB2312" w:cs="Times New Roman"/>
          <w:color w:val="000000"/>
          <w:kern w:val="2"/>
          <w:sz w:val="32"/>
          <w:szCs w:val="22"/>
          <w:highlight w:val="none"/>
          <w:lang w:val="en" w:eastAsia="zh-CN" w:bidi="ar-SA"/>
        </w:rPr>
        <w:t>不超过</w:t>
      </w:r>
      <w:r>
        <w:rPr>
          <w:rFonts w:hint="eastAsia" w:ascii="仿宋_GB2312" w:hAnsi="仿宋_GB2312" w:eastAsia="仿宋_GB2312" w:cs="Times New Roman"/>
          <w:color w:val="000000"/>
          <w:kern w:val="2"/>
          <w:sz w:val="32"/>
          <w:szCs w:val="22"/>
          <w:highlight w:val="none"/>
          <w:lang w:val="en-US" w:eastAsia="zh-CN" w:bidi="ar-SA"/>
        </w:rPr>
        <w:t>30万元</w:t>
      </w:r>
      <w:r>
        <w:rPr>
          <w:rFonts w:hint="default" w:ascii="仿宋_GB2312" w:hAnsi="仿宋_GB2312" w:eastAsia="仿宋_GB2312" w:cs="Times New Roman"/>
          <w:color w:val="000000"/>
          <w:kern w:val="2"/>
          <w:sz w:val="32"/>
          <w:szCs w:val="22"/>
          <w:highlight w:val="none"/>
          <w:lang w:val="en" w:eastAsia="zh-CN" w:bidi="ar-SA"/>
        </w:rPr>
        <w:t>一次性</w:t>
      </w:r>
      <w:r>
        <w:rPr>
          <w:rFonts w:hint="eastAsia" w:ascii="仿宋_GB2312" w:hAnsi="仿宋_GB2312" w:eastAsia="仿宋_GB2312" w:cs="Times New Roman"/>
          <w:color w:val="000000"/>
          <w:kern w:val="2"/>
          <w:sz w:val="32"/>
          <w:szCs w:val="22"/>
          <w:highlight w:val="none"/>
          <w:lang w:val="en-US" w:eastAsia="zh-CN" w:bidi="ar-SA"/>
        </w:rPr>
        <w:t>奖励；对国内知名品牌及</w:t>
      </w:r>
      <w:r>
        <w:rPr>
          <w:rFonts w:hint="default" w:ascii="仿宋_GB2312" w:hAnsi="仿宋_GB2312" w:eastAsia="仿宋_GB2312" w:cs="Times New Roman"/>
          <w:color w:val="000000"/>
          <w:kern w:val="2"/>
          <w:sz w:val="32"/>
          <w:szCs w:val="22"/>
          <w:highlight w:val="none"/>
          <w:lang w:val="en" w:eastAsia="zh-CN" w:bidi="ar-SA"/>
        </w:rPr>
        <w:t>其</w:t>
      </w:r>
      <w:r>
        <w:rPr>
          <w:rFonts w:hint="eastAsia" w:ascii="仿宋_GB2312" w:hAnsi="仿宋_GB2312" w:eastAsia="仿宋_GB2312" w:cs="Times New Roman"/>
          <w:color w:val="000000"/>
          <w:kern w:val="2"/>
          <w:sz w:val="32"/>
          <w:szCs w:val="22"/>
          <w:highlight w:val="none"/>
          <w:lang w:val="en-US" w:eastAsia="zh-CN" w:bidi="ar-SA"/>
        </w:rPr>
        <w:t>授权代理商在合作区注册开设的首店或旗舰店（属零售业、餐饮业）</w:t>
      </w:r>
      <w:r>
        <w:rPr>
          <w:rFonts w:hint="eastAsia" w:ascii="仿宋_GB2312" w:hAnsi="仿宋_GB2312" w:eastAsia="仿宋_GB2312" w:cs="Times New Roman"/>
          <w:color w:val="000000"/>
          <w:kern w:val="2"/>
          <w:sz w:val="32"/>
          <w:szCs w:val="22"/>
          <w:highlight w:val="none"/>
          <w:lang w:val="en" w:eastAsia="zh-CN" w:bidi="ar-SA"/>
        </w:rPr>
        <w:t>，</w:t>
      </w:r>
      <w:r>
        <w:rPr>
          <w:rFonts w:hint="eastAsia" w:ascii="仿宋_GB2312" w:hAnsi="仿宋_GB2312" w:eastAsia="仿宋_GB2312" w:cs="Times New Roman"/>
          <w:color w:val="000000"/>
          <w:kern w:val="2"/>
          <w:sz w:val="32"/>
          <w:szCs w:val="22"/>
          <w:highlight w:val="none"/>
          <w:lang w:val="en-US" w:eastAsia="zh-CN" w:bidi="ar-SA"/>
        </w:rPr>
        <w:t>按营业面积分级</w:t>
      </w:r>
      <w:r>
        <w:rPr>
          <w:rFonts w:hint="default" w:ascii="仿宋_GB2312" w:hAnsi="仿宋_GB2312" w:eastAsia="仿宋_GB2312" w:cs="Times New Roman"/>
          <w:color w:val="000000"/>
          <w:kern w:val="2"/>
          <w:sz w:val="32"/>
          <w:szCs w:val="22"/>
          <w:highlight w:val="none"/>
          <w:lang w:val="en" w:eastAsia="zh-CN" w:bidi="ar-SA"/>
        </w:rPr>
        <w:t>给予</w:t>
      </w:r>
      <w:r>
        <w:rPr>
          <w:rFonts w:hint="eastAsia" w:ascii="仿宋_GB2312" w:hAnsi="仿宋_GB2312" w:eastAsia="仿宋_GB2312" w:cs="Times New Roman"/>
          <w:color w:val="000000"/>
          <w:kern w:val="2"/>
          <w:sz w:val="32"/>
          <w:szCs w:val="22"/>
          <w:highlight w:val="none"/>
          <w:lang w:val="en" w:eastAsia="zh-CN" w:bidi="ar-SA"/>
        </w:rPr>
        <w:t>不超过</w:t>
      </w:r>
      <w:r>
        <w:rPr>
          <w:rFonts w:hint="eastAsia" w:ascii="仿宋_GB2312" w:hAnsi="仿宋_GB2312" w:eastAsia="仿宋_GB2312" w:cs="Times New Roman"/>
          <w:color w:val="000000"/>
          <w:kern w:val="2"/>
          <w:sz w:val="32"/>
          <w:szCs w:val="22"/>
          <w:highlight w:val="none"/>
          <w:lang w:val="en-US" w:eastAsia="zh-CN" w:bidi="ar-SA"/>
        </w:rPr>
        <w:t>20万元</w:t>
      </w:r>
      <w:r>
        <w:rPr>
          <w:rFonts w:hint="eastAsia" w:ascii="仿宋_GB2312" w:hAnsi="仿宋_GB2312" w:eastAsia="仿宋_GB2312" w:cs="Times New Roman"/>
          <w:color w:val="000000"/>
          <w:kern w:val="2"/>
          <w:sz w:val="32"/>
          <w:szCs w:val="22"/>
          <w:highlight w:val="none"/>
          <w:lang w:val="en" w:eastAsia="zh-CN" w:bidi="ar-SA"/>
        </w:rPr>
        <w:t>一次性</w:t>
      </w:r>
      <w:r>
        <w:rPr>
          <w:rFonts w:hint="eastAsia" w:ascii="仿宋_GB2312" w:hAnsi="仿宋_GB2312" w:eastAsia="仿宋_GB2312" w:cs="Times New Roman"/>
          <w:color w:val="000000"/>
          <w:kern w:val="2"/>
          <w:sz w:val="32"/>
          <w:szCs w:val="22"/>
          <w:highlight w:val="none"/>
          <w:lang w:val="en-US" w:eastAsia="zh-CN" w:bidi="ar-SA"/>
        </w:rPr>
        <w:t>奖励。</w:t>
      </w:r>
      <w:bookmarkStart w:id="99" w:name="_Toc29505"/>
      <w:bookmarkStart w:id="100" w:name="_Toc434269176"/>
      <w:bookmarkStart w:id="101" w:name="_Toc1604049924"/>
      <w:bookmarkStart w:id="102" w:name="_Toc1539732762"/>
      <w:bookmarkStart w:id="103" w:name="_Toc1816077397"/>
      <w:bookmarkStart w:id="104" w:name="_Toc779072758"/>
      <w:bookmarkStart w:id="105" w:name="_Toc2047776639"/>
    </w:p>
    <w:p>
      <w:pPr>
        <w:pageBreakBefore w:val="0"/>
        <w:widowControl w:val="0"/>
        <w:kinsoku/>
        <w:wordWrap/>
        <w:overflowPunct/>
        <w:topLinePunct w:val="0"/>
        <w:autoSpaceDE/>
        <w:autoSpaceDN/>
        <w:bidi w:val="0"/>
        <w:adjustRightInd/>
        <w:snapToGrid w:val="0"/>
        <w:spacing w:line="560" w:lineRule="exact"/>
        <w:ind w:left="0" w:leftChars="0" w:right="-162" w:rightChars="-77" w:firstLine="640" w:firstLineChars="200"/>
        <w:jc w:val="both"/>
        <w:textAlignment w:val="auto"/>
        <w:rPr>
          <w:rFonts w:hint="eastAsia" w:ascii="仿宋_GB2312" w:hAnsi="仿宋_GB2312" w:eastAsia="仿宋_GB2312" w:cs="Times New Roman"/>
          <w:color w:val="000000"/>
          <w:kern w:val="2"/>
          <w:sz w:val="32"/>
          <w:szCs w:val="22"/>
          <w:highlight w:val="none"/>
          <w:lang w:val="en-US" w:eastAsia="zh-CN" w:bidi="ar-SA"/>
        </w:rPr>
      </w:pPr>
      <w:r>
        <w:rPr>
          <w:rFonts w:hint="eastAsia" w:ascii="CESI黑体-GB13000" w:hAnsi="CESI黑体-GB13000" w:eastAsia="CESI黑体-GB13000" w:cs="CESI黑体-GB13000"/>
          <w:b w:val="0"/>
          <w:bCs w:val="0"/>
          <w:color w:val="auto"/>
          <w:kern w:val="2"/>
          <w:sz w:val="32"/>
          <w:szCs w:val="22"/>
          <w:highlight w:val="none"/>
          <w:lang w:val="en-US" w:eastAsia="zh-CN" w:bidi="ar-SA"/>
        </w:rPr>
        <w:t>第十条</w:t>
      </w:r>
      <w:r>
        <w:rPr>
          <w:rFonts w:hint="eastAsia" w:ascii="CESI黑体-GB13000" w:hAnsi="CESI黑体-GB13000" w:eastAsia="CESI黑体-GB13000" w:cs="CESI黑体-GB13000"/>
          <w:color w:val="auto"/>
          <w:kern w:val="2"/>
          <w:sz w:val="32"/>
          <w:szCs w:val="22"/>
          <w:highlight w:val="none"/>
          <w:lang w:val="en-US" w:eastAsia="zh-CN" w:bidi="ar-SA"/>
        </w:rPr>
        <w:t xml:space="preserve"> </w:t>
      </w:r>
      <w:r>
        <w:rPr>
          <w:rFonts w:hint="default" w:ascii="仿宋_GB2312" w:hAnsi="仿宋_GB2312" w:eastAsia="仿宋_GB2312" w:cs="Times New Roman"/>
          <w:color w:val="000000"/>
          <w:kern w:val="2"/>
          <w:sz w:val="32"/>
          <w:szCs w:val="22"/>
          <w:highlight w:val="none"/>
          <w:lang w:val="en" w:eastAsia="zh-CN" w:bidi="ar-SA"/>
        </w:rPr>
        <w:t xml:space="preserve"> </w:t>
      </w:r>
      <w:r>
        <w:rPr>
          <w:rFonts w:hint="eastAsia" w:ascii="仿宋_GB2312" w:hAnsi="仿宋_GB2312" w:eastAsia="仿宋_GB2312" w:cs="Times New Roman"/>
          <w:color w:val="000000"/>
          <w:kern w:val="2"/>
          <w:sz w:val="32"/>
          <w:szCs w:val="22"/>
          <w:highlight w:val="none"/>
          <w:lang w:val="en-US" w:eastAsia="zh-CN" w:bidi="ar-SA"/>
        </w:rPr>
        <w:t>支持品牌商业招引</w:t>
      </w:r>
      <w:bookmarkEnd w:id="99"/>
    </w:p>
    <w:bookmarkEnd w:id="100"/>
    <w:bookmarkEnd w:id="101"/>
    <w:bookmarkEnd w:id="102"/>
    <w:bookmarkEnd w:id="103"/>
    <w:bookmarkEnd w:id="104"/>
    <w:bookmarkEnd w:id="105"/>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Times New Roman"/>
          <w:color w:val="000000"/>
          <w:kern w:val="2"/>
          <w:sz w:val="32"/>
          <w:szCs w:val="22"/>
          <w:highlight w:val="none"/>
          <w:lang w:val="en-US" w:eastAsia="zh-CN" w:bidi="ar-SA"/>
        </w:rPr>
        <w:t>对商业综合体运营主体、商业</w:t>
      </w:r>
      <w:r>
        <w:rPr>
          <w:rFonts w:hint="eastAsia" w:ascii="仿宋_GB2312" w:hAnsi="仿宋_GB2312" w:eastAsia="仿宋_GB2312" w:cs="Times New Roman"/>
          <w:b w:val="0"/>
          <w:i w:val="0"/>
          <w:caps w:val="0"/>
          <w:color w:val="000000"/>
          <w:spacing w:val="0"/>
          <w:sz w:val="32"/>
          <w:szCs w:val="32"/>
          <w:highlight w:val="none"/>
          <w:shd w:val="clear" w:color="auto" w:fill="FFFFFF"/>
        </w:rPr>
        <w:t>运营实体等单位，每引进一家国际知名品牌及其授权代理商在合作区开设区</w:t>
      </w:r>
      <w:r>
        <w:rPr>
          <w:rFonts w:hint="eastAsia" w:ascii="仿宋_GB2312" w:hAnsi="仿宋_GB2312" w:eastAsia="仿宋_GB2312" w:cs="Times New Roman"/>
          <w:color w:val="000000"/>
          <w:kern w:val="2"/>
          <w:sz w:val="32"/>
          <w:szCs w:val="22"/>
          <w:highlight w:val="none"/>
          <w:lang w:val="en-US" w:eastAsia="zh-CN" w:bidi="ar-SA"/>
        </w:rPr>
        <w:t>内首店或旗舰店（注册于合作区的零售业、餐饮业独立法人），与其签订两年及以上入驻协议，且店铺正常经营满一年的，按营业面积分级给予招引单位不超过5</w:t>
      </w:r>
      <w:r>
        <w:rPr>
          <w:rFonts w:hint="eastAsia" w:ascii="仿宋_GB2312" w:hAnsi="仿宋_GB2312" w:eastAsia="仿宋_GB2312" w:cs="Times New Roman"/>
          <w:b w:val="0"/>
          <w:i w:val="0"/>
          <w:caps w:val="0"/>
          <w:color w:val="000000"/>
          <w:spacing w:val="0"/>
          <w:sz w:val="32"/>
          <w:szCs w:val="32"/>
          <w:highlight w:val="none"/>
          <w:shd w:val="clear" w:color="auto" w:fill="FFFFFF"/>
          <w:lang w:val="en-US" w:eastAsia="zh-CN"/>
        </w:rPr>
        <w:t>万元/户奖</w:t>
      </w:r>
      <w:r>
        <w:rPr>
          <w:rFonts w:hint="eastAsia" w:ascii="仿宋_GB2312" w:hAnsi="仿宋_GB2312" w:eastAsia="仿宋_GB2312" w:cs="Times New Roman"/>
          <w:color w:val="000000"/>
          <w:kern w:val="2"/>
          <w:sz w:val="32"/>
          <w:szCs w:val="22"/>
          <w:highlight w:val="none"/>
          <w:lang w:val="en-US" w:eastAsia="zh-CN" w:bidi="ar-SA"/>
        </w:rPr>
        <w:t>励；每引进一家国内知名品牌及其授权代理商在合作区开设区内首店或旗舰店（注册于合作区的零售业、餐饮业独立法人），与其签订两年及以上入驻协</w:t>
      </w:r>
      <w:r>
        <w:rPr>
          <w:rFonts w:hint="eastAsia" w:ascii="仿宋_GB2312" w:hAnsi="仿宋_GB2312" w:eastAsia="仿宋_GB2312" w:cs="仿宋_GB2312"/>
          <w:b w:val="0"/>
          <w:i w:val="0"/>
          <w:caps w:val="0"/>
          <w:color w:val="000000"/>
          <w:spacing w:val="0"/>
          <w:sz w:val="32"/>
          <w:szCs w:val="32"/>
          <w:shd w:val="clear" w:color="auto" w:fill="auto"/>
        </w:rPr>
        <w:t>议，且</w:t>
      </w:r>
      <w:r>
        <w:rPr>
          <w:rFonts w:hint="eastAsia" w:ascii="仿宋_GB2312" w:hAnsi="仿宋_GB2312" w:eastAsia="仿宋_GB2312" w:cs="仿宋_GB2312"/>
          <w:b w:val="0"/>
          <w:i w:val="0"/>
          <w:caps w:val="0"/>
          <w:color w:val="000000"/>
          <w:spacing w:val="0"/>
          <w:sz w:val="32"/>
          <w:szCs w:val="32"/>
          <w:shd w:val="clear" w:color="auto" w:fill="auto"/>
          <w:lang w:eastAsia="zh-CN"/>
        </w:rPr>
        <w:t>店铺</w:t>
      </w:r>
      <w:r>
        <w:rPr>
          <w:rFonts w:hint="eastAsia" w:ascii="仿宋_GB2312" w:hAnsi="仿宋_GB2312" w:eastAsia="仿宋_GB2312" w:cs="仿宋_GB2312"/>
          <w:b w:val="0"/>
          <w:i w:val="0"/>
          <w:caps w:val="0"/>
          <w:color w:val="000000"/>
          <w:spacing w:val="0"/>
          <w:sz w:val="32"/>
          <w:szCs w:val="32"/>
          <w:shd w:val="clear" w:color="auto" w:fill="auto"/>
        </w:rPr>
        <w:t>正常经营满一年的，</w:t>
      </w:r>
      <w:r>
        <w:rPr>
          <w:rFonts w:hint="eastAsia" w:ascii="仿宋_GB2312" w:hAnsi="仿宋_GB2312" w:eastAsia="仿宋_GB2312" w:cs="Times New Roman"/>
          <w:b w:val="0"/>
          <w:i w:val="0"/>
          <w:caps w:val="0"/>
          <w:color w:val="000000"/>
          <w:spacing w:val="0"/>
          <w:sz w:val="32"/>
          <w:szCs w:val="32"/>
          <w:highlight w:val="none"/>
          <w:shd w:val="clear" w:color="auto" w:fill="FFFFFF"/>
          <w:lang w:eastAsia="zh-CN"/>
        </w:rPr>
        <w:t>按营业面积分级</w:t>
      </w:r>
      <w:r>
        <w:rPr>
          <w:rFonts w:hint="eastAsia" w:ascii="仿宋_GB2312" w:hAnsi="仿宋_GB2312" w:eastAsia="仿宋_GB2312" w:cs="Times New Roman"/>
          <w:b w:val="0"/>
          <w:i w:val="0"/>
          <w:caps w:val="0"/>
          <w:color w:val="000000"/>
          <w:spacing w:val="0"/>
          <w:sz w:val="32"/>
          <w:szCs w:val="32"/>
          <w:highlight w:val="none"/>
          <w:shd w:val="clear" w:color="auto" w:fill="FFFFFF"/>
        </w:rPr>
        <w:t>给予招引单位</w:t>
      </w:r>
      <w:r>
        <w:rPr>
          <w:rFonts w:hint="eastAsia" w:ascii="仿宋_GB2312" w:hAnsi="仿宋_GB2312" w:eastAsia="仿宋_GB2312" w:cs="Times New Roman"/>
          <w:b w:val="0"/>
          <w:i w:val="0"/>
          <w:caps w:val="0"/>
          <w:color w:val="000000"/>
          <w:spacing w:val="0"/>
          <w:sz w:val="32"/>
          <w:szCs w:val="32"/>
          <w:highlight w:val="none"/>
          <w:shd w:val="clear" w:color="auto" w:fill="FFFFFF"/>
          <w:lang w:eastAsia="zh-CN"/>
        </w:rPr>
        <w:t>不超过</w:t>
      </w:r>
      <w:r>
        <w:rPr>
          <w:rFonts w:hint="eastAsia" w:ascii="仿宋_GB2312" w:hAnsi="仿宋_GB2312" w:eastAsia="仿宋_GB2312" w:cs="Times New Roman"/>
          <w:b w:val="0"/>
          <w:i w:val="0"/>
          <w:caps w:val="0"/>
          <w:color w:val="000000"/>
          <w:spacing w:val="0"/>
          <w:sz w:val="32"/>
          <w:szCs w:val="32"/>
          <w:highlight w:val="none"/>
          <w:shd w:val="clear" w:color="auto" w:fill="FFFFFF"/>
        </w:rPr>
        <w:t>3</w:t>
      </w:r>
      <w:r>
        <w:rPr>
          <w:rFonts w:hint="eastAsia" w:ascii="仿宋_GB2312" w:hAnsi="仿宋_GB2312" w:eastAsia="仿宋_GB2312" w:cs="仿宋_GB2312"/>
          <w:color w:val="000000"/>
          <w:sz w:val="32"/>
          <w:szCs w:val="32"/>
        </w:rPr>
        <w:t>万</w:t>
      </w:r>
      <w:r>
        <w:rPr>
          <w:rFonts w:hint="eastAsia" w:ascii="仿宋_GB2312" w:hAnsi="仿宋_GB2312" w:eastAsia="仿宋_GB2312" w:cs="仿宋_GB2312"/>
          <w:color w:val="000000"/>
          <w:sz w:val="32"/>
          <w:szCs w:val="32"/>
          <w:lang w:eastAsia="zh-CN"/>
        </w:rPr>
        <w:t>元</w:t>
      </w:r>
      <w:r>
        <w:rPr>
          <w:rFonts w:hint="eastAsia" w:ascii="仿宋_GB2312" w:hAnsi="仿宋_GB2312" w:eastAsia="仿宋_GB2312" w:cs="仿宋_GB2312"/>
          <w:color w:val="000000"/>
          <w:sz w:val="32"/>
          <w:szCs w:val="32"/>
        </w:rPr>
        <w:t>/户奖励。单个招引单位每年最高奖励100万元。</w:t>
      </w:r>
      <w:bookmarkStart w:id="106" w:name="_Toc1764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lang w:val="en-US" w:eastAsia="zh-CN"/>
        </w:rPr>
        <w:t>本条措施可与</w:t>
      </w:r>
      <w:r>
        <w:rPr>
          <w:rFonts w:hint="eastAsia" w:ascii="仿宋_GB2312" w:hAnsi="仿宋_GB2312" w:eastAsia="仿宋_GB2312" w:cs="仿宋_GB2312"/>
          <w:color w:val="000000"/>
          <w:sz w:val="32"/>
          <w:szCs w:val="32"/>
          <w:highlight w:val="none"/>
          <w:lang w:val="en-US" w:eastAsia="zh-CN"/>
        </w:rPr>
        <w:t>第三章第八条“支持商业综合体发展壮大”（一）中奖励叠加享受。</w:t>
      </w:r>
    </w:p>
    <w:p>
      <w:pPr>
        <w:pageBreakBefore w:val="0"/>
        <w:widowControl w:val="0"/>
        <w:kinsoku/>
        <w:wordWrap/>
        <w:overflowPunct/>
        <w:topLinePunct w:val="0"/>
        <w:autoSpaceDE/>
        <w:autoSpaceDN/>
        <w:bidi w:val="0"/>
        <w:adjustRightInd/>
        <w:snapToGrid w:val="0"/>
        <w:spacing w:line="560" w:lineRule="exact"/>
        <w:ind w:right="-162" w:rightChars="-77" w:firstLine="620" w:firstLineChars="200"/>
        <w:jc w:val="both"/>
        <w:textAlignment w:val="auto"/>
        <w:rPr>
          <w:rFonts w:hint="eastAsia" w:ascii="仿宋_GB2312" w:hAnsi="仿宋_GB2312" w:eastAsia="仿宋_GB2312" w:cs="Times New Roman"/>
          <w:color w:val="000000"/>
          <w:kern w:val="2"/>
          <w:sz w:val="31"/>
          <w:szCs w:val="22"/>
          <w:highlight w:val="none"/>
          <w:lang w:val="en-US" w:eastAsia="zh-CN" w:bidi="ar-SA"/>
        </w:rPr>
      </w:pPr>
    </w:p>
    <w:bookmarkEnd w:id="106"/>
    <w:p>
      <w:pPr>
        <w:keepNext/>
        <w:keepLines/>
        <w:pageBreakBefore w:val="0"/>
        <w:widowControl w:val="0"/>
        <w:kinsoku/>
        <w:wordWrap/>
        <w:overflowPunct/>
        <w:topLinePunct w:val="0"/>
        <w:autoSpaceDE/>
        <w:autoSpaceDN/>
        <w:bidi w:val="0"/>
        <w:adjustRightInd/>
        <w:snapToGrid w:val="0"/>
        <w:spacing w:before="0" w:after="0" w:line="560" w:lineRule="exact"/>
        <w:ind w:firstLine="0" w:firstLineChars="0"/>
        <w:jc w:val="center"/>
        <w:textAlignment w:val="auto"/>
        <w:outlineLvl w:val="0"/>
        <w:rPr>
          <w:rFonts w:hint="eastAsia" w:ascii="黑体" w:hAnsi="黑体" w:eastAsia="黑体" w:cs="Times New Roman"/>
          <w:bCs/>
          <w:color w:val="1A1A1A"/>
          <w:kern w:val="2"/>
          <w:sz w:val="32"/>
          <w:szCs w:val="36"/>
          <w:lang w:val="en-US" w:eastAsia="zh-CN" w:bidi="ar-SA"/>
        </w:rPr>
      </w:pPr>
      <w:bookmarkStart w:id="107" w:name="_Toc159924306_WPSOffice_Level1"/>
      <w:bookmarkStart w:id="108" w:name="_Toc26079"/>
      <w:bookmarkStart w:id="109" w:name="_Toc1910816363"/>
      <w:bookmarkStart w:id="110" w:name="_Toc208354021"/>
      <w:bookmarkStart w:id="111" w:name="_Toc1783928975"/>
      <w:bookmarkStart w:id="112" w:name="_Toc594275620"/>
      <w:bookmarkStart w:id="113" w:name="_Toc1013124470"/>
      <w:bookmarkStart w:id="114" w:name="_Toc285580185"/>
      <w:r>
        <w:rPr>
          <w:rFonts w:hint="eastAsia" w:ascii="黑体" w:hAnsi="黑体" w:eastAsia="黑体" w:cs="Times New Roman"/>
          <w:bCs/>
          <w:color w:val="1A1A1A"/>
          <w:kern w:val="2"/>
          <w:sz w:val="32"/>
          <w:szCs w:val="36"/>
          <w:lang w:val="en-US" w:eastAsia="zh-CN" w:bidi="ar-SA"/>
        </w:rPr>
        <w:t>第五章  支持消费</w:t>
      </w:r>
      <w:bookmarkEnd w:id="107"/>
      <w:bookmarkEnd w:id="108"/>
      <w:r>
        <w:rPr>
          <w:rFonts w:hint="eastAsia" w:ascii="黑体" w:hAnsi="黑体" w:eastAsia="黑体" w:cs="Times New Roman"/>
          <w:bCs/>
          <w:color w:val="1A1A1A"/>
          <w:kern w:val="2"/>
          <w:sz w:val="32"/>
          <w:szCs w:val="36"/>
          <w:lang w:val="en-US" w:eastAsia="zh-CN" w:bidi="ar-SA"/>
        </w:rPr>
        <w:t>业态发展</w:t>
      </w:r>
      <w:bookmarkEnd w:id="109"/>
      <w:bookmarkEnd w:id="110"/>
      <w:bookmarkEnd w:id="111"/>
      <w:bookmarkEnd w:id="112"/>
      <w:bookmarkEnd w:id="113"/>
      <w:bookmarkEnd w:id="114"/>
    </w:p>
    <w:p>
      <w:pPr>
        <w:keepNext/>
        <w:keepLines/>
        <w:pageBreakBefore w:val="0"/>
        <w:widowControl w:val="0"/>
        <w:kinsoku/>
        <w:wordWrap/>
        <w:overflowPunct/>
        <w:topLinePunct w:val="0"/>
        <w:autoSpaceDE/>
        <w:autoSpaceDN/>
        <w:bidi w:val="0"/>
        <w:adjustRightInd/>
        <w:snapToGrid w:val="0"/>
        <w:spacing w:beforeAutospacing="0" w:afterAutospacing="0" w:line="560" w:lineRule="exact"/>
        <w:ind w:firstLine="642" w:firstLineChars="200"/>
        <w:jc w:val="both"/>
        <w:textAlignment w:val="auto"/>
        <w:outlineLvl w:val="1"/>
        <w:rPr>
          <w:rFonts w:hint="eastAsia" w:ascii="仿宋_GB2312" w:hAnsi="仿宋_GB2312" w:eastAsia="仿宋_GB2312" w:cs="Times New Roman"/>
          <w:b/>
          <w:bCs/>
          <w:color w:val="000000"/>
          <w:kern w:val="2"/>
          <w:sz w:val="32"/>
          <w:szCs w:val="22"/>
          <w:lang w:val="en-US" w:eastAsia="zh-CN" w:bidi="ar-SA"/>
        </w:rPr>
      </w:pPr>
      <w:bookmarkStart w:id="115" w:name="_Toc733170284"/>
      <w:bookmarkStart w:id="116" w:name="_Toc1934659232"/>
      <w:bookmarkStart w:id="117" w:name="_Toc1226672587"/>
      <w:bookmarkStart w:id="118" w:name="_Toc1126967536"/>
      <w:bookmarkStart w:id="119" w:name="_Toc1882749701"/>
      <w:bookmarkStart w:id="120" w:name="_Toc34797168"/>
      <w:bookmarkStart w:id="121" w:name="_Toc9960"/>
    </w:p>
    <w:p>
      <w:pPr>
        <w:keepNext/>
        <w:keepLines/>
        <w:pageBreakBefore w:val="0"/>
        <w:widowControl w:val="0"/>
        <w:kinsoku/>
        <w:wordWrap/>
        <w:overflowPunct/>
        <w:topLinePunct w:val="0"/>
        <w:autoSpaceDE/>
        <w:autoSpaceDN/>
        <w:bidi w:val="0"/>
        <w:adjustRightInd/>
        <w:snapToGrid w:val="0"/>
        <w:spacing w:beforeAutospacing="0" w:afterAutospacing="0" w:line="560" w:lineRule="exact"/>
        <w:ind w:firstLine="640" w:firstLineChars="200"/>
        <w:jc w:val="both"/>
        <w:textAlignment w:val="auto"/>
        <w:outlineLvl w:val="1"/>
        <w:rPr>
          <w:rFonts w:hint="eastAsia" w:ascii="仿宋_GB2312" w:hAnsi="仿宋_GB2312" w:eastAsia="仿宋_GB2312" w:cs="Times New Roman"/>
          <w:color w:val="000000"/>
          <w:kern w:val="2"/>
          <w:sz w:val="32"/>
          <w:szCs w:val="22"/>
          <w:lang w:val="en-US" w:eastAsia="zh-CN" w:bidi="ar-SA"/>
        </w:rPr>
      </w:pPr>
      <w:r>
        <w:rPr>
          <w:rFonts w:hint="eastAsia" w:ascii="CESI黑体-GB13000" w:hAnsi="CESI黑体-GB13000" w:eastAsia="CESI黑体-GB13000" w:cs="CESI黑体-GB13000"/>
          <w:b w:val="0"/>
          <w:bCs w:val="0"/>
          <w:color w:val="auto"/>
          <w:kern w:val="2"/>
          <w:sz w:val="32"/>
          <w:szCs w:val="22"/>
          <w:highlight w:val="none"/>
          <w:lang w:val="en-US" w:eastAsia="zh-CN" w:bidi="ar-SA"/>
        </w:rPr>
        <w:t>第十一条</w:t>
      </w:r>
      <w:r>
        <w:rPr>
          <w:rFonts w:hint="default" w:ascii="仿宋_GB2312" w:hAnsi="仿宋_GB2312" w:eastAsia="仿宋_GB2312" w:cs="Times New Roman"/>
          <w:b/>
          <w:bCs/>
          <w:color w:val="000000"/>
          <w:kern w:val="2"/>
          <w:sz w:val="32"/>
          <w:szCs w:val="22"/>
          <w:lang w:val="en" w:eastAsia="zh-CN" w:bidi="ar-SA"/>
        </w:rPr>
        <w:t xml:space="preserve"> </w:t>
      </w:r>
      <w:r>
        <w:rPr>
          <w:rFonts w:hint="eastAsia" w:ascii="仿宋_GB2312" w:hAnsi="仿宋_GB2312" w:eastAsia="仿宋_GB2312" w:cs="Times New Roman"/>
          <w:color w:val="000000"/>
          <w:kern w:val="2"/>
          <w:sz w:val="32"/>
          <w:szCs w:val="22"/>
          <w:lang w:val="en-US" w:eastAsia="zh-CN" w:bidi="ar-SA"/>
        </w:rPr>
        <w:t xml:space="preserve"> </w:t>
      </w:r>
      <w:r>
        <w:rPr>
          <w:rFonts w:hint="eastAsia" w:ascii="仿宋_GB2312" w:hAnsi="仿宋_GB2312" w:eastAsia="仿宋_GB2312" w:cs="Times New Roman"/>
          <w:color w:val="000000"/>
          <w:kern w:val="2"/>
          <w:sz w:val="32"/>
          <w:szCs w:val="22"/>
          <w:highlight w:val="none"/>
          <w:lang w:val="en-US" w:eastAsia="zh-CN" w:bidi="ar-SA"/>
        </w:rPr>
        <w:t>支持促消费活动举办</w:t>
      </w:r>
      <w:bookmarkEnd w:id="115"/>
      <w:bookmarkEnd w:id="116"/>
      <w:bookmarkEnd w:id="117"/>
      <w:bookmarkEnd w:id="118"/>
      <w:bookmarkEnd w:id="119"/>
      <w:bookmarkEnd w:id="120"/>
      <w:bookmarkEnd w:id="121"/>
    </w:p>
    <w:p>
      <w:pPr>
        <w:keepNext w:val="0"/>
        <w:keepLines w:val="0"/>
        <w:pageBreakBefore w:val="0"/>
        <w:widowControl/>
        <w:suppressLineNumbers w:val="0"/>
        <w:shd w:val="clear" w:color="auto" w:fill="FFFFFF"/>
        <w:kinsoku/>
        <w:wordWrap/>
        <w:overflowPunct/>
        <w:topLinePunct w:val="0"/>
        <w:autoSpaceDE/>
        <w:autoSpaceDN/>
        <w:bidi w:val="0"/>
        <w:adjustRightInd/>
        <w:snapToGrid w:val="0"/>
        <w:spacing w:after="0" w:afterAutospacing="0" w:line="560" w:lineRule="exact"/>
        <w:ind w:left="0" w:right="0" w:firstLine="640" w:firstLineChars="200"/>
        <w:jc w:val="both"/>
        <w:textAlignment w:val="auto"/>
        <w:rPr>
          <w:rFonts w:hint="eastAsia" w:ascii="仿宋_GB2312" w:hAnsi="仿宋_GB2312" w:eastAsia="仿宋_GB2312" w:cs="Times New Roman"/>
          <w:b w:val="0"/>
          <w:i w:val="0"/>
          <w:caps w:val="0"/>
          <w:color w:val="000000"/>
          <w:spacing w:val="0"/>
          <w:kern w:val="2"/>
          <w:sz w:val="32"/>
          <w:szCs w:val="22"/>
          <w:highlight w:val="none"/>
          <w:shd w:val="clear" w:color="auto" w:fill="auto"/>
          <w:lang w:val="en-US" w:eastAsia="zh-CN" w:bidi="ar-SA"/>
        </w:rPr>
      </w:pPr>
      <w:r>
        <w:rPr>
          <w:rFonts w:hint="eastAsia" w:ascii="仿宋_GB2312" w:hAnsi="仿宋_GB2312" w:eastAsia="仿宋_GB2312" w:cs="Times New Roman"/>
          <w:b w:val="0"/>
          <w:i w:val="0"/>
          <w:caps w:val="0"/>
          <w:color w:val="000000"/>
          <w:spacing w:val="0"/>
          <w:kern w:val="2"/>
          <w:sz w:val="32"/>
          <w:szCs w:val="22"/>
          <w:highlight w:val="none"/>
          <w:shd w:val="clear" w:color="auto" w:fill="auto"/>
          <w:lang w:val="en-US" w:eastAsia="zh-CN" w:bidi="ar-SA"/>
        </w:rPr>
        <w:t>鼓</w:t>
      </w:r>
      <w:r>
        <w:rPr>
          <w:rFonts w:hint="eastAsia" w:ascii="仿宋_GB2312" w:hAnsi="仿宋_GB2312" w:eastAsia="仿宋_GB2312" w:cs="Times New Roman"/>
          <w:b w:val="0"/>
          <w:i w:val="0"/>
          <w:caps w:val="0"/>
          <w:color w:val="000000"/>
          <w:spacing w:val="0"/>
          <w:kern w:val="2"/>
          <w:sz w:val="32"/>
          <w:szCs w:val="32"/>
          <w:highlight w:val="none"/>
          <w:shd w:val="clear" w:color="auto" w:fill="FFFFFF"/>
          <w:lang w:val="en-US" w:eastAsia="zh-CN" w:bidi="ar-SA"/>
        </w:rPr>
        <w:t>励各镇（街道）、区内企业、组织、机构等单位在合作区举办促消费活动。对上年度举办且经区商务主管部门、镇（街道）</w:t>
      </w:r>
      <w:r>
        <w:rPr>
          <w:rFonts w:hint="eastAsia" w:ascii="仿宋_GB2312" w:hAnsi="仿宋_GB2312" w:eastAsia="仿宋_GB2312" w:cs="Times New Roman"/>
          <w:b w:val="0"/>
          <w:i w:val="0"/>
          <w:caps w:val="0"/>
          <w:color w:val="000000"/>
          <w:spacing w:val="0"/>
          <w:kern w:val="2"/>
          <w:sz w:val="32"/>
          <w:szCs w:val="32"/>
          <w:highlight w:val="none"/>
          <w:shd w:val="clear" w:color="auto" w:fill="FFFFFF"/>
          <w:lang w:val="en" w:eastAsia="zh-CN" w:bidi="ar-SA"/>
        </w:rPr>
        <w:t>备案的</w:t>
      </w:r>
      <w:r>
        <w:rPr>
          <w:rFonts w:hint="eastAsia" w:ascii="仿宋_GB2312" w:hAnsi="仿宋_GB2312" w:eastAsia="仿宋_GB2312" w:cs="Times New Roman"/>
          <w:b w:val="0"/>
          <w:i w:val="0"/>
          <w:caps w:val="0"/>
          <w:color w:val="000000"/>
          <w:spacing w:val="0"/>
          <w:kern w:val="2"/>
          <w:sz w:val="32"/>
          <w:szCs w:val="32"/>
          <w:highlight w:val="none"/>
          <w:shd w:val="clear" w:color="auto" w:fill="FFFFFF"/>
          <w:lang w:val="en-US" w:eastAsia="zh-CN" w:bidi="ar-SA"/>
        </w:rPr>
        <w:t>促消费活动，活动完成并经会计师事务所进行专项审计后，实际活动费用超过50万元的，按实际活动费用的30%给予承办单位补贴，单次活动最高补贴30万元（补贴包括策划费、搭建费、运输费、物料费、设备租赁费、宣传推介费等活动相关费用，不补贴消费券、消费补贴费用），单个申报单位每年</w:t>
      </w:r>
      <w:r>
        <w:rPr>
          <w:rFonts w:hint="eastAsia" w:ascii="仿宋_GB2312" w:hAnsi="仿宋_GB2312" w:eastAsia="仿宋_GB2312" w:cs="Times New Roman"/>
          <w:b w:val="0"/>
          <w:i w:val="0"/>
          <w:caps w:val="0"/>
          <w:color w:val="000000"/>
          <w:spacing w:val="0"/>
          <w:kern w:val="2"/>
          <w:sz w:val="32"/>
          <w:szCs w:val="22"/>
          <w:highlight w:val="none"/>
          <w:shd w:val="clear" w:color="auto" w:fill="auto"/>
          <w:lang w:val="en-US" w:eastAsia="zh-CN" w:bidi="ar-SA"/>
        </w:rPr>
        <w:t>最高补贴60万元。</w:t>
      </w:r>
    </w:p>
    <w:p>
      <w:pPr>
        <w:keepNext w:val="0"/>
        <w:keepLines w:val="0"/>
        <w:pageBreakBefore w:val="0"/>
        <w:widowControl/>
        <w:suppressLineNumbers w:val="0"/>
        <w:shd w:val="clear" w:color="auto" w:fill="FFFFFF"/>
        <w:kinsoku/>
        <w:wordWrap/>
        <w:overflowPunct/>
        <w:topLinePunct w:val="0"/>
        <w:autoSpaceDE/>
        <w:autoSpaceDN/>
        <w:bidi w:val="0"/>
        <w:adjustRightInd/>
        <w:snapToGrid w:val="0"/>
        <w:spacing w:after="0" w:afterAutospacing="0" w:line="560" w:lineRule="exact"/>
        <w:ind w:right="0"/>
        <w:jc w:val="both"/>
        <w:textAlignment w:val="auto"/>
        <w:rPr>
          <w:rFonts w:hint="eastAsia" w:ascii="仿宋_GB2312" w:hAnsi="仿宋_GB2312" w:eastAsia="仿宋_GB2312" w:cs="Times New Roman"/>
          <w:b w:val="0"/>
          <w:i w:val="0"/>
          <w:caps w:val="0"/>
          <w:color w:val="000000"/>
          <w:spacing w:val="0"/>
          <w:kern w:val="2"/>
          <w:sz w:val="32"/>
          <w:szCs w:val="22"/>
          <w:highlight w:val="none"/>
          <w:shd w:val="clear" w:color="auto" w:fill="auto"/>
          <w:lang w:val="en-US" w:eastAsia="zh-CN" w:bidi="ar-SA"/>
        </w:rPr>
      </w:pPr>
    </w:p>
    <w:p>
      <w:pPr>
        <w:keepNext/>
        <w:keepLines/>
        <w:pageBreakBefore w:val="0"/>
        <w:widowControl w:val="0"/>
        <w:kinsoku/>
        <w:wordWrap/>
        <w:overflowPunct/>
        <w:topLinePunct w:val="0"/>
        <w:autoSpaceDE/>
        <w:autoSpaceDN/>
        <w:bidi w:val="0"/>
        <w:adjustRightInd/>
        <w:snapToGrid w:val="0"/>
        <w:spacing w:before="0" w:after="0" w:line="560" w:lineRule="exact"/>
        <w:ind w:firstLine="0" w:firstLineChars="0"/>
        <w:jc w:val="center"/>
        <w:textAlignment w:val="auto"/>
        <w:outlineLvl w:val="0"/>
        <w:rPr>
          <w:rFonts w:hint="eastAsia" w:ascii="黑体" w:hAnsi="黑体" w:eastAsia="黑体" w:cs="Times New Roman"/>
          <w:bCs/>
          <w:color w:val="1A1A1A"/>
          <w:kern w:val="2"/>
          <w:sz w:val="32"/>
          <w:szCs w:val="36"/>
          <w:lang w:val="en-US" w:eastAsia="zh-CN" w:bidi="ar-SA"/>
        </w:rPr>
      </w:pPr>
      <w:bookmarkStart w:id="122" w:name="_Toc973189264"/>
      <w:bookmarkStart w:id="123" w:name="_Toc2114676092"/>
      <w:bookmarkStart w:id="124" w:name="_Toc985158485"/>
      <w:bookmarkStart w:id="125" w:name="_Toc578766422"/>
      <w:bookmarkStart w:id="126" w:name="_Toc1199513605"/>
      <w:bookmarkStart w:id="127" w:name="_Toc1014445435"/>
      <w:bookmarkStart w:id="128" w:name="_Toc645313961_WPSOffice_Level1"/>
      <w:bookmarkStart w:id="129" w:name="_Toc9083"/>
      <w:r>
        <w:rPr>
          <w:rFonts w:hint="eastAsia" w:ascii="黑体" w:hAnsi="黑体" w:eastAsia="黑体" w:cs="Times New Roman"/>
          <w:bCs/>
          <w:color w:val="1A1A1A"/>
          <w:kern w:val="2"/>
          <w:sz w:val="32"/>
          <w:szCs w:val="36"/>
          <w:lang w:val="en-US" w:eastAsia="zh-CN" w:bidi="ar-SA"/>
        </w:rPr>
        <w:t>第六章  支持汽车后市场发展</w:t>
      </w:r>
      <w:bookmarkEnd w:id="122"/>
      <w:bookmarkEnd w:id="123"/>
      <w:bookmarkEnd w:id="124"/>
      <w:bookmarkEnd w:id="125"/>
      <w:bookmarkEnd w:id="126"/>
      <w:bookmarkEnd w:id="127"/>
    </w:p>
    <w:p>
      <w:pPr>
        <w:keepNext/>
        <w:keepLines/>
        <w:pageBreakBefore w:val="0"/>
        <w:widowControl w:val="0"/>
        <w:kinsoku/>
        <w:wordWrap/>
        <w:overflowPunct/>
        <w:topLinePunct w:val="0"/>
        <w:autoSpaceDE/>
        <w:autoSpaceDN/>
        <w:bidi w:val="0"/>
        <w:adjustRightInd/>
        <w:snapToGrid w:val="0"/>
        <w:spacing w:beforeAutospacing="0" w:afterAutospacing="0" w:line="560" w:lineRule="exact"/>
        <w:ind w:firstLine="642" w:firstLineChars="200"/>
        <w:jc w:val="both"/>
        <w:textAlignment w:val="auto"/>
        <w:outlineLvl w:val="1"/>
        <w:rPr>
          <w:rFonts w:hint="eastAsia" w:ascii="仿宋_GB2312" w:hAnsi="仿宋_GB2312" w:eastAsia="仿宋_GB2312" w:cs="Times New Roman"/>
          <w:b/>
          <w:bCs/>
          <w:color w:val="000000"/>
          <w:kern w:val="2"/>
          <w:sz w:val="32"/>
          <w:szCs w:val="22"/>
          <w:lang w:val="en-US" w:eastAsia="zh-CN" w:bidi="ar-SA"/>
        </w:rPr>
      </w:pPr>
      <w:bookmarkStart w:id="130" w:name="_Toc13104"/>
      <w:bookmarkStart w:id="131" w:name="_Toc662225285"/>
      <w:bookmarkStart w:id="132" w:name="_Toc1190783638"/>
      <w:bookmarkStart w:id="133" w:name="_Toc666292177"/>
      <w:bookmarkStart w:id="134" w:name="_Toc683891507"/>
      <w:bookmarkStart w:id="135" w:name="_Toc59782365"/>
      <w:bookmarkStart w:id="136" w:name="_Toc863556912"/>
    </w:p>
    <w:p>
      <w:pPr>
        <w:keepNext/>
        <w:keepLines/>
        <w:pageBreakBefore w:val="0"/>
        <w:widowControl w:val="0"/>
        <w:kinsoku/>
        <w:wordWrap/>
        <w:overflowPunct/>
        <w:topLinePunct w:val="0"/>
        <w:autoSpaceDE/>
        <w:autoSpaceDN/>
        <w:bidi w:val="0"/>
        <w:adjustRightInd/>
        <w:snapToGrid w:val="0"/>
        <w:spacing w:beforeAutospacing="0" w:afterAutospacing="0" w:line="560" w:lineRule="exact"/>
        <w:ind w:firstLine="640" w:firstLineChars="200"/>
        <w:jc w:val="both"/>
        <w:textAlignment w:val="auto"/>
        <w:outlineLvl w:val="1"/>
        <w:rPr>
          <w:rFonts w:hint="default" w:ascii="仿宋_GB2312" w:hAnsi="仿宋_GB2312" w:eastAsia="仿宋_GB2312" w:cs="Times New Roman"/>
          <w:color w:val="000000"/>
          <w:kern w:val="2"/>
          <w:sz w:val="32"/>
          <w:szCs w:val="22"/>
          <w:lang w:val="en" w:eastAsia="zh-CN" w:bidi="ar-SA"/>
        </w:rPr>
      </w:pPr>
      <w:r>
        <w:rPr>
          <w:rFonts w:hint="eastAsia" w:ascii="CESI黑体-GB13000" w:hAnsi="CESI黑体-GB13000" w:eastAsia="CESI黑体-GB13000" w:cs="CESI黑体-GB13000"/>
          <w:b w:val="0"/>
          <w:bCs w:val="0"/>
          <w:color w:val="auto"/>
          <w:kern w:val="2"/>
          <w:sz w:val="32"/>
          <w:szCs w:val="22"/>
          <w:highlight w:val="none"/>
          <w:lang w:val="en-US" w:eastAsia="zh-CN" w:bidi="ar-SA"/>
        </w:rPr>
        <w:t>第十二条</w:t>
      </w:r>
      <w:r>
        <w:rPr>
          <w:rFonts w:hint="default" w:ascii="仿宋_GB2312" w:hAnsi="仿宋_GB2312" w:eastAsia="仿宋_GB2312" w:cs="Times New Roman"/>
          <w:b/>
          <w:bCs/>
          <w:color w:val="000000"/>
          <w:kern w:val="2"/>
          <w:sz w:val="32"/>
          <w:szCs w:val="22"/>
          <w:lang w:val="en" w:eastAsia="zh-CN" w:bidi="ar-SA"/>
        </w:rPr>
        <w:t xml:space="preserve"> </w:t>
      </w:r>
      <w:r>
        <w:rPr>
          <w:rFonts w:hint="eastAsia" w:ascii="仿宋_GB2312" w:hAnsi="仿宋_GB2312" w:eastAsia="仿宋_GB2312" w:cs="Times New Roman"/>
          <w:color w:val="000000"/>
          <w:kern w:val="2"/>
          <w:sz w:val="32"/>
          <w:szCs w:val="22"/>
          <w:lang w:val="en-US" w:eastAsia="zh-CN" w:bidi="ar-SA"/>
        </w:rPr>
        <w:t xml:space="preserve"> </w:t>
      </w:r>
      <w:bookmarkEnd w:id="130"/>
      <w:r>
        <w:rPr>
          <w:rFonts w:hint="eastAsia" w:ascii="仿宋_GB2312" w:hAnsi="仿宋_GB2312" w:eastAsia="仿宋_GB2312" w:cs="Times New Roman"/>
          <w:color w:val="000000"/>
          <w:kern w:val="2"/>
          <w:sz w:val="32"/>
          <w:szCs w:val="22"/>
          <w:lang w:val="en-US" w:eastAsia="zh-CN" w:bidi="ar-SA"/>
        </w:rPr>
        <w:t>支持</w:t>
      </w:r>
      <w:r>
        <w:rPr>
          <w:rFonts w:hint="eastAsia" w:ascii="仿宋_GB2312" w:hAnsi="仿宋_GB2312" w:eastAsia="仿宋_GB2312" w:cs="Times New Roman"/>
          <w:b w:val="0"/>
          <w:color w:val="auto"/>
          <w:kern w:val="2"/>
          <w:sz w:val="32"/>
          <w:szCs w:val="22"/>
          <w:lang w:val="en-US" w:eastAsia="zh-CN" w:bidi="ar-SA"/>
        </w:rPr>
        <w:t>汽车后市场企业扩大经营</w:t>
      </w:r>
      <w:bookmarkEnd w:id="131"/>
      <w:bookmarkEnd w:id="132"/>
      <w:bookmarkEnd w:id="133"/>
      <w:bookmarkEnd w:id="134"/>
      <w:bookmarkEnd w:id="135"/>
      <w:bookmarkEnd w:id="136"/>
    </w:p>
    <w:p>
      <w:pPr>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Times New Roman"/>
          <w:b w:val="0"/>
          <w:i w:val="0"/>
          <w:caps w:val="0"/>
          <w:color w:val="000000"/>
          <w:spacing w:val="0"/>
          <w:kern w:val="2"/>
          <w:sz w:val="32"/>
          <w:szCs w:val="22"/>
          <w:highlight w:val="none"/>
          <w:shd w:val="clear" w:color="auto" w:fill="auto"/>
          <w:lang w:val="en-US" w:eastAsia="zh-CN" w:bidi="ar-SA"/>
        </w:rPr>
      </w:pPr>
      <w:r>
        <w:rPr>
          <w:rFonts w:hint="eastAsia" w:ascii="仿宋_GB2312" w:hAnsi="仿宋_GB2312" w:eastAsia="仿宋_GB2312" w:cs="Times New Roman"/>
          <w:b w:val="0"/>
          <w:color w:val="auto"/>
          <w:kern w:val="2"/>
          <w:sz w:val="32"/>
          <w:szCs w:val="22"/>
          <w:lang w:val="en-US" w:eastAsia="zh-CN" w:bidi="ar-SA"/>
        </w:rPr>
        <w:t>对</w:t>
      </w:r>
      <w:r>
        <w:rPr>
          <w:rFonts w:hint="eastAsia" w:ascii="仿宋_GB2312" w:hAnsi="仿宋_GB2312" w:eastAsia="仿宋_GB2312" w:cs="Times New Roman"/>
          <w:b w:val="0"/>
          <w:i w:val="0"/>
          <w:caps w:val="0"/>
          <w:color w:val="000000"/>
          <w:spacing w:val="0"/>
          <w:kern w:val="2"/>
          <w:sz w:val="32"/>
          <w:szCs w:val="22"/>
          <w:highlight w:val="none"/>
          <w:shd w:val="clear" w:color="auto" w:fill="auto"/>
          <w:lang w:val="en-US" w:eastAsia="zh-CN" w:bidi="ar-SA"/>
        </w:rPr>
        <w:t>纳统的汽车维修、保养企业，按其</w:t>
      </w:r>
      <w:r>
        <w:rPr>
          <w:rFonts w:hint="default" w:ascii="仿宋_GB2312" w:hAnsi="仿宋_GB2312" w:eastAsia="仿宋_GB2312" w:cs="Times New Roman"/>
          <w:b w:val="0"/>
          <w:i w:val="0"/>
          <w:caps w:val="0"/>
          <w:color w:val="000000"/>
          <w:spacing w:val="0"/>
          <w:kern w:val="2"/>
          <w:sz w:val="32"/>
          <w:szCs w:val="22"/>
          <w:highlight w:val="none"/>
          <w:shd w:val="clear" w:color="auto" w:fill="auto"/>
          <w:lang w:val="en" w:eastAsia="zh-CN" w:bidi="ar-SA"/>
        </w:rPr>
        <w:t>上年度</w:t>
      </w:r>
      <w:r>
        <w:rPr>
          <w:rFonts w:hint="eastAsia" w:ascii="仿宋_GB2312" w:hAnsi="仿宋_GB2312" w:eastAsia="仿宋_GB2312" w:cs="Times New Roman"/>
          <w:b w:val="0"/>
          <w:i w:val="0"/>
          <w:caps w:val="0"/>
          <w:color w:val="000000"/>
          <w:spacing w:val="0"/>
          <w:kern w:val="2"/>
          <w:sz w:val="32"/>
          <w:szCs w:val="22"/>
          <w:highlight w:val="none"/>
          <w:shd w:val="clear" w:color="auto" w:fill="auto"/>
          <w:lang w:val="en-US" w:eastAsia="zh-CN" w:bidi="ar-SA"/>
        </w:rPr>
        <w:t>在合作区内租赁自用经营性用房（如：商铺、办公、车间、仓储等，但不包括附属和配套用房）实际租赁费用的20%给予补贴，单个企业每年最高补贴15万元。</w:t>
      </w:r>
    </w:p>
    <w:p>
      <w:pPr>
        <w:pageBreakBefore w:val="0"/>
        <w:widowControl w:val="0"/>
        <w:kinsoku/>
        <w:wordWrap/>
        <w:overflowPunct/>
        <w:topLinePunct w:val="0"/>
        <w:autoSpaceDE/>
        <w:autoSpaceDN/>
        <w:bidi w:val="0"/>
        <w:adjustRightInd/>
        <w:snapToGrid w:val="0"/>
        <w:spacing w:line="560" w:lineRule="exact"/>
        <w:ind w:right="-162" w:rightChars="-77" w:firstLine="620" w:firstLineChars="200"/>
        <w:jc w:val="both"/>
        <w:textAlignment w:val="auto"/>
        <w:rPr>
          <w:rFonts w:hint="eastAsia" w:ascii="仿宋_GB2312" w:hAnsi="仿宋_GB2312" w:eastAsia="仿宋_GB2312" w:cs="Times New Roman"/>
          <w:color w:val="000000"/>
          <w:kern w:val="2"/>
          <w:sz w:val="31"/>
          <w:szCs w:val="22"/>
          <w:lang w:val="en-US" w:eastAsia="zh-CN" w:bidi="ar-SA"/>
        </w:rPr>
      </w:pPr>
    </w:p>
    <w:p>
      <w:pPr>
        <w:keepNext/>
        <w:keepLines/>
        <w:pageBreakBefore w:val="0"/>
        <w:widowControl w:val="0"/>
        <w:kinsoku/>
        <w:wordWrap/>
        <w:overflowPunct/>
        <w:topLinePunct w:val="0"/>
        <w:autoSpaceDE/>
        <w:autoSpaceDN/>
        <w:bidi w:val="0"/>
        <w:adjustRightInd/>
        <w:snapToGrid w:val="0"/>
        <w:spacing w:before="0" w:after="0" w:line="560" w:lineRule="exact"/>
        <w:ind w:firstLine="0" w:firstLineChars="0"/>
        <w:jc w:val="center"/>
        <w:textAlignment w:val="auto"/>
        <w:outlineLvl w:val="0"/>
        <w:rPr>
          <w:rFonts w:hint="eastAsia" w:ascii="黑体" w:hAnsi="黑体" w:eastAsia="黑体" w:cs="Times New Roman"/>
          <w:bCs/>
          <w:color w:val="1A1A1A"/>
          <w:kern w:val="2"/>
          <w:sz w:val="32"/>
          <w:szCs w:val="36"/>
          <w:lang w:val="en-US" w:eastAsia="zh-CN" w:bidi="ar-SA"/>
        </w:rPr>
      </w:pPr>
      <w:bookmarkStart w:id="137" w:name="_Toc279390125"/>
      <w:bookmarkStart w:id="138" w:name="_Toc1521184850"/>
      <w:bookmarkStart w:id="139" w:name="_Toc1623980899"/>
      <w:bookmarkStart w:id="140" w:name="_Toc313858911"/>
      <w:bookmarkStart w:id="141" w:name="_Toc402269046"/>
      <w:bookmarkStart w:id="142" w:name="_Toc2117105556"/>
      <w:r>
        <w:rPr>
          <w:rFonts w:hint="eastAsia" w:ascii="黑体" w:hAnsi="黑体" w:eastAsia="黑体" w:cs="Times New Roman"/>
          <w:bCs/>
          <w:color w:val="1A1A1A"/>
          <w:kern w:val="2"/>
          <w:sz w:val="32"/>
          <w:szCs w:val="36"/>
          <w:lang w:val="en-US" w:eastAsia="zh-CN" w:bidi="ar-SA"/>
        </w:rPr>
        <w:t>第</w:t>
      </w:r>
      <w:r>
        <w:rPr>
          <w:rFonts w:ascii="黑体" w:hAnsi="黑体" w:eastAsia="黑体" w:cs="Times New Roman"/>
          <w:bCs/>
          <w:color w:val="1A1A1A"/>
          <w:kern w:val="2"/>
          <w:sz w:val="32"/>
          <w:szCs w:val="36"/>
          <w:lang w:val="en-US" w:eastAsia="zh-CN" w:bidi="ar-SA"/>
        </w:rPr>
        <w:t>七</w:t>
      </w:r>
      <w:r>
        <w:rPr>
          <w:rFonts w:hint="eastAsia" w:ascii="黑体" w:hAnsi="黑体" w:eastAsia="黑体" w:cs="Times New Roman"/>
          <w:bCs/>
          <w:color w:val="1A1A1A"/>
          <w:kern w:val="2"/>
          <w:sz w:val="32"/>
          <w:szCs w:val="36"/>
          <w:lang w:val="en-US" w:eastAsia="zh-CN" w:bidi="ar-SA"/>
        </w:rPr>
        <w:t xml:space="preserve">章 </w:t>
      </w:r>
      <w:bookmarkEnd w:id="128"/>
      <w:bookmarkEnd w:id="129"/>
      <w:bookmarkEnd w:id="137"/>
      <w:bookmarkEnd w:id="138"/>
      <w:bookmarkEnd w:id="139"/>
      <w:bookmarkEnd w:id="140"/>
      <w:bookmarkEnd w:id="141"/>
      <w:bookmarkEnd w:id="142"/>
      <w:r>
        <w:rPr>
          <w:rFonts w:hint="default" w:ascii="黑体" w:hAnsi="黑体" w:eastAsia="黑体" w:cs="Times New Roman"/>
          <w:bCs/>
          <w:color w:val="1A1A1A"/>
          <w:kern w:val="2"/>
          <w:sz w:val="32"/>
          <w:szCs w:val="36"/>
          <w:lang w:val="en" w:eastAsia="zh-CN" w:bidi="ar-SA"/>
        </w:rPr>
        <w:t xml:space="preserve"> </w:t>
      </w:r>
      <w:r>
        <w:rPr>
          <w:rFonts w:hint="eastAsia" w:ascii="黑体" w:hAnsi="黑体" w:eastAsia="黑体" w:cs="Times New Roman"/>
          <w:bCs/>
          <w:color w:val="1A1A1A"/>
          <w:kern w:val="2"/>
          <w:sz w:val="32"/>
          <w:szCs w:val="36"/>
          <w:lang w:val="en-US" w:eastAsia="zh-CN" w:bidi="ar-SA"/>
        </w:rPr>
        <w:t>支持低空经济发展</w:t>
      </w:r>
    </w:p>
    <w:p>
      <w:pPr>
        <w:keepNext w:val="0"/>
        <w:keepLines w:val="0"/>
        <w:pageBreakBefore w:val="0"/>
        <w:widowControl/>
        <w:suppressLineNumbers w:val="0"/>
        <w:shd w:val="clear" w:color="auto" w:fill="FFFFFF"/>
        <w:kinsoku/>
        <w:wordWrap/>
        <w:overflowPunct/>
        <w:topLinePunct w:val="0"/>
        <w:autoSpaceDE/>
        <w:autoSpaceDN/>
        <w:bidi w:val="0"/>
        <w:adjustRightInd/>
        <w:snapToGrid w:val="0"/>
        <w:spacing w:before="0" w:beforeAutospacing="0" w:after="0" w:afterAutospacing="0" w:line="560" w:lineRule="exact"/>
        <w:ind w:left="0" w:leftChars="0" w:right="0" w:firstLine="642" w:firstLineChars="200"/>
        <w:jc w:val="both"/>
        <w:textAlignment w:val="auto"/>
        <w:rPr>
          <w:rFonts w:hint="eastAsia" w:ascii="仿宋_GB2312" w:hAnsi="仿宋_GB2312" w:eastAsia="仿宋_GB2312" w:cs="Times New Roman"/>
          <w:b/>
          <w:bCs/>
          <w:i w:val="0"/>
          <w:caps w:val="0"/>
          <w:color w:val="000000"/>
          <w:spacing w:val="0"/>
          <w:kern w:val="2"/>
          <w:sz w:val="32"/>
          <w:szCs w:val="22"/>
          <w:highlight w:val="none"/>
          <w:shd w:val="clear" w:color="auto" w:fill="auto"/>
          <w:lang w:val="en-US" w:eastAsia="zh-CN" w:bidi="ar-SA"/>
        </w:rPr>
      </w:pPr>
      <w:bookmarkStart w:id="143" w:name="_Toc271910570"/>
      <w:bookmarkStart w:id="144" w:name="_Toc2124429171"/>
      <w:bookmarkStart w:id="145" w:name="_Toc19945"/>
      <w:bookmarkStart w:id="146" w:name="_Toc1384526147"/>
      <w:bookmarkStart w:id="147" w:name="_Toc1683565683"/>
      <w:bookmarkStart w:id="148" w:name="_Toc1444203473"/>
    </w:p>
    <w:p>
      <w:pPr>
        <w:keepNext w:val="0"/>
        <w:keepLines w:val="0"/>
        <w:pageBreakBefore w:val="0"/>
        <w:widowControl/>
        <w:suppressLineNumbers w:val="0"/>
        <w:shd w:val="clear" w:color="auto" w:fill="FFFFFF"/>
        <w:kinsoku/>
        <w:wordWrap/>
        <w:overflowPunct/>
        <w:topLinePunct w:val="0"/>
        <w:autoSpaceDE/>
        <w:autoSpaceDN/>
        <w:bidi w:val="0"/>
        <w:adjustRightInd/>
        <w:snapToGrid w:val="0"/>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Times New Roman"/>
          <w:b w:val="0"/>
          <w:i w:val="0"/>
          <w:caps w:val="0"/>
          <w:color w:val="000000"/>
          <w:spacing w:val="0"/>
          <w:kern w:val="2"/>
          <w:sz w:val="32"/>
          <w:szCs w:val="22"/>
          <w:highlight w:val="none"/>
          <w:shd w:val="clear" w:color="auto" w:fill="auto"/>
          <w:lang w:val="en-US" w:eastAsia="zh-CN" w:bidi="ar-SA"/>
        </w:rPr>
      </w:pPr>
      <w:r>
        <w:rPr>
          <w:rFonts w:hint="eastAsia" w:ascii="CESI黑体-GB13000" w:hAnsi="CESI黑体-GB13000" w:eastAsia="CESI黑体-GB13000" w:cs="CESI黑体-GB13000"/>
          <w:b w:val="0"/>
          <w:bCs w:val="0"/>
          <w:i w:val="0"/>
          <w:caps w:val="0"/>
          <w:color w:val="auto"/>
          <w:spacing w:val="0"/>
          <w:kern w:val="2"/>
          <w:sz w:val="32"/>
          <w:szCs w:val="22"/>
          <w:highlight w:val="none"/>
          <w:shd w:val="clear" w:color="auto" w:fill="auto"/>
          <w:lang w:val="en-US" w:eastAsia="zh-CN" w:bidi="ar-SA"/>
        </w:rPr>
        <w:t>第十三条</w:t>
      </w:r>
      <w:bookmarkEnd w:id="143"/>
      <w:r>
        <w:rPr>
          <w:rFonts w:hint="default" w:ascii="仿宋_GB2312" w:hAnsi="仿宋_GB2312" w:eastAsia="仿宋_GB2312" w:cs="Times New Roman"/>
          <w:b/>
          <w:bCs/>
          <w:i w:val="0"/>
          <w:caps w:val="0"/>
          <w:color w:val="000000"/>
          <w:spacing w:val="0"/>
          <w:kern w:val="2"/>
          <w:sz w:val="32"/>
          <w:szCs w:val="22"/>
          <w:highlight w:val="none"/>
          <w:shd w:val="clear" w:color="auto" w:fill="auto"/>
          <w:lang w:val="en" w:eastAsia="zh-CN" w:bidi="ar-SA"/>
        </w:rPr>
        <w:t xml:space="preserve"> </w:t>
      </w:r>
      <w:r>
        <w:rPr>
          <w:rFonts w:hint="eastAsia" w:ascii="仿宋_GB2312" w:hAnsi="仿宋_GB2312" w:eastAsia="仿宋_GB2312" w:cs="Times New Roman"/>
          <w:b/>
          <w:bCs/>
          <w:i w:val="0"/>
          <w:caps w:val="0"/>
          <w:color w:val="000000"/>
          <w:spacing w:val="0"/>
          <w:kern w:val="2"/>
          <w:sz w:val="32"/>
          <w:szCs w:val="22"/>
          <w:highlight w:val="none"/>
          <w:shd w:val="clear" w:color="auto" w:fill="auto"/>
          <w:lang w:val="en-US" w:eastAsia="zh-CN" w:bidi="ar-SA"/>
        </w:rPr>
        <w:t xml:space="preserve"> </w:t>
      </w:r>
      <w:bookmarkEnd w:id="144"/>
      <w:bookmarkEnd w:id="145"/>
      <w:bookmarkEnd w:id="146"/>
      <w:bookmarkEnd w:id="147"/>
      <w:bookmarkEnd w:id="148"/>
      <w:r>
        <w:rPr>
          <w:rFonts w:hint="eastAsia" w:ascii="仿宋_GB2312" w:hAnsi="仿宋_GB2312" w:eastAsia="仿宋_GB2312" w:cs="Times New Roman"/>
          <w:b w:val="0"/>
          <w:i w:val="0"/>
          <w:caps w:val="0"/>
          <w:color w:val="000000"/>
          <w:spacing w:val="0"/>
          <w:kern w:val="2"/>
          <w:sz w:val="32"/>
          <w:szCs w:val="22"/>
          <w:highlight w:val="none"/>
          <w:shd w:val="clear" w:color="auto" w:fill="auto"/>
          <w:lang w:val="en-US" w:eastAsia="zh-CN" w:bidi="ar-SA"/>
        </w:rPr>
        <w:t>支持低空航运企业发展壮大</w:t>
      </w:r>
    </w:p>
    <w:p>
      <w:pPr>
        <w:pageBreakBefore w:val="0"/>
        <w:widowControl/>
        <w:shd w:val="clear" w:color="auto" w:fill="FFFFFF"/>
        <w:kinsoku/>
        <w:wordWrap/>
        <w:overflowPunct/>
        <w:topLinePunct w:val="0"/>
        <w:autoSpaceDE/>
        <w:autoSpaceDN/>
        <w:bidi w:val="0"/>
        <w:adjustRightInd/>
        <w:snapToGrid w:val="0"/>
        <w:spacing w:line="560" w:lineRule="exact"/>
        <w:ind w:right="0" w:firstLine="640" w:firstLineChars="200"/>
        <w:jc w:val="both"/>
        <w:textAlignment w:val="auto"/>
        <w:rPr>
          <w:rFonts w:hint="eastAsia" w:ascii="仿宋_GB2312" w:hAnsi="仿宋_GB2312" w:eastAsia="仿宋_GB2312" w:cs="Times New Roman"/>
          <w:color w:val="auto"/>
          <w:kern w:val="2"/>
          <w:sz w:val="32"/>
          <w:szCs w:val="22"/>
          <w:highlight w:val="none"/>
          <w:lang w:val="en-US" w:eastAsia="zh-CN" w:bidi="ar-SA"/>
        </w:rPr>
      </w:pPr>
      <w:r>
        <w:rPr>
          <w:rFonts w:hint="eastAsia" w:ascii="仿宋_GB2312" w:hAnsi="仿宋_GB2312" w:eastAsia="仿宋_GB2312" w:cs="Times New Roman"/>
          <w:b w:val="0"/>
          <w:i w:val="0"/>
          <w:caps w:val="0"/>
          <w:color w:val="000000"/>
          <w:spacing w:val="0"/>
          <w:kern w:val="2"/>
          <w:sz w:val="32"/>
          <w:szCs w:val="22"/>
          <w:highlight w:val="none"/>
          <w:shd w:val="clear" w:color="auto" w:fill="auto"/>
          <w:lang w:val="en-US" w:eastAsia="zh-CN" w:bidi="ar-SA"/>
        </w:rPr>
        <w:t>对注册在合作区</w:t>
      </w:r>
      <w:r>
        <w:rPr>
          <w:rFonts w:hint="eastAsia" w:ascii="仿宋_GB2312" w:hAnsi="仿宋_GB2312" w:eastAsia="仿宋_GB2312" w:cs="Times New Roman"/>
          <w:color w:val="auto"/>
          <w:kern w:val="2"/>
          <w:sz w:val="32"/>
          <w:szCs w:val="22"/>
          <w:highlight w:val="none"/>
          <w:lang w:val="en-US" w:eastAsia="zh-CN" w:bidi="ar-SA"/>
        </w:rPr>
        <w:t>的提供直升机航线运营企业，经区商务主管部门备案，按上年度在合作区实际通航服务时长给予补贴，单个企业每年最高补贴60万元。</w:t>
      </w:r>
    </w:p>
    <w:p>
      <w:pPr>
        <w:pageBreakBefore w:val="0"/>
        <w:widowControl/>
        <w:shd w:val="clear" w:color="auto" w:fill="FFFFFF"/>
        <w:kinsoku/>
        <w:wordWrap/>
        <w:overflowPunct/>
        <w:topLinePunct w:val="0"/>
        <w:autoSpaceDE/>
        <w:autoSpaceDN/>
        <w:bidi w:val="0"/>
        <w:adjustRightInd/>
        <w:snapToGrid w:val="0"/>
        <w:spacing w:line="560" w:lineRule="exact"/>
        <w:ind w:left="0" w:leftChars="0" w:right="0" w:firstLine="0" w:firstLineChars="0"/>
        <w:jc w:val="both"/>
        <w:textAlignment w:val="auto"/>
        <w:rPr>
          <w:rFonts w:hint="eastAsia" w:ascii="仿宋_GB2312" w:hAnsi="仿宋_GB2312" w:eastAsia="仿宋_GB2312" w:cs="Times New Roman"/>
          <w:color w:val="auto"/>
          <w:kern w:val="2"/>
          <w:sz w:val="32"/>
          <w:szCs w:val="22"/>
          <w:highlight w:val="none"/>
          <w:lang w:val="en-US" w:eastAsia="zh-CN" w:bidi="ar-SA"/>
        </w:rPr>
      </w:pPr>
    </w:p>
    <w:p>
      <w:pPr>
        <w:keepNext/>
        <w:keepLines/>
        <w:pageBreakBefore w:val="0"/>
        <w:widowControl w:val="0"/>
        <w:kinsoku/>
        <w:wordWrap/>
        <w:overflowPunct/>
        <w:topLinePunct w:val="0"/>
        <w:autoSpaceDE/>
        <w:autoSpaceDN/>
        <w:bidi w:val="0"/>
        <w:adjustRightInd/>
        <w:snapToGrid w:val="0"/>
        <w:spacing w:before="0" w:after="0" w:line="560" w:lineRule="exact"/>
        <w:ind w:firstLine="0" w:firstLineChars="0"/>
        <w:jc w:val="center"/>
        <w:textAlignment w:val="auto"/>
        <w:outlineLvl w:val="0"/>
        <w:rPr>
          <w:rFonts w:ascii="黑体" w:hAnsi="黑体" w:eastAsia="黑体" w:cs="Times New Roman"/>
          <w:bCs/>
          <w:color w:val="1A1A1A"/>
          <w:kern w:val="2"/>
          <w:sz w:val="32"/>
          <w:szCs w:val="36"/>
          <w:lang w:val="en-US" w:eastAsia="zh-CN" w:bidi="ar-SA"/>
        </w:rPr>
      </w:pPr>
      <w:bookmarkStart w:id="149" w:name="_Toc1557737621"/>
      <w:bookmarkStart w:id="150" w:name="_Toc854661544"/>
      <w:bookmarkStart w:id="151" w:name="_Toc945065219"/>
      <w:bookmarkStart w:id="152" w:name="_Toc1898529474"/>
      <w:bookmarkStart w:id="153" w:name="_Toc714639549"/>
      <w:bookmarkStart w:id="154" w:name="_Toc23347"/>
      <w:bookmarkStart w:id="155" w:name="_Toc1459146333"/>
      <w:bookmarkStart w:id="156" w:name="_Toc28498051_WPSOffice_Level1"/>
      <w:r>
        <w:rPr>
          <w:rFonts w:ascii="黑体" w:hAnsi="黑体" w:eastAsia="黑体" w:cs="Times New Roman"/>
          <w:bCs/>
          <w:color w:val="1A1A1A"/>
          <w:kern w:val="2"/>
          <w:sz w:val="32"/>
          <w:szCs w:val="36"/>
          <w:lang w:val="en-US" w:eastAsia="zh-CN" w:bidi="ar-SA"/>
        </w:rPr>
        <w:t>第</w:t>
      </w:r>
      <w:r>
        <w:rPr>
          <w:rFonts w:hint="eastAsia" w:ascii="黑体" w:hAnsi="黑体" w:eastAsia="黑体" w:cs="Times New Roman"/>
          <w:bCs/>
          <w:color w:val="1A1A1A"/>
          <w:kern w:val="2"/>
          <w:sz w:val="32"/>
          <w:szCs w:val="36"/>
          <w:lang w:val="en" w:eastAsia="zh-CN" w:bidi="ar-SA"/>
        </w:rPr>
        <w:t>八</w:t>
      </w:r>
      <w:r>
        <w:rPr>
          <w:rFonts w:ascii="黑体" w:hAnsi="黑体" w:eastAsia="黑体" w:cs="Times New Roman"/>
          <w:bCs/>
          <w:color w:val="1A1A1A"/>
          <w:kern w:val="2"/>
          <w:sz w:val="32"/>
          <w:szCs w:val="36"/>
          <w:lang w:val="en-US" w:eastAsia="zh-CN" w:bidi="ar-SA"/>
        </w:rPr>
        <w:t>章</w:t>
      </w:r>
      <w:r>
        <w:rPr>
          <w:rFonts w:hint="eastAsia" w:ascii="黑体" w:hAnsi="黑体" w:eastAsia="黑体" w:cs="Times New Roman"/>
          <w:bCs/>
          <w:color w:val="1A1A1A"/>
          <w:kern w:val="2"/>
          <w:sz w:val="32"/>
          <w:szCs w:val="36"/>
          <w:lang w:val="en-US" w:eastAsia="zh-CN" w:bidi="ar-SA"/>
        </w:rPr>
        <w:t xml:space="preserve">  </w:t>
      </w:r>
      <w:r>
        <w:rPr>
          <w:rFonts w:ascii="黑体" w:hAnsi="黑体" w:eastAsia="黑体" w:cs="Times New Roman"/>
          <w:bCs/>
          <w:color w:val="1A1A1A"/>
          <w:kern w:val="2"/>
          <w:sz w:val="32"/>
          <w:szCs w:val="36"/>
          <w:lang w:val="en-US" w:eastAsia="zh-CN" w:bidi="ar-SA"/>
        </w:rPr>
        <w:t>附则</w:t>
      </w:r>
      <w:bookmarkEnd w:id="149"/>
      <w:bookmarkEnd w:id="150"/>
      <w:bookmarkEnd w:id="151"/>
      <w:bookmarkEnd w:id="152"/>
      <w:bookmarkEnd w:id="153"/>
      <w:bookmarkEnd w:id="154"/>
      <w:bookmarkEnd w:id="155"/>
      <w:bookmarkEnd w:id="156"/>
    </w:p>
    <w:p>
      <w:pPr>
        <w:pageBreakBefore w:val="0"/>
        <w:widowControl w:val="0"/>
        <w:kinsoku/>
        <w:wordWrap/>
        <w:overflowPunct/>
        <w:topLinePunct w:val="0"/>
        <w:autoSpaceDE/>
        <w:autoSpaceDN/>
        <w:bidi w:val="0"/>
        <w:adjustRightInd/>
        <w:snapToGrid w:val="0"/>
        <w:spacing w:line="560" w:lineRule="exact"/>
        <w:ind w:firstLine="642" w:firstLineChars="200"/>
        <w:textAlignment w:val="auto"/>
        <w:rPr>
          <w:rFonts w:hint="eastAsia" w:ascii="仿宋_GB2312" w:hAnsi="仿宋_GB2312" w:eastAsia="仿宋_GB2312" w:cs="Times New Roman"/>
          <w:b/>
          <w:bCs/>
          <w:i w:val="0"/>
          <w:caps w:val="0"/>
          <w:color w:val="000000"/>
          <w:spacing w:val="0"/>
          <w:kern w:val="2"/>
          <w:sz w:val="32"/>
          <w:szCs w:val="22"/>
          <w:shd w:val="clear" w:color="auto" w:fill="FFFFFF"/>
          <w:lang w:val="en-US" w:eastAsia="zh-CN" w:bidi="ar-SA"/>
        </w:rPr>
      </w:pPr>
      <w:bookmarkStart w:id="157" w:name="_Toc31046"/>
      <w:bookmarkStart w:id="158" w:name="_Toc10315"/>
    </w:p>
    <w:p>
      <w:pPr>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Times New Roman"/>
          <w:color w:val="000000"/>
          <w:sz w:val="32"/>
          <w:highlight w:val="none"/>
          <w:lang w:eastAsia="zh-CN"/>
        </w:rPr>
      </w:pPr>
      <w:r>
        <w:rPr>
          <w:rFonts w:hint="eastAsia" w:ascii="CESI黑体-GB13000" w:hAnsi="CESI黑体-GB13000" w:eastAsia="CESI黑体-GB13000" w:cs="CESI黑体-GB13000"/>
          <w:b w:val="0"/>
          <w:bCs w:val="0"/>
          <w:i w:val="0"/>
          <w:caps w:val="0"/>
          <w:color w:val="auto"/>
          <w:spacing w:val="0"/>
          <w:kern w:val="2"/>
          <w:sz w:val="32"/>
          <w:szCs w:val="22"/>
          <w:highlight w:val="none"/>
          <w:shd w:val="clear" w:color="auto" w:fill="auto"/>
          <w:lang w:val="en-US" w:eastAsia="zh-CN" w:bidi="ar-SA"/>
        </w:rPr>
        <w:t>第十四条</w:t>
      </w:r>
      <w:r>
        <w:rPr>
          <w:rFonts w:hint="eastAsia" w:ascii="仿宋_GB2312" w:hAnsi="仿宋_GB2312" w:eastAsia="仿宋_GB2312" w:cs="Times New Roman"/>
          <w:b/>
          <w:bCs/>
          <w:color w:val="auto"/>
          <w:sz w:val="32"/>
          <w:highlight w:val="none"/>
          <w:lang w:val="en-US" w:eastAsia="zh-CN"/>
        </w:rPr>
        <w:t xml:space="preserve"> </w:t>
      </w:r>
      <w:r>
        <w:rPr>
          <w:rFonts w:hint="default" w:ascii="仿宋_GB2312" w:hAnsi="仿宋_GB2312" w:eastAsia="仿宋_GB2312" w:cs="Times New Roman"/>
          <w:b/>
          <w:bCs/>
          <w:color w:val="auto"/>
          <w:sz w:val="32"/>
          <w:highlight w:val="none"/>
          <w:lang w:val="en" w:eastAsia="zh-CN"/>
        </w:rPr>
        <w:t xml:space="preserve"> </w:t>
      </w:r>
      <w:r>
        <w:rPr>
          <w:rFonts w:hint="eastAsia" w:ascii="仿宋_GB2312" w:hAnsi="仿宋_GB2312" w:eastAsia="仿宋_GB2312" w:cs="Times New Roman"/>
          <w:b w:val="0"/>
          <w:bCs w:val="0"/>
          <w:color w:val="auto"/>
          <w:sz w:val="32"/>
          <w:lang w:val="en-US" w:eastAsia="zh-CN"/>
        </w:rPr>
        <w:t>本措施所述“</w:t>
      </w:r>
      <w:r>
        <w:rPr>
          <w:rFonts w:hint="eastAsia" w:ascii="仿宋_GB2312" w:hAnsi="仿宋_GB2312" w:eastAsia="仿宋_GB2312" w:cs="Times New Roman"/>
          <w:b w:val="0"/>
          <w:bCs w:val="0"/>
          <w:color w:val="auto"/>
          <w:kern w:val="2"/>
          <w:sz w:val="32"/>
          <w:szCs w:val="22"/>
          <w:highlight w:val="none"/>
          <w:lang w:val="en-US" w:eastAsia="zh-CN" w:bidi="ar-SA"/>
        </w:rPr>
        <w:t>纳统”是指成功纳入</w:t>
      </w:r>
      <w:r>
        <w:rPr>
          <w:rFonts w:hint="default" w:ascii="仿宋_GB2312" w:hAnsi="仿宋_GB2312" w:eastAsia="仿宋_GB2312" w:cs="仿宋_GB2312"/>
          <w:b w:val="0"/>
          <w:bCs w:val="0"/>
          <w:i w:val="0"/>
          <w:iCs w:val="0"/>
          <w:color w:val="auto"/>
          <w:spacing w:val="0"/>
          <w:w w:val="100"/>
          <w:sz w:val="32"/>
          <w:szCs w:val="32"/>
          <w:highlight w:val="none"/>
          <w:vertAlign w:val="baseline"/>
          <w:lang w:val="en" w:eastAsia="zh-CN"/>
        </w:rPr>
        <w:t>合作区</w:t>
      </w:r>
      <w:r>
        <w:rPr>
          <w:rFonts w:hint="eastAsia" w:ascii="仿宋_GB2312" w:hAnsi="仿宋_GB2312" w:eastAsia="仿宋_GB2312" w:cs="仿宋_GB2312"/>
          <w:b w:val="0"/>
          <w:bCs w:val="0"/>
          <w:i w:val="0"/>
          <w:iCs w:val="0"/>
          <w:color w:val="auto"/>
          <w:spacing w:val="0"/>
          <w:w w:val="100"/>
          <w:sz w:val="32"/>
          <w:szCs w:val="32"/>
          <w:highlight w:val="none"/>
          <w:vertAlign w:val="baseline"/>
          <w:lang w:val="en" w:eastAsia="zh-CN"/>
        </w:rPr>
        <w:t>“四上”</w:t>
      </w:r>
      <w:r>
        <w:rPr>
          <w:rFonts w:hint="eastAsia" w:ascii="仿宋_GB2312" w:hAnsi="仿宋_GB2312" w:eastAsia="仿宋_GB2312" w:cs="Times New Roman"/>
          <w:b w:val="0"/>
          <w:bCs w:val="0"/>
          <w:color w:val="auto"/>
          <w:kern w:val="2"/>
          <w:sz w:val="32"/>
          <w:szCs w:val="22"/>
          <w:highlight w:val="none"/>
          <w:lang w:val="en-US" w:eastAsia="zh-CN" w:bidi="ar-SA"/>
        </w:rPr>
        <w:t>统计库。（“四上”单位包括规模以上工业、有资质的建筑业、限额以上批发和零售业、限额以上住宿和餐饮业、有开发经营活动的全部房地产开发经营业、规模以上服务业法人单位）。</w:t>
      </w:r>
      <w:r>
        <w:rPr>
          <w:rFonts w:hint="eastAsia" w:ascii="仿宋_GB2312" w:hAnsi="仿宋_GB2312" w:eastAsia="仿宋_GB2312" w:cs="Times New Roman"/>
          <w:color w:val="auto"/>
          <w:sz w:val="32"/>
        </w:rPr>
        <w:t>本措施中涉及的销售额、营业额、</w:t>
      </w:r>
      <w:r>
        <w:rPr>
          <w:rFonts w:hint="eastAsia" w:ascii="仿宋_GB2312" w:hAnsi="仿宋_GB2312" w:eastAsia="仿宋_GB2312" w:cs="Times New Roman"/>
          <w:color w:val="auto"/>
          <w:sz w:val="32"/>
          <w:lang w:eastAsia="zh-CN"/>
        </w:rPr>
        <w:t>增量、</w:t>
      </w:r>
      <w:r>
        <w:rPr>
          <w:rFonts w:hint="eastAsia" w:ascii="仿宋_GB2312" w:hAnsi="仿宋_GB2312" w:eastAsia="仿宋_GB2312" w:cs="Times New Roman"/>
          <w:color w:val="auto"/>
          <w:sz w:val="32"/>
        </w:rPr>
        <w:t>增速等以统计部门核定的数据为准。</w:t>
      </w:r>
    </w:p>
    <w:bookmarkEnd w:id="157"/>
    <w:bookmarkEnd w:id="158"/>
    <w:p>
      <w:pPr>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仿宋_GB2312" w:hAnsi="仿宋_GB2312" w:eastAsia="仿宋_GB2312" w:cs="Times New Roman"/>
          <w:b w:val="0"/>
          <w:bCs w:val="0"/>
          <w:color w:val="auto"/>
          <w:sz w:val="32"/>
          <w:highlight w:val="none"/>
          <w:lang w:val="en-US" w:eastAsia="zh-CN"/>
        </w:rPr>
      </w:pPr>
      <w:r>
        <w:rPr>
          <w:rFonts w:hint="eastAsia" w:ascii="CESI黑体-GB13000" w:hAnsi="CESI黑体-GB13000" w:eastAsia="CESI黑体-GB13000" w:cs="CESI黑体-GB13000"/>
          <w:b w:val="0"/>
          <w:bCs w:val="0"/>
          <w:color w:val="auto"/>
          <w:sz w:val="32"/>
          <w:highlight w:val="none"/>
          <w:lang w:val="en-US" w:eastAsia="zh-CN"/>
        </w:rPr>
        <w:t>第十</w:t>
      </w:r>
      <w:r>
        <w:rPr>
          <w:rFonts w:hint="eastAsia" w:ascii="CESI黑体-GB13000" w:hAnsi="CESI黑体-GB13000" w:eastAsia="CESI黑体-GB13000" w:cs="CESI黑体-GB13000"/>
          <w:b w:val="0"/>
          <w:bCs w:val="0"/>
          <w:color w:val="auto"/>
          <w:sz w:val="32"/>
          <w:highlight w:val="none"/>
          <w:lang w:val="en" w:eastAsia="zh-CN"/>
        </w:rPr>
        <w:t>五</w:t>
      </w:r>
      <w:r>
        <w:rPr>
          <w:rFonts w:hint="eastAsia" w:ascii="CESI黑体-GB13000" w:hAnsi="CESI黑体-GB13000" w:eastAsia="CESI黑体-GB13000" w:cs="CESI黑体-GB13000"/>
          <w:b w:val="0"/>
          <w:bCs w:val="0"/>
          <w:color w:val="auto"/>
          <w:sz w:val="32"/>
          <w:highlight w:val="none"/>
          <w:lang w:val="en-US" w:eastAsia="zh-CN"/>
        </w:rPr>
        <w:t>条</w:t>
      </w:r>
      <w:r>
        <w:rPr>
          <w:rFonts w:hint="eastAsia" w:ascii="仿宋_GB2312" w:hAnsi="仿宋_GB2312" w:eastAsia="仿宋_GB2312" w:cs="Times New Roman"/>
          <w:b/>
          <w:bCs/>
          <w:color w:val="auto"/>
          <w:kern w:val="2"/>
          <w:sz w:val="32"/>
          <w:szCs w:val="22"/>
          <w:lang w:val="en-US" w:eastAsia="zh-CN" w:bidi="ar-SA"/>
        </w:rPr>
        <w:t xml:space="preserve"> </w:t>
      </w:r>
      <w:r>
        <w:rPr>
          <w:rFonts w:hint="default" w:ascii="仿宋_GB2312" w:hAnsi="仿宋_GB2312" w:eastAsia="仿宋_GB2312" w:cs="Times New Roman"/>
          <w:b/>
          <w:bCs/>
          <w:color w:val="auto"/>
          <w:kern w:val="2"/>
          <w:sz w:val="32"/>
          <w:szCs w:val="22"/>
          <w:lang w:val="en" w:eastAsia="zh-CN" w:bidi="ar-SA"/>
        </w:rPr>
        <w:t xml:space="preserve"> </w:t>
      </w:r>
      <w:r>
        <w:rPr>
          <w:rFonts w:hint="eastAsia" w:ascii="仿宋_GB2312" w:hAnsi="仿宋_GB2312" w:eastAsia="仿宋_GB2312" w:cs="Times New Roman"/>
          <w:b w:val="0"/>
          <w:bCs w:val="0"/>
          <w:color w:val="auto"/>
          <w:sz w:val="32"/>
          <w:highlight w:val="none"/>
          <w:lang w:val="en-US" w:eastAsia="zh-CN"/>
        </w:rPr>
        <w:t>本措施</w:t>
      </w:r>
      <w:r>
        <w:rPr>
          <w:rFonts w:hint="default" w:ascii="仿宋_GB2312" w:hAnsi="仿宋_GB2312" w:eastAsia="仿宋_GB2312" w:cs="Times New Roman"/>
          <w:b w:val="0"/>
          <w:bCs w:val="0"/>
          <w:color w:val="auto"/>
          <w:sz w:val="32"/>
          <w:highlight w:val="none"/>
          <w:lang w:val="en" w:eastAsia="zh-CN"/>
        </w:rPr>
        <w:t>规定的扶持资金的管理、发放及监督适用</w:t>
      </w:r>
      <w:r>
        <w:rPr>
          <w:rFonts w:hint="eastAsia" w:ascii="仿宋_GB2312" w:hAnsi="仿宋_GB2312" w:eastAsia="仿宋_GB2312" w:cs="Times New Roman"/>
          <w:b w:val="0"/>
          <w:bCs w:val="0"/>
          <w:color w:val="auto"/>
          <w:sz w:val="32"/>
          <w:highlight w:val="none"/>
          <w:lang w:val="en-US" w:eastAsia="zh-CN"/>
        </w:rPr>
        <w:t>《深圳市深汕特别合作区经济发展专项资金管理办法》（深汕办</w:t>
      </w:r>
      <w:r>
        <w:rPr>
          <w:rFonts w:hint="default" w:ascii="仿宋_GB2312" w:hAnsi="仿宋_GB2312" w:eastAsia="仿宋_GB2312" w:cs="Times New Roman"/>
          <w:b w:val="0"/>
          <w:i w:val="0"/>
          <w:strike w:val="0"/>
          <w:color w:val="auto"/>
          <w:spacing w:val="0"/>
          <w:sz w:val="32"/>
          <w:highlight w:val="none"/>
          <w:u w:val="none"/>
          <w:lang w:eastAsia="zh-CN"/>
        </w:rPr>
        <w:t>〔202</w:t>
      </w:r>
      <w:r>
        <w:rPr>
          <w:rFonts w:hint="eastAsia" w:ascii="仿宋_GB2312" w:hAnsi="仿宋_GB2312" w:eastAsia="仿宋_GB2312" w:cs="Times New Roman"/>
          <w:b w:val="0"/>
          <w:i w:val="0"/>
          <w:strike w:val="0"/>
          <w:color w:val="auto"/>
          <w:spacing w:val="0"/>
          <w:sz w:val="32"/>
          <w:highlight w:val="none"/>
          <w:u w:val="none"/>
          <w:lang w:val="en-US" w:eastAsia="zh-CN"/>
        </w:rPr>
        <w:t>1</w:t>
      </w:r>
      <w:r>
        <w:rPr>
          <w:rFonts w:hint="default" w:ascii="仿宋_GB2312" w:hAnsi="仿宋_GB2312" w:eastAsia="仿宋_GB2312" w:cs="Times New Roman"/>
          <w:b w:val="0"/>
          <w:i w:val="0"/>
          <w:strike w:val="0"/>
          <w:color w:val="auto"/>
          <w:spacing w:val="0"/>
          <w:sz w:val="32"/>
          <w:highlight w:val="none"/>
          <w:u w:val="none"/>
          <w:lang w:eastAsia="zh-CN"/>
        </w:rPr>
        <w:t>〕</w:t>
      </w:r>
      <w:r>
        <w:rPr>
          <w:rFonts w:hint="eastAsia" w:ascii="仿宋_GB2312" w:hAnsi="仿宋_GB2312" w:eastAsia="仿宋_GB2312" w:cs="Times New Roman"/>
          <w:b w:val="0"/>
          <w:i w:val="0"/>
          <w:strike w:val="0"/>
          <w:color w:val="auto"/>
          <w:spacing w:val="0"/>
          <w:sz w:val="32"/>
          <w:highlight w:val="none"/>
          <w:u w:val="none"/>
          <w:lang w:val="en-US" w:eastAsia="zh-CN"/>
        </w:rPr>
        <w:t>22</w:t>
      </w:r>
      <w:r>
        <w:rPr>
          <w:rFonts w:hint="default" w:ascii="仿宋_GB2312" w:hAnsi="仿宋_GB2312" w:eastAsia="仿宋_GB2312" w:cs="Times New Roman"/>
          <w:b w:val="0"/>
          <w:i w:val="0"/>
          <w:strike w:val="0"/>
          <w:color w:val="auto"/>
          <w:spacing w:val="0"/>
          <w:sz w:val="32"/>
          <w:highlight w:val="none"/>
          <w:u w:val="none"/>
          <w:lang w:eastAsia="zh-CN"/>
        </w:rPr>
        <w:t>号</w:t>
      </w:r>
      <w:r>
        <w:rPr>
          <w:rFonts w:hint="eastAsia" w:ascii="仿宋_GB2312" w:hAnsi="仿宋_GB2312" w:eastAsia="仿宋_GB2312" w:cs="Times New Roman"/>
          <w:b w:val="0"/>
          <w:bCs w:val="0"/>
          <w:color w:val="auto"/>
          <w:sz w:val="32"/>
          <w:highlight w:val="none"/>
          <w:lang w:val="en-US" w:eastAsia="zh-CN"/>
        </w:rPr>
        <w:t>）。申报主体原则上应符合上述管理办法规定的“注册地”、“统计地”、“纳税地”、“独立法人”条件，以下情形除外：</w:t>
      </w:r>
    </w:p>
    <w:p>
      <w:pPr>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仿宋_GB2312" w:hAnsi="仿宋_GB2312" w:eastAsia="仿宋_GB2312" w:cs="Times New Roman"/>
          <w:b w:val="0"/>
          <w:bCs/>
          <w:color w:val="auto"/>
          <w:sz w:val="32"/>
          <w:highlight w:val="none"/>
          <w:lang w:val="en-US" w:eastAsia="zh-CN"/>
        </w:rPr>
      </w:pPr>
      <w:r>
        <w:rPr>
          <w:rFonts w:hint="eastAsia" w:ascii="仿宋_GB2312" w:hAnsi="仿宋_GB2312" w:eastAsia="仿宋_GB2312" w:cs="Times New Roman"/>
          <w:b w:val="0"/>
          <w:bCs w:val="0"/>
          <w:color w:val="auto"/>
          <w:sz w:val="32"/>
          <w:highlight w:val="none"/>
          <w:lang w:val="en-US" w:eastAsia="zh-CN"/>
        </w:rPr>
        <w:t>（一）第三章第七条“</w:t>
      </w:r>
      <w:r>
        <w:rPr>
          <w:rFonts w:hint="eastAsia" w:ascii="仿宋_GB2312" w:hAnsi="仿宋_GB2312" w:eastAsia="仿宋_GB2312" w:cs="Times New Roman"/>
          <w:color w:val="000000"/>
          <w:sz w:val="32"/>
        </w:rPr>
        <w:t>支持商业综合体</w:t>
      </w:r>
      <w:r>
        <w:rPr>
          <w:rFonts w:hint="eastAsia" w:ascii="仿宋_GB2312" w:hAnsi="仿宋_GB2312" w:eastAsia="仿宋_GB2312" w:cs="Times New Roman"/>
          <w:color w:val="000000"/>
          <w:sz w:val="32"/>
          <w:lang w:eastAsia="zh-CN"/>
        </w:rPr>
        <w:t>开设”和第八条“支持商业综合体发展壮大”</w:t>
      </w:r>
      <w:r>
        <w:rPr>
          <w:rFonts w:hint="eastAsia" w:ascii="仿宋_GB2312" w:hAnsi="仿宋_GB2312" w:eastAsia="仿宋_GB2312" w:cs="Times New Roman"/>
          <w:b w:val="0"/>
          <w:bCs/>
          <w:color w:val="auto"/>
          <w:sz w:val="32"/>
          <w:highlight w:val="none"/>
          <w:lang w:eastAsia="zh-CN"/>
        </w:rPr>
        <w:t>的申报主体均</w:t>
      </w:r>
      <w:r>
        <w:rPr>
          <w:rFonts w:hint="eastAsia" w:ascii="仿宋_GB2312" w:hAnsi="仿宋_GB2312" w:eastAsia="仿宋_GB2312" w:cs="仿宋_GB2312"/>
          <w:b w:val="0"/>
          <w:bCs/>
          <w:color w:val="auto"/>
          <w:sz w:val="32"/>
          <w:szCs w:val="32"/>
          <w:highlight w:val="none"/>
          <w:lang w:val="en-US" w:eastAsia="zh-CN"/>
        </w:rPr>
        <w:t>不受</w:t>
      </w:r>
      <w:r>
        <w:rPr>
          <w:rFonts w:hint="eastAsia" w:ascii="仿宋_GB2312" w:hAnsi="仿宋_GB2312" w:eastAsia="仿宋_GB2312" w:cs="Times New Roman"/>
          <w:b w:val="0"/>
          <w:bCs w:val="0"/>
          <w:color w:val="auto"/>
          <w:sz w:val="32"/>
          <w:highlight w:val="none"/>
          <w:lang w:val="en-US" w:eastAsia="zh-CN"/>
        </w:rPr>
        <w:t>上述管理办法规定的</w:t>
      </w:r>
      <w:r>
        <w:rPr>
          <w:rFonts w:hint="eastAsia" w:ascii="仿宋_GB2312" w:hAnsi="仿宋_GB2312" w:eastAsia="仿宋_GB2312" w:cs="仿宋_GB2312"/>
          <w:b w:val="0"/>
          <w:bCs/>
          <w:color w:val="auto"/>
          <w:sz w:val="32"/>
          <w:szCs w:val="32"/>
          <w:highlight w:val="none"/>
          <w:lang w:val="en-US" w:eastAsia="zh-CN"/>
        </w:rPr>
        <w:t>“独立法人”条件资格限制。</w:t>
      </w:r>
    </w:p>
    <w:p>
      <w:pPr>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b w:val="0"/>
          <w:bCs/>
          <w:color w:val="auto"/>
          <w:sz w:val="32"/>
          <w:highlight w:val="none"/>
          <w:lang w:val="en-US" w:eastAsia="zh-CN"/>
        </w:rPr>
      </w:pPr>
      <w:r>
        <w:rPr>
          <w:rFonts w:hint="eastAsia" w:ascii="仿宋_GB2312" w:hAnsi="仿宋_GB2312" w:eastAsia="仿宋_GB2312" w:cs="仿宋_GB2312"/>
          <w:b w:val="0"/>
          <w:bCs w:val="0"/>
          <w:color w:val="auto"/>
          <w:sz w:val="32"/>
          <w:highlight w:val="none"/>
          <w:lang w:val="en-US" w:eastAsia="zh-CN"/>
        </w:rPr>
        <w:t>（</w:t>
      </w:r>
      <w:r>
        <w:rPr>
          <w:rFonts w:hint="eastAsia" w:ascii="仿宋_GB2312" w:hAnsi="仿宋_GB2312" w:eastAsia="仿宋_GB2312" w:cs="仿宋_GB2312"/>
          <w:b w:val="0"/>
          <w:bCs w:val="0"/>
          <w:color w:val="auto"/>
          <w:sz w:val="32"/>
          <w:highlight w:val="none"/>
          <w:lang w:val="en" w:eastAsia="zh-CN"/>
        </w:rPr>
        <w:t>二</w:t>
      </w:r>
      <w:r>
        <w:rPr>
          <w:rFonts w:hint="eastAsia" w:ascii="仿宋_GB2312" w:hAnsi="仿宋_GB2312" w:eastAsia="仿宋_GB2312" w:cs="仿宋_GB2312"/>
          <w:b w:val="0"/>
          <w:bCs w:val="0"/>
          <w:color w:val="auto"/>
          <w:sz w:val="32"/>
          <w:highlight w:val="none"/>
          <w:lang w:val="en-US" w:eastAsia="zh-CN"/>
        </w:rPr>
        <w:t>）第四章第十条“</w:t>
      </w:r>
      <w:r>
        <w:rPr>
          <w:rStyle w:val="19"/>
          <w:rFonts w:hint="eastAsia" w:ascii="仿宋_GB2312" w:hAnsi="仿宋_GB2312" w:eastAsia="仿宋_GB2312" w:cs="仿宋_GB2312"/>
          <w:color w:val="000000"/>
          <w:sz w:val="32"/>
          <w:lang w:val="en-US" w:eastAsia="zh-CN"/>
        </w:rPr>
        <w:t>支持品牌商业招引”</w:t>
      </w:r>
      <w:r>
        <w:rPr>
          <w:rFonts w:hint="eastAsia" w:ascii="仿宋_GB2312" w:hAnsi="仿宋_GB2312" w:eastAsia="仿宋_GB2312" w:cs="仿宋_GB2312"/>
          <w:color w:val="auto"/>
          <w:sz w:val="32"/>
          <w:highlight w:val="none"/>
          <w:lang w:val="en-US" w:eastAsia="zh-CN"/>
        </w:rPr>
        <w:t>的申报主体</w:t>
      </w:r>
      <w:r>
        <w:rPr>
          <w:rFonts w:hint="eastAsia" w:ascii="仿宋_GB2312" w:hAnsi="仿宋_GB2312" w:eastAsia="仿宋_GB2312" w:cs="仿宋_GB2312"/>
          <w:b w:val="0"/>
          <w:bCs/>
          <w:color w:val="auto"/>
          <w:sz w:val="32"/>
          <w:highlight w:val="none"/>
          <w:lang w:val="en-US" w:eastAsia="zh-CN"/>
        </w:rPr>
        <w:t>不受</w:t>
      </w:r>
      <w:r>
        <w:rPr>
          <w:rFonts w:hint="eastAsia" w:ascii="仿宋_GB2312" w:hAnsi="仿宋_GB2312" w:eastAsia="仿宋_GB2312" w:cs="仿宋_GB2312"/>
          <w:b w:val="0"/>
          <w:bCs w:val="0"/>
          <w:color w:val="auto"/>
          <w:sz w:val="32"/>
          <w:highlight w:val="none"/>
          <w:lang w:val="en-US" w:eastAsia="zh-CN"/>
        </w:rPr>
        <w:t>上述管理办法规定的</w:t>
      </w:r>
      <w:r>
        <w:rPr>
          <w:rFonts w:hint="eastAsia" w:ascii="仿宋_GB2312" w:hAnsi="仿宋_GB2312" w:eastAsia="仿宋_GB2312" w:cs="仿宋_GB2312"/>
          <w:b w:val="0"/>
          <w:bCs/>
          <w:color w:val="auto"/>
          <w:sz w:val="32"/>
          <w:highlight w:val="none"/>
          <w:lang w:val="en-US" w:eastAsia="zh-CN"/>
        </w:rPr>
        <w:t>“独立法人”条件资格限制。</w:t>
      </w:r>
    </w:p>
    <w:p>
      <w:pPr>
        <w:keepNext w:val="0"/>
        <w:keepLines w:val="0"/>
        <w:pageBreakBefore w:val="0"/>
        <w:widowControl w:val="0"/>
        <w:kinsoku/>
        <w:wordWrap/>
        <w:overflowPunct/>
        <w:topLinePunct w:val="0"/>
        <w:autoSpaceDE/>
        <w:autoSpaceDN/>
        <w:bidi w:val="0"/>
        <w:adjustRightInd/>
        <w:snapToGrid w:val="0"/>
        <w:spacing w:after="0"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Times New Roman"/>
          <w:b w:val="0"/>
          <w:bCs w:val="0"/>
          <w:color w:val="auto"/>
          <w:sz w:val="32"/>
          <w:highlight w:val="none"/>
          <w:lang w:val="en-US" w:eastAsia="zh-CN"/>
        </w:rPr>
        <w:t>（</w:t>
      </w:r>
      <w:r>
        <w:rPr>
          <w:rFonts w:hint="eastAsia" w:ascii="仿宋_GB2312" w:hAnsi="仿宋_GB2312" w:eastAsia="仿宋_GB2312" w:cs="Times New Roman"/>
          <w:b w:val="0"/>
          <w:bCs w:val="0"/>
          <w:color w:val="auto"/>
          <w:sz w:val="32"/>
          <w:highlight w:val="none"/>
          <w:lang w:val="en" w:eastAsia="zh-CN"/>
        </w:rPr>
        <w:t>三</w:t>
      </w:r>
      <w:r>
        <w:rPr>
          <w:rFonts w:hint="eastAsia" w:ascii="仿宋_GB2312" w:hAnsi="仿宋_GB2312" w:eastAsia="仿宋_GB2312" w:cs="Times New Roman"/>
          <w:b w:val="0"/>
          <w:bCs w:val="0"/>
          <w:color w:val="auto"/>
          <w:sz w:val="32"/>
          <w:highlight w:val="none"/>
          <w:lang w:val="en-US" w:eastAsia="zh-CN"/>
        </w:rPr>
        <w:t>）第五章第十一条“</w:t>
      </w:r>
      <w:r>
        <w:rPr>
          <w:rFonts w:hint="eastAsia" w:ascii="仿宋_GB2312" w:hAnsi="仿宋_GB2312" w:eastAsia="仿宋_GB2312" w:cs="Times New Roman"/>
          <w:color w:val="000000"/>
          <w:sz w:val="32"/>
          <w:highlight w:val="none"/>
          <w:lang w:val="en-US" w:eastAsia="zh-CN"/>
        </w:rPr>
        <w:t>支持促消费活动举办</w:t>
      </w:r>
      <w:r>
        <w:rPr>
          <w:rFonts w:hint="eastAsia" w:ascii="仿宋_GB2312" w:hAnsi="仿宋_GB2312" w:eastAsia="仿宋_GB2312" w:cs="Times New Roman"/>
          <w:color w:val="000000"/>
          <w:sz w:val="32"/>
          <w:lang w:val="en-US" w:eastAsia="zh-CN"/>
        </w:rPr>
        <w:t>”</w:t>
      </w:r>
      <w:r>
        <w:rPr>
          <w:rFonts w:hint="eastAsia" w:ascii="仿宋_GB2312" w:hAnsi="仿宋_GB2312" w:eastAsia="仿宋_GB2312" w:cs="Times New Roman"/>
          <w:b w:val="0"/>
          <w:bCs/>
          <w:color w:val="auto"/>
          <w:sz w:val="32"/>
          <w:highlight w:val="none"/>
          <w:lang w:val="en-US" w:eastAsia="zh-CN"/>
        </w:rPr>
        <w:t>的申报主体</w:t>
      </w:r>
      <w:r>
        <w:rPr>
          <w:rFonts w:hint="eastAsia" w:ascii="仿宋_GB2312" w:hAnsi="仿宋_GB2312" w:eastAsia="仿宋_GB2312" w:cs="仿宋_GB2312"/>
          <w:color w:val="auto"/>
          <w:sz w:val="32"/>
          <w:szCs w:val="32"/>
          <w:highlight w:val="none"/>
          <w:lang w:val="en-US" w:eastAsia="zh-CN"/>
        </w:rPr>
        <w:t>不受</w:t>
      </w:r>
      <w:r>
        <w:rPr>
          <w:rFonts w:hint="eastAsia" w:ascii="仿宋_GB2312" w:hAnsi="仿宋_GB2312" w:eastAsia="仿宋_GB2312" w:cs="Times New Roman"/>
          <w:b w:val="0"/>
          <w:bCs w:val="0"/>
          <w:color w:val="auto"/>
          <w:sz w:val="32"/>
          <w:highlight w:val="none"/>
          <w:lang w:val="en-US" w:eastAsia="zh-CN"/>
        </w:rPr>
        <w:t>上述管理办法规定的</w:t>
      </w:r>
      <w:r>
        <w:rPr>
          <w:rFonts w:hint="eastAsia" w:ascii="仿宋_GB2312" w:hAnsi="仿宋_GB2312" w:eastAsia="仿宋_GB2312" w:cs="仿宋_GB2312"/>
          <w:color w:val="auto"/>
          <w:sz w:val="32"/>
          <w:szCs w:val="32"/>
          <w:highlight w:val="none"/>
          <w:lang w:val="en-US" w:eastAsia="zh-CN"/>
        </w:rPr>
        <w:t>“独立法人”条件资格限制。</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firstLine="640" w:firstLineChars="200"/>
        <w:jc w:val="both"/>
        <w:textAlignment w:val="auto"/>
        <w:rPr>
          <w:rFonts w:hint="eastAsia" w:ascii="仿宋_GB2312" w:hAnsi="仿宋_GB2312" w:eastAsia="仿宋_GB2312" w:cs="Times New Roman"/>
          <w:b w:val="0"/>
          <w:bCs w:val="0"/>
          <w:color w:val="auto"/>
          <w:kern w:val="2"/>
          <w:sz w:val="32"/>
          <w:szCs w:val="22"/>
          <w:highlight w:val="none"/>
          <w:lang w:val="en-US" w:eastAsia="zh-CN" w:bidi="ar-SA"/>
        </w:rPr>
      </w:pPr>
      <w:r>
        <w:rPr>
          <w:rFonts w:hint="eastAsia" w:ascii="CESI黑体-GB13000" w:hAnsi="CESI黑体-GB13000" w:eastAsia="CESI黑体-GB13000" w:cs="CESI黑体-GB13000"/>
          <w:b w:val="0"/>
          <w:bCs w:val="0"/>
          <w:color w:val="auto"/>
          <w:kern w:val="2"/>
          <w:sz w:val="32"/>
          <w:szCs w:val="22"/>
          <w:highlight w:val="none"/>
          <w:lang w:val="en-US" w:eastAsia="zh-CN" w:bidi="ar-SA"/>
        </w:rPr>
        <w:t>第十</w:t>
      </w:r>
      <w:r>
        <w:rPr>
          <w:rFonts w:hint="eastAsia" w:ascii="CESI黑体-GB13000" w:hAnsi="CESI黑体-GB13000" w:eastAsia="CESI黑体-GB13000" w:cs="CESI黑体-GB13000"/>
          <w:b w:val="0"/>
          <w:bCs w:val="0"/>
          <w:color w:val="auto"/>
          <w:kern w:val="2"/>
          <w:sz w:val="32"/>
          <w:szCs w:val="22"/>
          <w:highlight w:val="none"/>
          <w:lang w:val="en" w:eastAsia="zh-CN" w:bidi="ar-SA"/>
        </w:rPr>
        <w:t>六</w:t>
      </w:r>
      <w:r>
        <w:rPr>
          <w:rFonts w:hint="eastAsia" w:ascii="CESI黑体-GB13000" w:hAnsi="CESI黑体-GB13000" w:eastAsia="CESI黑体-GB13000" w:cs="CESI黑体-GB13000"/>
          <w:b w:val="0"/>
          <w:bCs w:val="0"/>
          <w:color w:val="auto"/>
          <w:kern w:val="2"/>
          <w:sz w:val="32"/>
          <w:szCs w:val="22"/>
          <w:highlight w:val="none"/>
          <w:lang w:val="en-US" w:eastAsia="zh-CN" w:bidi="ar-SA"/>
        </w:rPr>
        <w:t>条</w:t>
      </w:r>
      <w:r>
        <w:rPr>
          <w:rFonts w:hint="default" w:ascii="仿宋_GB2312" w:hAnsi="仿宋_GB2312" w:eastAsia="仿宋_GB2312" w:cs="Times New Roman"/>
          <w:b/>
          <w:bCs/>
          <w:i w:val="0"/>
          <w:strike w:val="0"/>
          <w:color w:val="auto"/>
          <w:spacing w:val="0"/>
          <w:kern w:val="2"/>
          <w:sz w:val="32"/>
          <w:szCs w:val="22"/>
          <w:u w:val="none"/>
          <w:lang w:val="en" w:eastAsia="zh-CN" w:bidi="ar-SA"/>
        </w:rPr>
        <w:t xml:space="preserve">  </w:t>
      </w:r>
      <w:r>
        <w:rPr>
          <w:rFonts w:hint="eastAsia" w:ascii="仿宋_GB2312" w:hAnsi="仿宋_GB2312" w:eastAsia="仿宋_GB2312" w:cs="Times New Roman"/>
          <w:b w:val="0"/>
          <w:bCs w:val="0"/>
          <w:color w:val="auto"/>
          <w:kern w:val="2"/>
          <w:sz w:val="32"/>
          <w:szCs w:val="22"/>
          <w:highlight w:val="none"/>
          <w:lang w:val="en-US" w:eastAsia="zh-CN" w:bidi="ar-SA"/>
        </w:rPr>
        <w:t>本措施申报主体所获资助金额不受其在合作区的财力贡献限制，所有申报项目的市、区资助总额不受项目实际投资总额限制。</w:t>
      </w:r>
    </w:p>
    <w:p>
      <w:pPr>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Times New Roman"/>
          <w:color w:val="auto"/>
          <w:sz w:val="32"/>
        </w:rPr>
      </w:pPr>
      <w:r>
        <w:rPr>
          <w:rFonts w:hint="eastAsia" w:ascii="CESI黑体-GB13000" w:hAnsi="CESI黑体-GB13000" w:eastAsia="CESI黑体-GB13000" w:cs="CESI黑体-GB13000"/>
          <w:b w:val="0"/>
          <w:bCs w:val="0"/>
          <w:i w:val="0"/>
          <w:strike w:val="0"/>
          <w:color w:val="auto"/>
          <w:spacing w:val="0"/>
          <w:kern w:val="2"/>
          <w:sz w:val="32"/>
          <w:szCs w:val="22"/>
          <w:highlight w:val="none"/>
          <w:u w:val="none"/>
          <w:lang w:val="en-US" w:eastAsia="zh-CN" w:bidi="ar-SA"/>
        </w:rPr>
        <w:t>第十</w:t>
      </w:r>
      <w:r>
        <w:rPr>
          <w:rFonts w:hint="eastAsia" w:ascii="CESI黑体-GB13000" w:hAnsi="CESI黑体-GB13000" w:eastAsia="CESI黑体-GB13000" w:cs="CESI黑体-GB13000"/>
          <w:b w:val="0"/>
          <w:bCs w:val="0"/>
          <w:i w:val="0"/>
          <w:strike w:val="0"/>
          <w:color w:val="auto"/>
          <w:spacing w:val="0"/>
          <w:kern w:val="2"/>
          <w:sz w:val="32"/>
          <w:szCs w:val="22"/>
          <w:highlight w:val="none"/>
          <w:u w:val="none"/>
          <w:lang w:val="en" w:eastAsia="zh-CN" w:bidi="ar-SA"/>
        </w:rPr>
        <w:t>七</w:t>
      </w:r>
      <w:r>
        <w:rPr>
          <w:rFonts w:hint="eastAsia" w:ascii="CESI黑体-GB13000" w:hAnsi="CESI黑体-GB13000" w:eastAsia="CESI黑体-GB13000" w:cs="CESI黑体-GB13000"/>
          <w:b w:val="0"/>
          <w:bCs w:val="0"/>
          <w:i w:val="0"/>
          <w:strike w:val="0"/>
          <w:color w:val="auto"/>
          <w:spacing w:val="0"/>
          <w:kern w:val="2"/>
          <w:sz w:val="32"/>
          <w:szCs w:val="22"/>
          <w:highlight w:val="none"/>
          <w:u w:val="none"/>
          <w:lang w:val="en-US" w:eastAsia="zh-CN" w:bidi="ar-SA"/>
        </w:rPr>
        <w:t>条</w:t>
      </w:r>
      <w:r>
        <w:rPr>
          <w:rFonts w:hint="eastAsia" w:ascii="仿宋_GB2312" w:hAnsi="仿宋_GB2312" w:eastAsia="仿宋_GB2312" w:cs="Times New Roman"/>
          <w:color w:val="auto"/>
          <w:sz w:val="32"/>
          <w:highlight w:val="none"/>
          <w:lang w:val="en-US" w:eastAsia="zh-CN"/>
        </w:rPr>
        <w:t xml:space="preserve"> </w:t>
      </w:r>
      <w:r>
        <w:rPr>
          <w:rFonts w:hint="default" w:ascii="仿宋_GB2312" w:hAnsi="仿宋_GB2312" w:eastAsia="仿宋_GB2312" w:cs="Times New Roman"/>
          <w:color w:val="auto"/>
          <w:sz w:val="32"/>
          <w:highlight w:val="none"/>
          <w:lang w:val="en" w:eastAsia="zh-CN"/>
        </w:rPr>
        <w:t xml:space="preserve"> </w:t>
      </w:r>
      <w:r>
        <w:rPr>
          <w:rFonts w:hint="eastAsia" w:ascii="仿宋_GB2312" w:hAnsi="仿宋_GB2312" w:eastAsia="仿宋_GB2312" w:cs="Times New Roman"/>
          <w:color w:val="auto"/>
          <w:sz w:val="32"/>
          <w:highlight w:val="none"/>
        </w:rPr>
        <w:t>本措施申报主体需保证所提交信息资料的真实性、准确性，对信息资料弄虚作假或不准确的，将视情况取消申报资格，已发放资</w:t>
      </w:r>
      <w:r>
        <w:rPr>
          <w:rFonts w:hint="eastAsia" w:ascii="仿宋_GB2312" w:hAnsi="仿宋_GB2312" w:eastAsia="仿宋_GB2312" w:cs="Times New Roman"/>
          <w:color w:val="auto"/>
          <w:sz w:val="32"/>
        </w:rPr>
        <w:t>金的将予以追回，未能追回的，将依法依规追究相关申报主体的法律责任。</w:t>
      </w:r>
    </w:p>
    <w:p>
      <w:pPr>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仿宋_GB2312" w:hAnsi="仿宋_GB2312" w:eastAsia="仿宋_GB2312" w:cs="Times New Roman"/>
          <w:b/>
          <w:bCs/>
          <w:color w:val="000000"/>
          <w:sz w:val="32"/>
          <w:highlight w:val="none"/>
        </w:rPr>
      </w:pPr>
      <w:r>
        <w:rPr>
          <w:rFonts w:hint="eastAsia" w:ascii="CESI黑体-GB13000" w:hAnsi="CESI黑体-GB13000" w:eastAsia="CESI黑体-GB13000" w:cs="CESI黑体-GB13000"/>
          <w:b w:val="0"/>
          <w:bCs w:val="0"/>
          <w:color w:val="auto"/>
          <w:sz w:val="32"/>
          <w:highlight w:val="none"/>
        </w:rPr>
        <w:t>第</w:t>
      </w:r>
      <w:r>
        <w:rPr>
          <w:rFonts w:hint="eastAsia" w:ascii="CESI黑体-GB13000" w:hAnsi="CESI黑体-GB13000" w:eastAsia="CESI黑体-GB13000" w:cs="CESI黑体-GB13000"/>
          <w:b w:val="0"/>
          <w:bCs w:val="0"/>
          <w:i w:val="0"/>
          <w:strike w:val="0"/>
          <w:color w:val="auto"/>
          <w:spacing w:val="0"/>
          <w:sz w:val="32"/>
          <w:highlight w:val="none"/>
          <w:u w:val="none"/>
          <w:lang w:val="en-US" w:eastAsia="zh-CN"/>
        </w:rPr>
        <w:t>十</w:t>
      </w:r>
      <w:r>
        <w:rPr>
          <w:rFonts w:hint="eastAsia" w:ascii="CESI黑体-GB13000" w:hAnsi="CESI黑体-GB13000" w:eastAsia="CESI黑体-GB13000" w:cs="CESI黑体-GB13000"/>
          <w:b w:val="0"/>
          <w:bCs w:val="0"/>
          <w:i w:val="0"/>
          <w:strike w:val="0"/>
          <w:color w:val="auto"/>
          <w:spacing w:val="0"/>
          <w:sz w:val="32"/>
          <w:highlight w:val="none"/>
          <w:u w:val="none"/>
          <w:lang w:val="en" w:eastAsia="zh-CN"/>
        </w:rPr>
        <w:t>八</w:t>
      </w:r>
      <w:r>
        <w:rPr>
          <w:rFonts w:hint="eastAsia" w:ascii="CESI黑体-GB13000" w:hAnsi="CESI黑体-GB13000" w:eastAsia="CESI黑体-GB13000" w:cs="CESI黑体-GB13000"/>
          <w:b w:val="0"/>
          <w:bCs w:val="0"/>
          <w:color w:val="auto"/>
          <w:sz w:val="32"/>
          <w:highlight w:val="none"/>
        </w:rPr>
        <w:t>条</w:t>
      </w:r>
      <w:r>
        <w:rPr>
          <w:rFonts w:hint="eastAsia" w:ascii="仿宋_GB2312" w:hAnsi="仿宋_GB2312" w:eastAsia="仿宋_GB2312" w:cs="Times New Roman"/>
          <w:b/>
          <w:bCs/>
          <w:color w:val="auto"/>
          <w:sz w:val="32"/>
          <w:highlight w:val="none"/>
          <w:lang w:val="en-US" w:eastAsia="zh-CN"/>
        </w:rPr>
        <w:t xml:space="preserve"> </w:t>
      </w:r>
      <w:r>
        <w:rPr>
          <w:rFonts w:hint="default" w:ascii="仿宋_GB2312" w:hAnsi="仿宋_GB2312" w:eastAsia="仿宋_GB2312" w:cs="Times New Roman"/>
          <w:b/>
          <w:bCs/>
          <w:color w:val="auto"/>
          <w:sz w:val="32"/>
          <w:highlight w:val="none"/>
          <w:lang w:val="en" w:eastAsia="zh-CN"/>
        </w:rPr>
        <w:t xml:space="preserve"> </w:t>
      </w:r>
      <w:r>
        <w:rPr>
          <w:rFonts w:hint="eastAsia" w:ascii="仿宋_GB2312" w:hAnsi="仿宋_GB2312" w:eastAsia="仿宋_GB2312" w:cs="Times New Roman"/>
          <w:color w:val="000000"/>
          <w:sz w:val="32"/>
          <w:highlight w:val="none"/>
        </w:rPr>
        <w:t>本措施</w:t>
      </w:r>
      <w:r>
        <w:rPr>
          <w:rFonts w:hint="eastAsia" w:ascii="仿宋_GB2312" w:hAnsi="仿宋_GB2312" w:eastAsia="仿宋_GB2312" w:cs="Times New Roman"/>
          <w:color w:val="000000"/>
          <w:sz w:val="32"/>
          <w:highlight w:val="none"/>
          <w:lang w:eastAsia="zh-CN"/>
        </w:rPr>
        <w:t>不足以支持</w:t>
      </w:r>
      <w:r>
        <w:rPr>
          <w:rFonts w:hint="eastAsia" w:ascii="仿宋_GB2312" w:hAnsi="仿宋_GB2312" w:eastAsia="仿宋_GB2312" w:cs="Times New Roman"/>
          <w:color w:val="000000"/>
          <w:sz w:val="32"/>
          <w:highlight w:val="none"/>
        </w:rPr>
        <w:t>但对</w:t>
      </w:r>
      <w:r>
        <w:rPr>
          <w:rFonts w:hint="eastAsia" w:ascii="仿宋_GB2312" w:hAnsi="仿宋_GB2312" w:eastAsia="仿宋_GB2312" w:cs="Times New Roman"/>
          <w:color w:val="000000"/>
          <w:sz w:val="32"/>
          <w:highlight w:val="none"/>
          <w:lang w:eastAsia="zh-CN"/>
        </w:rPr>
        <w:t>合作</w:t>
      </w:r>
      <w:r>
        <w:rPr>
          <w:rFonts w:hint="eastAsia" w:ascii="仿宋_GB2312" w:hAnsi="仿宋_GB2312" w:eastAsia="仿宋_GB2312" w:cs="Times New Roman"/>
          <w:color w:val="000000"/>
          <w:sz w:val="32"/>
          <w:highlight w:val="none"/>
        </w:rPr>
        <w:t>区经济</w:t>
      </w:r>
      <w:r>
        <w:rPr>
          <w:rFonts w:hint="eastAsia" w:ascii="仿宋_GB2312" w:hAnsi="仿宋_GB2312" w:eastAsia="仿宋_GB2312" w:cs="Times New Roman"/>
          <w:color w:val="000000"/>
          <w:sz w:val="32"/>
          <w:highlight w:val="none"/>
          <w:lang w:eastAsia="zh-CN"/>
        </w:rPr>
        <w:t>社会</w:t>
      </w:r>
      <w:r>
        <w:rPr>
          <w:rFonts w:hint="eastAsia" w:ascii="仿宋_GB2312" w:hAnsi="仿宋_GB2312" w:eastAsia="仿宋_GB2312" w:cs="Times New Roman"/>
          <w:color w:val="000000"/>
          <w:sz w:val="32"/>
          <w:highlight w:val="none"/>
        </w:rPr>
        <w:t>发展有重要影响的事项，</w:t>
      </w:r>
      <w:r>
        <w:rPr>
          <w:rFonts w:hint="eastAsia" w:ascii="仿宋_GB2312" w:hAnsi="仿宋_GB2312" w:eastAsia="仿宋_GB2312" w:cs="Times New Roman"/>
          <w:color w:val="000000"/>
          <w:sz w:val="32"/>
          <w:highlight w:val="none"/>
          <w:lang w:eastAsia="zh-CN"/>
        </w:rPr>
        <w:t>可</w:t>
      </w:r>
      <w:r>
        <w:rPr>
          <w:rFonts w:hint="eastAsia" w:ascii="仿宋_GB2312" w:hAnsi="仿宋_GB2312" w:eastAsia="仿宋_GB2312" w:cs="Times New Roman"/>
          <w:color w:val="000000"/>
          <w:sz w:val="32"/>
          <w:highlight w:val="none"/>
        </w:rPr>
        <w:t>采取“一事一议”方式给予支持。采取“一事一议”方式给予支持的，不再享受本措施同类型条款的资助。</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Times New Roman"/>
          <w:color w:val="000000"/>
          <w:sz w:val="32"/>
          <w:lang w:eastAsia="zh-CN"/>
        </w:rPr>
      </w:pPr>
      <w:r>
        <w:rPr>
          <w:rFonts w:hint="eastAsia" w:ascii="CESI黑体-GB13000" w:hAnsi="CESI黑体-GB13000" w:eastAsia="CESI黑体-GB13000" w:cs="CESI黑体-GB13000"/>
          <w:b w:val="0"/>
          <w:bCs w:val="0"/>
          <w:color w:val="auto"/>
          <w:sz w:val="32"/>
          <w:highlight w:val="none"/>
        </w:rPr>
        <w:t>第</w:t>
      </w:r>
      <w:r>
        <w:rPr>
          <w:rFonts w:hint="eastAsia" w:ascii="CESI黑体-GB13000" w:hAnsi="CESI黑体-GB13000" w:eastAsia="CESI黑体-GB13000" w:cs="CESI黑体-GB13000"/>
          <w:b w:val="0"/>
          <w:bCs w:val="0"/>
          <w:color w:val="auto"/>
          <w:sz w:val="32"/>
          <w:highlight w:val="none"/>
          <w:lang w:val="en" w:eastAsia="zh-CN"/>
        </w:rPr>
        <w:t>十九</w:t>
      </w:r>
      <w:r>
        <w:rPr>
          <w:rFonts w:hint="eastAsia" w:ascii="CESI黑体-GB13000" w:hAnsi="CESI黑体-GB13000" w:eastAsia="CESI黑体-GB13000" w:cs="CESI黑体-GB13000"/>
          <w:b w:val="0"/>
          <w:bCs w:val="0"/>
          <w:color w:val="auto"/>
          <w:sz w:val="32"/>
          <w:highlight w:val="none"/>
        </w:rPr>
        <w:t>条</w:t>
      </w:r>
      <w:r>
        <w:rPr>
          <w:rFonts w:hint="eastAsia" w:ascii="仿宋_GB2312" w:hAnsi="仿宋_GB2312" w:eastAsia="仿宋_GB2312" w:cs="Times New Roman"/>
          <w:color w:val="000000"/>
          <w:sz w:val="32"/>
          <w:highlight w:val="none"/>
          <w:lang w:val="en-US" w:eastAsia="zh-CN"/>
        </w:rPr>
        <w:t xml:space="preserve"> </w:t>
      </w:r>
      <w:r>
        <w:rPr>
          <w:rFonts w:hint="default" w:ascii="仿宋_GB2312" w:hAnsi="仿宋_GB2312" w:eastAsia="仿宋_GB2312" w:cs="Times New Roman"/>
          <w:color w:val="000000"/>
          <w:sz w:val="32"/>
          <w:highlight w:val="none"/>
          <w:lang w:val="en" w:eastAsia="zh-CN"/>
        </w:rPr>
        <w:t xml:space="preserve"> </w:t>
      </w:r>
      <w:r>
        <w:rPr>
          <w:rFonts w:ascii="仿宋_GB2312" w:hAnsi="仿宋_GB2312" w:eastAsia="仿宋_GB2312" w:cs="Times New Roman"/>
          <w:color w:val="000000"/>
          <w:sz w:val="32"/>
          <w:highlight w:val="none"/>
        </w:rPr>
        <w:t>本措施由</w:t>
      </w:r>
      <w:r>
        <w:rPr>
          <w:rFonts w:hint="eastAsia" w:ascii="仿宋_GB2312" w:hAnsi="仿宋_GB2312" w:eastAsia="仿宋_GB2312" w:cs="Times New Roman"/>
          <w:color w:val="000000"/>
          <w:sz w:val="32"/>
          <w:highlight w:val="none"/>
          <w:lang w:eastAsia="zh-CN"/>
        </w:rPr>
        <w:t>深圳市深汕特别合作区科技创新和经济服务</w:t>
      </w:r>
      <w:r>
        <w:rPr>
          <w:rFonts w:ascii="仿宋_GB2312" w:hAnsi="仿宋_GB2312" w:eastAsia="仿宋_GB2312" w:cs="Times New Roman"/>
          <w:color w:val="000000"/>
          <w:sz w:val="32"/>
          <w:highlight w:val="none"/>
        </w:rPr>
        <w:t>局负责解释，并</w:t>
      </w:r>
      <w:r>
        <w:rPr>
          <w:rFonts w:ascii="仿宋_GB2312" w:hAnsi="仿宋_GB2312" w:eastAsia="仿宋_GB2312" w:cs="Times New Roman"/>
          <w:color w:val="000000"/>
          <w:sz w:val="32"/>
        </w:rPr>
        <w:t>制定与本措施相关的</w:t>
      </w:r>
      <w:r>
        <w:rPr>
          <w:rFonts w:hint="eastAsia" w:ascii="仿宋_GB2312" w:hAnsi="仿宋_GB2312" w:eastAsia="仿宋_GB2312" w:cs="Times New Roman"/>
          <w:color w:val="000000"/>
          <w:sz w:val="32"/>
          <w:lang w:eastAsia="zh-CN"/>
        </w:rPr>
        <w:t>申报指南。</w:t>
      </w:r>
    </w:p>
    <w:p>
      <w:pPr>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Times New Roman"/>
          <w:color w:val="000000"/>
          <w:sz w:val="32"/>
          <w:lang w:eastAsia="zh-CN"/>
        </w:rPr>
      </w:pPr>
      <w:r>
        <w:rPr>
          <w:rFonts w:hint="eastAsia" w:ascii="CESI黑体-GB13000" w:hAnsi="CESI黑体-GB13000" w:eastAsia="CESI黑体-GB13000" w:cs="CESI黑体-GB13000"/>
          <w:b w:val="0"/>
          <w:bCs w:val="0"/>
          <w:color w:val="auto"/>
          <w:sz w:val="32"/>
          <w:highlight w:val="none"/>
        </w:rPr>
        <w:t>第</w:t>
      </w:r>
      <w:r>
        <w:rPr>
          <w:rFonts w:hint="eastAsia" w:ascii="CESI黑体-GB13000" w:hAnsi="CESI黑体-GB13000" w:eastAsia="CESI黑体-GB13000" w:cs="CESI黑体-GB13000"/>
          <w:b w:val="0"/>
          <w:bCs w:val="0"/>
          <w:color w:val="auto"/>
          <w:sz w:val="32"/>
          <w:highlight w:val="none"/>
          <w:lang w:eastAsia="zh-CN"/>
        </w:rPr>
        <w:t>二十</w:t>
      </w:r>
      <w:r>
        <w:rPr>
          <w:rFonts w:hint="eastAsia" w:ascii="CESI黑体-GB13000" w:hAnsi="CESI黑体-GB13000" w:eastAsia="CESI黑体-GB13000" w:cs="CESI黑体-GB13000"/>
          <w:b w:val="0"/>
          <w:bCs w:val="0"/>
          <w:color w:val="auto"/>
          <w:sz w:val="32"/>
          <w:highlight w:val="none"/>
        </w:rPr>
        <w:t>条</w:t>
      </w:r>
      <w:r>
        <w:rPr>
          <w:rFonts w:hint="eastAsia" w:ascii="仿宋_GB2312" w:hAnsi="仿宋_GB2312" w:eastAsia="仿宋_GB2312" w:cs="Times New Roman"/>
          <w:color w:val="000000"/>
          <w:sz w:val="32"/>
          <w:lang w:val="en-US" w:eastAsia="zh-CN"/>
        </w:rPr>
        <w:t xml:space="preserve"> </w:t>
      </w:r>
      <w:r>
        <w:rPr>
          <w:rFonts w:hint="default" w:ascii="仿宋_GB2312" w:hAnsi="仿宋_GB2312" w:eastAsia="仿宋_GB2312" w:cs="Times New Roman"/>
          <w:color w:val="000000"/>
          <w:sz w:val="32"/>
          <w:lang w:val="en" w:eastAsia="zh-CN"/>
        </w:rPr>
        <w:t xml:space="preserve"> </w:t>
      </w:r>
      <w:r>
        <w:rPr>
          <w:rFonts w:hint="eastAsia" w:ascii="仿宋_GB2312" w:hAnsi="仿宋_GB2312" w:eastAsia="仿宋_GB2312" w:cs="Times New Roman"/>
          <w:color w:val="000000"/>
          <w:sz w:val="32"/>
          <w:lang w:eastAsia="zh-CN"/>
        </w:rPr>
        <w:t>本措施实施前已申报但尚未审核拨付的项目，按《深圳市深汕特别合作区支持商贸服务业高质量发展若干措施》（深汕科创经服规〔2022〕2号）相关规定执行。</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ascii="仿宋_GB2312" w:hAnsi="仿宋_GB2312" w:eastAsia="仿宋_GB2312" w:cs="Times New Roman"/>
          <w:color w:val="000000"/>
          <w:sz w:val="32"/>
          <w:highlight w:val="none"/>
        </w:rPr>
      </w:pPr>
      <w:r>
        <w:rPr>
          <w:rFonts w:hint="eastAsia" w:ascii="CESI黑体-GB13000" w:hAnsi="CESI黑体-GB13000" w:eastAsia="CESI黑体-GB13000" w:cs="CESI黑体-GB13000"/>
          <w:b w:val="0"/>
          <w:bCs w:val="0"/>
          <w:color w:val="auto"/>
          <w:sz w:val="32"/>
          <w:highlight w:val="none"/>
        </w:rPr>
        <w:t>第</w:t>
      </w:r>
      <w:r>
        <w:rPr>
          <w:rFonts w:hint="eastAsia" w:ascii="CESI黑体-GB13000" w:hAnsi="CESI黑体-GB13000" w:eastAsia="CESI黑体-GB13000" w:cs="CESI黑体-GB13000"/>
          <w:b w:val="0"/>
          <w:bCs w:val="0"/>
          <w:color w:val="auto"/>
          <w:sz w:val="32"/>
          <w:highlight w:val="none"/>
          <w:lang w:eastAsia="zh-CN"/>
        </w:rPr>
        <w:t>二十</w:t>
      </w:r>
      <w:r>
        <w:rPr>
          <w:rFonts w:hint="eastAsia" w:ascii="CESI黑体-GB13000" w:hAnsi="CESI黑体-GB13000" w:eastAsia="CESI黑体-GB13000" w:cs="CESI黑体-GB13000"/>
          <w:b w:val="0"/>
          <w:bCs w:val="0"/>
          <w:color w:val="auto"/>
          <w:sz w:val="32"/>
          <w:highlight w:val="none"/>
          <w:lang w:val="en" w:eastAsia="zh-CN"/>
        </w:rPr>
        <w:t>一</w:t>
      </w:r>
      <w:r>
        <w:rPr>
          <w:rFonts w:hint="eastAsia" w:ascii="CESI黑体-GB13000" w:hAnsi="CESI黑体-GB13000" w:eastAsia="CESI黑体-GB13000" w:cs="CESI黑体-GB13000"/>
          <w:b w:val="0"/>
          <w:bCs w:val="0"/>
          <w:color w:val="auto"/>
          <w:sz w:val="32"/>
          <w:highlight w:val="none"/>
        </w:rPr>
        <w:t>条</w:t>
      </w:r>
      <w:r>
        <w:rPr>
          <w:rFonts w:hint="eastAsia" w:ascii="仿宋_GB2312" w:hAnsi="仿宋_GB2312" w:eastAsia="仿宋_GB2312" w:cs="Times New Roman"/>
          <w:color w:val="000000"/>
          <w:sz w:val="32"/>
          <w:lang w:val="en-US" w:eastAsia="zh-CN"/>
        </w:rPr>
        <w:t xml:space="preserve"> </w:t>
      </w:r>
      <w:r>
        <w:rPr>
          <w:rFonts w:hint="default" w:ascii="仿宋_GB2312" w:hAnsi="仿宋_GB2312" w:eastAsia="仿宋_GB2312" w:cs="Times New Roman"/>
          <w:color w:val="000000"/>
          <w:sz w:val="32"/>
          <w:lang w:val="en" w:eastAsia="zh-CN"/>
        </w:rPr>
        <w:t xml:space="preserve"> </w:t>
      </w:r>
      <w:r>
        <w:rPr>
          <w:rFonts w:ascii="仿宋_GB2312" w:hAnsi="仿宋_GB2312" w:eastAsia="仿宋_GB2312" w:cs="Times New Roman"/>
          <w:color w:val="000000"/>
          <w:sz w:val="32"/>
        </w:rPr>
        <w:t>本措施自2023年</w:t>
      </w:r>
      <w:r>
        <w:rPr>
          <w:rFonts w:hint="eastAsia" w:ascii="仿宋_GB2312" w:hAnsi="仿宋_GB2312" w:eastAsia="仿宋_GB2312" w:cs="Times New Roman"/>
          <w:color w:val="000000"/>
          <w:sz w:val="32"/>
          <w:lang w:val="en-US" w:eastAsia="zh-CN"/>
        </w:rPr>
        <w:t>12</w:t>
      </w:r>
      <w:r>
        <w:rPr>
          <w:rFonts w:ascii="仿宋_GB2312" w:hAnsi="仿宋_GB2312" w:eastAsia="仿宋_GB2312" w:cs="Times New Roman"/>
          <w:color w:val="000000"/>
          <w:sz w:val="32"/>
        </w:rPr>
        <w:t>月</w:t>
      </w:r>
      <w:r>
        <w:rPr>
          <w:rFonts w:hint="eastAsia" w:ascii="仿宋_GB2312" w:hAnsi="仿宋_GB2312" w:eastAsia="仿宋_GB2312" w:cs="Times New Roman"/>
          <w:color w:val="000000"/>
          <w:sz w:val="32"/>
          <w:lang w:val="en-US" w:eastAsia="zh-CN"/>
        </w:rPr>
        <w:t>31</w:t>
      </w:r>
      <w:r>
        <w:rPr>
          <w:rFonts w:ascii="仿宋_GB2312" w:hAnsi="仿宋_GB2312" w:eastAsia="仿宋_GB2312" w:cs="Times New Roman"/>
          <w:color w:val="000000"/>
          <w:sz w:val="32"/>
        </w:rPr>
        <w:t>日起</w:t>
      </w:r>
      <w:r>
        <w:rPr>
          <w:rFonts w:hint="eastAsia" w:ascii="仿宋_GB2312" w:hAnsi="仿宋_GB2312" w:eastAsia="仿宋_GB2312" w:cs="Times New Roman"/>
          <w:color w:val="000000"/>
          <w:sz w:val="32"/>
          <w:lang w:eastAsia="zh-CN"/>
        </w:rPr>
        <w:t>实施</w:t>
      </w:r>
      <w:r>
        <w:rPr>
          <w:rFonts w:ascii="仿宋_GB2312" w:hAnsi="仿宋_GB2312" w:eastAsia="仿宋_GB2312" w:cs="Times New Roman"/>
          <w:color w:val="000000"/>
          <w:sz w:val="32"/>
        </w:rPr>
        <w:t>，有</w:t>
      </w:r>
      <w:r>
        <w:rPr>
          <w:rFonts w:ascii="仿宋_GB2312" w:hAnsi="仿宋_GB2312" w:eastAsia="仿宋_GB2312" w:cs="Times New Roman"/>
          <w:color w:val="000000"/>
          <w:sz w:val="32"/>
          <w:highlight w:val="none"/>
        </w:rPr>
        <w:t>效期</w:t>
      </w:r>
      <w:r>
        <w:rPr>
          <w:rFonts w:hint="eastAsia" w:ascii="仿宋_GB2312" w:hAnsi="仿宋_GB2312" w:eastAsia="仿宋_GB2312" w:cs="Times New Roman"/>
          <w:color w:val="000000"/>
          <w:sz w:val="32"/>
          <w:highlight w:val="none"/>
          <w:lang w:eastAsia="zh-CN"/>
        </w:rPr>
        <w:t>三</w:t>
      </w:r>
      <w:r>
        <w:rPr>
          <w:rFonts w:ascii="仿宋_GB2312" w:hAnsi="仿宋_GB2312" w:eastAsia="仿宋_GB2312" w:cs="Times New Roman"/>
          <w:color w:val="000000"/>
          <w:sz w:val="32"/>
          <w:highlight w:val="none"/>
        </w:rPr>
        <w:t>年。</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仿宋_GB2312" w:hAnsi="仿宋_GB2312" w:eastAsia="仿宋_GB2312" w:cs="Times New Roman"/>
          <w:color w:val="000000"/>
          <w:sz w:val="32"/>
        </w:rPr>
      </w:pPr>
      <w:r>
        <w:rPr>
          <w:rFonts w:hint="eastAsia" w:ascii="CESI黑体-GB13000" w:hAnsi="CESI黑体-GB13000" w:eastAsia="CESI黑体-GB13000" w:cs="CESI黑体-GB13000"/>
          <w:b w:val="0"/>
          <w:bCs w:val="0"/>
          <w:color w:val="auto"/>
          <w:sz w:val="32"/>
          <w:highlight w:val="none"/>
        </w:rPr>
        <w:t>第</w:t>
      </w:r>
      <w:r>
        <w:rPr>
          <w:rFonts w:hint="eastAsia" w:ascii="CESI黑体-GB13000" w:hAnsi="CESI黑体-GB13000" w:eastAsia="CESI黑体-GB13000" w:cs="CESI黑体-GB13000"/>
          <w:b w:val="0"/>
          <w:bCs w:val="0"/>
          <w:color w:val="auto"/>
          <w:sz w:val="32"/>
          <w:highlight w:val="none"/>
          <w:lang w:eastAsia="zh-CN"/>
        </w:rPr>
        <w:t>二十</w:t>
      </w:r>
      <w:r>
        <w:rPr>
          <w:rFonts w:hint="eastAsia" w:ascii="CESI黑体-GB13000" w:hAnsi="CESI黑体-GB13000" w:eastAsia="CESI黑体-GB13000" w:cs="CESI黑体-GB13000"/>
          <w:b w:val="0"/>
          <w:bCs w:val="0"/>
          <w:color w:val="auto"/>
          <w:sz w:val="32"/>
          <w:highlight w:val="none"/>
          <w:lang w:val="en" w:eastAsia="zh-CN"/>
        </w:rPr>
        <w:t>二</w:t>
      </w:r>
      <w:r>
        <w:rPr>
          <w:rFonts w:hint="eastAsia" w:ascii="CESI黑体-GB13000" w:hAnsi="CESI黑体-GB13000" w:eastAsia="CESI黑体-GB13000" w:cs="CESI黑体-GB13000"/>
          <w:b w:val="0"/>
          <w:bCs w:val="0"/>
          <w:color w:val="auto"/>
          <w:sz w:val="32"/>
          <w:highlight w:val="none"/>
        </w:rPr>
        <w:t>条</w:t>
      </w:r>
      <w:r>
        <w:rPr>
          <w:rFonts w:hint="eastAsia" w:ascii="仿宋_GB2312" w:hAnsi="仿宋_GB2312" w:eastAsia="仿宋_GB2312" w:cs="Times New Roman"/>
          <w:b/>
          <w:bCs/>
          <w:color w:val="000000"/>
          <w:sz w:val="32"/>
          <w:lang w:val="en-US" w:eastAsia="zh-CN"/>
        </w:rPr>
        <w:t xml:space="preserve"> </w:t>
      </w:r>
      <w:r>
        <w:rPr>
          <w:rFonts w:hint="default" w:ascii="仿宋_GB2312" w:hAnsi="仿宋_GB2312" w:eastAsia="仿宋_GB2312" w:cs="Times New Roman"/>
          <w:b/>
          <w:bCs/>
          <w:color w:val="000000"/>
          <w:sz w:val="32"/>
          <w:lang w:val="en" w:eastAsia="zh-CN"/>
        </w:rPr>
        <w:t xml:space="preserve"> </w:t>
      </w:r>
      <w:r>
        <w:rPr>
          <w:rFonts w:hint="eastAsia" w:ascii="仿宋_GB2312" w:hAnsi="仿宋_GB2312" w:eastAsia="仿宋_GB2312" w:cs="Times New Roman"/>
          <w:color w:val="000000"/>
          <w:sz w:val="32"/>
          <w:lang w:eastAsia="zh-CN"/>
        </w:rPr>
        <w:t>在本措施有效期内，</w:t>
      </w:r>
      <w:r>
        <w:rPr>
          <w:rFonts w:hint="eastAsia" w:ascii="仿宋_GB2312" w:hAnsi="仿宋_GB2312" w:eastAsia="仿宋_GB2312" w:cs="Times New Roman"/>
          <w:color w:val="000000"/>
          <w:sz w:val="32"/>
          <w:highlight w:val="none"/>
          <w:lang w:eastAsia="zh-CN"/>
        </w:rPr>
        <w:t>深圳市深汕特别合作区科技创新和经济服务</w:t>
      </w:r>
      <w:r>
        <w:rPr>
          <w:rFonts w:ascii="仿宋_GB2312" w:hAnsi="仿宋_GB2312" w:eastAsia="仿宋_GB2312" w:cs="Times New Roman"/>
          <w:color w:val="000000"/>
          <w:sz w:val="32"/>
          <w:highlight w:val="none"/>
        </w:rPr>
        <w:t>局</w:t>
      </w:r>
      <w:r>
        <w:rPr>
          <w:rFonts w:hint="eastAsia" w:ascii="仿宋_GB2312" w:hAnsi="仿宋_GB2312" w:eastAsia="仿宋_GB2312" w:cs="Times New Roman"/>
          <w:color w:val="000000"/>
          <w:sz w:val="32"/>
          <w:lang w:eastAsia="zh-CN"/>
        </w:rPr>
        <w:t>可根据实际情况，对本措施进行整体性的修订、调整、发布和实施。</w:t>
      </w:r>
    </w:p>
    <w:p>
      <w:pPr>
        <w:pageBreakBefore w:val="0"/>
        <w:kinsoku/>
        <w:wordWrap/>
        <w:overflowPunct/>
        <w:topLinePunct w:val="0"/>
        <w:autoSpaceDE/>
        <w:autoSpaceDN/>
        <w:bidi w:val="0"/>
        <w:adjustRightInd/>
        <w:spacing w:line="560" w:lineRule="exact"/>
        <w:textAlignment w:val="auto"/>
        <w:rPr>
          <w:rFonts w:hint="eastAsia" w:ascii="仿宋_GB2312" w:hAnsi="仿宋" w:eastAsia="仿宋_GB2312" w:cs="Times New Roman"/>
          <w:color w:val="000000"/>
          <w:sz w:val="32"/>
          <w:szCs w:val="32"/>
          <w:lang w:val="en-US" w:eastAsia="zh-CN"/>
        </w:rPr>
      </w:pPr>
    </w:p>
    <w:p/>
    <w:p>
      <w:pPr>
        <w:pStyle w:val="6"/>
        <w:ind w:left="0" w:leftChars="0" w:firstLine="0" w:firstLineChars="0"/>
        <w:rPr>
          <w:rFonts w:ascii="仿宋" w:hAnsi="仿宋" w:eastAsia="仿宋"/>
          <w:kern w:val="16"/>
          <w:position w:val="14"/>
          <w:sz w:val="28"/>
          <w:szCs w:val="28"/>
          <w:u w:val="thick"/>
        </w:rPr>
      </w:pPr>
    </w:p>
    <w:p/>
    <w:p>
      <w:pPr>
        <w:pStyle w:val="2"/>
      </w:pPr>
    </w:p>
    <w:p/>
    <w:p>
      <w:pPr>
        <w:pStyle w:val="2"/>
      </w:pPr>
    </w:p>
    <w:p/>
    <w:p>
      <w:pPr>
        <w:pStyle w:val="2"/>
        <w:sectPr>
          <w:footerReference r:id="rId3" w:type="default"/>
          <w:pgSz w:w="11906" w:h="16838"/>
          <w:pgMar w:top="2098" w:right="1531" w:bottom="1984" w:left="1531" w:header="851" w:footer="992" w:gutter="0"/>
          <w:pgNumType w:fmt="numberInDash"/>
          <w:cols w:space="720" w:num="1"/>
          <w:docGrid w:type="lines" w:linePitch="312" w:charSpace="0"/>
        </w:sectPr>
      </w:pPr>
    </w:p>
    <w:p/>
    <w:tbl>
      <w:tblPr>
        <w:tblStyle w:val="12"/>
        <w:tblpPr w:leftFromText="180" w:rightFromText="180" w:vertAnchor="text" w:horzAnchor="page" w:tblpX="1582" w:tblpY="11655"/>
        <w:tblW w:w="8920" w:type="dxa"/>
        <w:tblInd w:w="0" w:type="dxa"/>
        <w:tblBorders>
          <w:top w:val="single" w:color="auto" w:sz="12" w:space="0"/>
          <w:left w:val="none" w:color="auto" w:sz="0" w:space="0"/>
          <w:bottom w:val="single" w:color="auto" w:sz="12" w:space="0"/>
          <w:right w:val="none" w:color="auto" w:sz="0" w:space="0"/>
          <w:insideH w:val="single" w:color="auto" w:sz="4" w:space="0"/>
          <w:insideV w:val="none" w:color="auto" w:sz="0" w:space="0"/>
        </w:tblBorders>
        <w:shd w:val="clear" w:color="auto" w:fill="FFFFFF"/>
        <w:tblLayout w:type="fixed"/>
        <w:tblCellMar>
          <w:top w:w="0" w:type="dxa"/>
          <w:left w:w="108" w:type="dxa"/>
          <w:bottom w:w="0" w:type="dxa"/>
          <w:right w:w="108" w:type="dxa"/>
        </w:tblCellMar>
      </w:tblPr>
      <w:tblGrid>
        <w:gridCol w:w="8920"/>
      </w:tblGrid>
      <w:tr>
        <w:tblPrEx>
          <w:tblBorders>
            <w:top w:val="single" w:color="auto" w:sz="12" w:space="0"/>
            <w:left w:val="none" w:color="auto" w:sz="0" w:space="0"/>
            <w:bottom w:val="single" w:color="auto" w:sz="12"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564" w:hRule="atLeast"/>
        </w:trPr>
        <w:tc>
          <w:tcPr>
            <w:tcW w:w="8920" w:type="dxa"/>
            <w:tcBorders>
              <w:tl2br w:val="nil"/>
              <w:tr2bl w:val="nil"/>
            </w:tcBorders>
            <w:shd w:val="clear" w:color="auto" w:fill="FFFFFF"/>
            <w:noWrap w:val="0"/>
            <w:vAlign w:val="top"/>
          </w:tcPr>
          <w:p>
            <w:pPr>
              <w:jc w:val="center"/>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w w:val="90"/>
                <w:sz w:val="28"/>
                <w:szCs w:val="28"/>
                <w:lang w:eastAsia="zh-CN"/>
              </w:rPr>
              <w:t>深圳市</w:t>
            </w:r>
            <w:r>
              <w:rPr>
                <w:rFonts w:hint="eastAsia" w:ascii="仿宋_GB2312" w:hAnsi="仿宋_GB2312" w:eastAsia="仿宋_GB2312" w:cs="仿宋_GB2312"/>
                <w:spacing w:val="0"/>
                <w:w w:val="90"/>
                <w:sz w:val="28"/>
                <w:szCs w:val="28"/>
              </w:rPr>
              <w:t>深汕特别合作区</w:t>
            </w:r>
            <w:r>
              <w:rPr>
                <w:rFonts w:hint="eastAsia" w:ascii="仿宋_GB2312" w:hAnsi="仿宋_GB2312" w:eastAsia="仿宋_GB2312" w:cs="仿宋_GB2312"/>
                <w:spacing w:val="0"/>
                <w:w w:val="90"/>
                <w:sz w:val="28"/>
                <w:szCs w:val="28"/>
                <w:lang w:eastAsia="zh-CN"/>
              </w:rPr>
              <w:t>科技创新和经济服务局办公室</w:t>
            </w:r>
            <w:r>
              <w:rPr>
                <w:rFonts w:hint="eastAsia" w:ascii="仿宋_GB2312" w:hAnsi="仿宋_GB2312" w:eastAsia="仿宋_GB2312" w:cs="仿宋_GB2312"/>
                <w:spacing w:val="0"/>
                <w:w w:val="90"/>
                <w:sz w:val="28"/>
                <w:szCs w:val="28"/>
                <w:lang w:val="en-US" w:eastAsia="zh-CN"/>
              </w:rPr>
              <w:t xml:space="preserve">  2023</w:t>
            </w:r>
            <w:r>
              <w:rPr>
                <w:rFonts w:hint="eastAsia" w:ascii="仿宋_GB2312" w:hAnsi="仿宋_GB2312" w:eastAsia="仿宋_GB2312" w:cs="仿宋_GB2312"/>
                <w:spacing w:val="0"/>
                <w:w w:val="90"/>
                <w:sz w:val="28"/>
                <w:szCs w:val="28"/>
              </w:rPr>
              <w:t>年</w:t>
            </w:r>
            <w:r>
              <w:rPr>
                <w:rFonts w:hint="eastAsia" w:ascii="仿宋_GB2312" w:hAnsi="仿宋_GB2312" w:eastAsia="仿宋_GB2312" w:cs="仿宋_GB2312"/>
                <w:spacing w:val="0"/>
                <w:w w:val="90"/>
                <w:sz w:val="28"/>
                <w:szCs w:val="28"/>
                <w:lang w:val="en-US" w:eastAsia="zh-CN"/>
              </w:rPr>
              <w:t>12</w:t>
            </w:r>
            <w:r>
              <w:rPr>
                <w:rFonts w:hint="eastAsia" w:ascii="仿宋_GB2312" w:hAnsi="仿宋_GB2312" w:eastAsia="仿宋_GB2312" w:cs="仿宋_GB2312"/>
                <w:spacing w:val="0"/>
                <w:w w:val="90"/>
                <w:sz w:val="28"/>
                <w:szCs w:val="28"/>
              </w:rPr>
              <w:t>月</w:t>
            </w:r>
            <w:r>
              <w:rPr>
                <w:rFonts w:hint="eastAsia" w:ascii="仿宋_GB2312" w:hAnsi="仿宋_GB2312" w:eastAsia="仿宋_GB2312" w:cs="仿宋_GB2312"/>
                <w:spacing w:val="0"/>
                <w:w w:val="90"/>
                <w:sz w:val="28"/>
                <w:szCs w:val="28"/>
                <w:lang w:val="en-US" w:eastAsia="zh-CN"/>
              </w:rPr>
              <w:t>21</w:t>
            </w:r>
            <w:r>
              <w:rPr>
                <w:rFonts w:hint="eastAsia" w:ascii="仿宋_GB2312" w:hAnsi="仿宋_GB2312" w:eastAsia="仿宋_GB2312" w:cs="仿宋_GB2312"/>
                <w:spacing w:val="0"/>
                <w:w w:val="90"/>
                <w:sz w:val="28"/>
                <w:szCs w:val="28"/>
              </w:rPr>
              <w:t>日印发</w:t>
            </w:r>
          </w:p>
        </w:tc>
      </w:tr>
    </w:tbl>
    <w:p/>
    <w:p>
      <w:pPr>
        <w:pStyle w:val="2"/>
      </w:pPr>
    </w:p>
    <w:p/>
    <w:p>
      <w:pPr>
        <w:pStyle w:val="2"/>
      </w:pPr>
    </w:p>
    <w:p/>
    <w:p>
      <w:pPr>
        <w:pStyle w:val="2"/>
      </w:pPr>
    </w:p>
    <w:p/>
    <w:p>
      <w:pPr>
        <w:pStyle w:val="2"/>
      </w:pPr>
    </w:p>
    <w:p/>
    <w:p>
      <w:pPr>
        <w:pStyle w:val="2"/>
      </w:pPr>
    </w:p>
    <w:p/>
    <w:p>
      <w:pPr>
        <w:pStyle w:val="2"/>
      </w:pPr>
    </w:p>
    <w:p/>
    <w:p>
      <w:pPr>
        <w:pStyle w:val="2"/>
        <w:keepNext/>
        <w:keepLines/>
        <w:pageBreakBefore w:val="0"/>
        <w:widowControl w:val="0"/>
        <w:kinsoku/>
        <w:wordWrap/>
        <w:overflowPunct/>
        <w:topLinePunct w:val="0"/>
        <w:autoSpaceDE/>
        <w:autoSpaceDN/>
        <w:bidi w:val="0"/>
        <w:adjustRightInd/>
        <w:snapToGrid/>
        <w:spacing w:before="0" w:after="0" w:line="560" w:lineRule="exact"/>
        <w:textAlignment w:val="auto"/>
        <w:rPr>
          <w:rFonts w:hint="eastAsia" w:ascii="CESI黑体-GB2312" w:hAnsi="CESI黑体-GB2312" w:eastAsia="CESI黑体-GB2312" w:cs="CESI黑体-GB2312"/>
          <w:b w:val="0"/>
          <w:bCs w:val="0"/>
          <w:sz w:val="32"/>
          <w:szCs w:val="32"/>
          <w:lang w:eastAsia="zh-CN"/>
        </w:rPr>
      </w:pPr>
    </w:p>
    <w:p>
      <w:pPr>
        <w:rPr>
          <w:rFonts w:hint="default"/>
          <w:lang w:val="en"/>
        </w:rPr>
      </w:pPr>
      <w:r>
        <w:rPr>
          <w:rFonts w:hint="eastAsia" w:ascii="CESI黑体-GB2312" w:hAnsi="CESI黑体-GB2312" w:eastAsia="CESI黑体-GB2312" w:cs="CESI黑体-GB2312"/>
          <w:b w:val="0"/>
          <w:bCs w:val="0"/>
          <w:sz w:val="32"/>
          <w:szCs w:val="32"/>
          <w:lang w:eastAsia="zh-CN"/>
        </w:rPr>
        <w:t>公开方式：主动公开</w:t>
      </w:r>
    </w:p>
    <w:sectPr>
      <w:footerReference r:id="rId4" w:type="default"/>
      <w:pgSz w:w="11906" w:h="16838"/>
      <w:pgMar w:top="2098" w:right="1531" w:bottom="1984"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3000509000000000000"/>
    <w:charset w:val="86"/>
    <w:family w:val="script"/>
    <w:pitch w:val="default"/>
    <w:sig w:usb0="00000001" w:usb1="080E0000" w:usb2="00000000" w:usb3="00000000" w:csb0="00040000" w:csb1="00000000"/>
  </w:font>
  <w:font w:name="Cambria">
    <w:altName w:val="FreeSerif"/>
    <w:panose1 w:val="02040503050406030204"/>
    <w:charset w:val="00"/>
    <w:family w:val="roman"/>
    <w:pitch w:val="default"/>
    <w:sig w:usb0="00000000" w:usb1="00000000"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Nimbus Roman">
    <w:panose1 w:val="00000500000000000000"/>
    <w:charset w:val="00"/>
    <w:family w:val="auto"/>
    <w:pitch w:val="default"/>
    <w:sig w:usb0="00000287" w:usb1="00000800" w:usb2="00000000" w:usb3="00000000" w:csb0="6000009F" w:csb1="00000000"/>
  </w:font>
  <w:font w:name="CESI黑体-GB13000">
    <w:panose1 w:val="02000500000000000000"/>
    <w:charset w:val="86"/>
    <w:family w:val="auto"/>
    <w:pitch w:val="default"/>
    <w:sig w:usb0="800002BF" w:usb1="38CF7CF8" w:usb2="00000016" w:usb3="00000000" w:csb0="0004000F" w:csb1="00000000"/>
  </w:font>
  <w:font w:name="CESI黑体-GB2312">
    <w:panose1 w:val="02000500000000000000"/>
    <w:charset w:val="86"/>
    <w:family w:val="auto"/>
    <w:pitch w:val="default"/>
    <w:sig w:usb0="800002BF" w:usb1="184F6CF8" w:usb2="00000012" w:usb3="00000000" w:csb0="0004000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 w:name="FreeSerif">
    <w:panose1 w:val="02020603050405020304"/>
    <w:charset w:val="00"/>
    <w:family w:val="auto"/>
    <w:pitch w:val="default"/>
    <w:sig w:usb0="E59FAFFF" w:usb1="C200FDFF" w:usb2="43501B29" w:usb3="04000043" w:csb0="6001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-154940</wp:posOffset>
              </wp:positionV>
              <wp:extent cx="899795" cy="29464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899795" cy="294640"/>
                      </a:xfrm>
                      <a:prstGeom prst="rect">
                        <a:avLst/>
                      </a:prstGeom>
                      <a:noFill/>
                      <a:ln w="6350">
                        <a:noFill/>
                      </a:ln>
                      <a:effectLst/>
                    </wps:spPr>
                    <wps:txbx>
                      <w:txbxContent>
                        <w:p>
                          <w:pPr>
                            <w:pStyle w:val="7"/>
                            <w:jc w:val="center"/>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  \* MERGEFORMAT </w:instrText>
                          </w:r>
                          <w:r>
                            <w:rPr>
                              <w:rFonts w:hint="eastAsia" w:ascii="宋体" w:hAnsi="宋体" w:eastAsia="宋体" w:cs="宋体"/>
                              <w:sz w:val="32"/>
                              <w:szCs w:val="32"/>
                            </w:rPr>
                            <w:fldChar w:fldCharType="separate"/>
                          </w:r>
                          <w:r>
                            <w:rPr>
                              <w:rFonts w:hint="eastAsia" w:ascii="宋体" w:hAnsi="宋体" w:eastAsia="宋体" w:cs="宋体"/>
                              <w:sz w:val="32"/>
                              <w:szCs w:val="32"/>
                            </w:rPr>
                            <w:t>- 1 -</w:t>
                          </w:r>
                          <w:r>
                            <w:rPr>
                              <w:rFonts w:hint="eastAsia" w:ascii="宋体" w:hAnsi="宋体" w:eastAsia="宋体" w:cs="宋体"/>
                              <w:sz w:val="32"/>
                              <w:szCs w:val="32"/>
                            </w:rPr>
                            <w:fldChar w:fldCharType="end"/>
                          </w:r>
                        </w:p>
                      </w:txbxContent>
                    </wps:txbx>
                    <wps:bodyPr rot="0" spcFirstLastPara="0" vertOverflow="overflow" horzOverflow="overflow" vert="horz" wrap="square" lIns="0" tIns="0" rIns="0" bIns="0" numCol="1" spcCol="0" rtlCol="0" fromWordArt="false" anchor="t" anchorCtr="false" forceAA="false" upright="false" compatLnSpc="true">
                      <a:noAutofit/>
                    </wps:bodyPr>
                  </wps:wsp>
                </a:graphicData>
              </a:graphic>
            </wp:anchor>
          </w:drawing>
        </mc:Choice>
        <mc:Fallback>
          <w:pict>
            <v:shape id="_x0000_s1026" o:spid="_x0000_s1026" o:spt="202" type="#_x0000_t202" style="position:absolute;left:0pt;margin-top:-12.2pt;height:23.2pt;width:70.85pt;mso-position-horizontal:outside;mso-position-horizontal-relative:margin;z-index:251661312;mso-width-relative:page;mso-height-relative:page;" filled="f" stroked="f" coordsize="21600,21600" o:gfxdata="UEsFBgAAAAAAAAAAAAAAAAAAAAAAAFBLAwQKAAAAAACHTuJAAAAAAAAAAAAAAAAABAAAAGRycy9Q&#10;SwMEFAAAAAgAh07iQBKaEefWAAAABwEAAA8AAABkcnMvZG93bnJldi54bWxNj0tPwzAQhO9I/Adr&#10;kbi1dqIIUMimBx43Xi0gwc1JTBJhryN7k5Z/j3uC42hGM99Um4OzYjEhjp4QsrUCYaj13Ug9wtvr&#10;/eoKRGRNnbaeDMKPibCpT08qXXZ+T1uz7LgXqYRiqREG5qmUMraDcTqu/WQoeV8+OM1Jhl52Qe9T&#10;ubMyV+pCOj1SWhj0ZG4G037vZodgP2J4aBR/Lrf9I788y/n9LntCPD/L1DUINgf+C8MRP6FDnZga&#10;P1MXhUVIRxhhlRcFiKNdZJcgGoQ8VyDrSv7nr38BUEsDBBQAAAAIAIdO4kA0xT9yKAIAADcEAAAO&#10;AAAAZHJzL2Uyb0RvYy54bWytU82O0zAQviPxDpbvNG3ZLduq6arsqgipYlcqiLPr2I0lx2Nsp0l5&#10;AHiDPXHhznP1ORi7SYuAE+Jiz3j+v288v20rTfbCeQUmp6PBkBJhOBTK7HL64f3qxQ0lPjBTMA1G&#10;5PQgPL1dPH82b+xMjKEEXQhHMInxs8bmtAzBzrLM81JUzA/ACoNGCa5iAVW3ywrHGsxe6Ww8HE6y&#10;BlxhHXDhPb7en4x0kfJLKXh4kNKLQHROsbeQTpfObTyzxZzNdo7ZUvGuDfYPXVRMGSx6TnXPAiO1&#10;U3+kqhR34EGGAYcqAykVF2kGnGY0/G2aTcmsSLMgON6eYfL/Ly1/t390RBU5HVNiWIUUHZ++Hr/9&#10;OH7/QsYRnsb6GXptLPqF9jW0OQ2uFr3J43scvJWuijeORNAFsT6c8RVtIBwfb6bTV9NrSjiaxtOr&#10;yVXCP7sEW+fDGwEViUJOHdKXUGX7tQ/YC7r2LrGWgZXSOlGoDWlyOnl5PUwBZwtGaBN9RVqGLk2c&#10;6dR4lEK7bbtBt1AccE4Hp0Xxlq8UtrJmPjwyh5uBc+G2hwc8pAYsCZ1ESQnu89/eoz8ShlZKGty0&#10;nPpPNXOCEv3WIJVxLXvB9cK2F0xd3QEu7wj/keVJxAAXdC9KB9VH/ATLWEUy7TExMxzrIVG9eBdQ&#10;64z4mbhYLs96bZ3alZdgXEzLwtpsLO+oPmG9rANIlWiIqJ2gQk6igtuZ2Ol+Ulz/X/Xkdfnvi5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W&#10;AAAAZHJzL1BLAQIUABQAAAAIAIdO4kASmhHn1gAAAAcBAAAPAAAAAAAAAAEAIAAAADgAAABkcnMv&#10;ZG93bnJldi54bWxQSwECFAAUAAAACACHTuJANMU/cigCAAA3BAAADgAAAAAAAAABACAAAAA7AQAA&#10;ZHJzL2Uyb0RvYy54bWxQSwUGAAAAAAYABgBZAQAA1QUAAAAA&#10;">
              <v:fill on="f" focussize="0,0"/>
              <v:stroke on="f" weight="0.5pt"/>
              <v:imagedata o:title=""/>
              <o:lock v:ext="edit" aspectratio="f"/>
              <v:textbox inset="0mm,0mm,0mm,0mm">
                <w:txbxContent>
                  <w:p>
                    <w:pPr>
                      <w:pStyle w:val="7"/>
                      <w:jc w:val="center"/>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  \* MERGEFORMAT </w:instrText>
                    </w:r>
                    <w:r>
                      <w:rPr>
                        <w:rFonts w:hint="eastAsia" w:ascii="宋体" w:hAnsi="宋体" w:eastAsia="宋体" w:cs="宋体"/>
                        <w:sz w:val="32"/>
                        <w:szCs w:val="32"/>
                      </w:rPr>
                      <w:fldChar w:fldCharType="separate"/>
                    </w:r>
                    <w:r>
                      <w:rPr>
                        <w:rFonts w:hint="eastAsia" w:ascii="宋体" w:hAnsi="宋体" w:eastAsia="宋体" w:cs="宋体"/>
                        <w:sz w:val="32"/>
                        <w:szCs w:val="32"/>
                      </w:rPr>
                      <w:t>- 1 -</w:t>
                    </w:r>
                    <w:r>
                      <w:rPr>
                        <w:rFonts w:hint="eastAsia" w:ascii="宋体" w:hAnsi="宋体" w:eastAsia="宋体" w:cs="宋体"/>
                        <w:sz w:val="32"/>
                        <w:szCs w:val="32"/>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56DB"/>
    <w:rsid w:val="00002DBE"/>
    <w:rsid w:val="00022031"/>
    <w:rsid w:val="00035384"/>
    <w:rsid w:val="000429C5"/>
    <w:rsid w:val="00051A49"/>
    <w:rsid w:val="000A6A1E"/>
    <w:rsid w:val="00112597"/>
    <w:rsid w:val="00144912"/>
    <w:rsid w:val="001C05BA"/>
    <w:rsid w:val="002C1F93"/>
    <w:rsid w:val="0030258E"/>
    <w:rsid w:val="003906CC"/>
    <w:rsid w:val="00446DCE"/>
    <w:rsid w:val="004657C3"/>
    <w:rsid w:val="00492651"/>
    <w:rsid w:val="004B6631"/>
    <w:rsid w:val="004D0881"/>
    <w:rsid w:val="005A7D60"/>
    <w:rsid w:val="005B314D"/>
    <w:rsid w:val="0060248C"/>
    <w:rsid w:val="00626E1E"/>
    <w:rsid w:val="00667D46"/>
    <w:rsid w:val="00701294"/>
    <w:rsid w:val="0072597F"/>
    <w:rsid w:val="008023A7"/>
    <w:rsid w:val="00832058"/>
    <w:rsid w:val="00896E2E"/>
    <w:rsid w:val="008D4034"/>
    <w:rsid w:val="008F02DC"/>
    <w:rsid w:val="00955DCC"/>
    <w:rsid w:val="009651D9"/>
    <w:rsid w:val="009D0D7E"/>
    <w:rsid w:val="009F0906"/>
    <w:rsid w:val="009F2888"/>
    <w:rsid w:val="00A30867"/>
    <w:rsid w:val="00A43AE1"/>
    <w:rsid w:val="00A7341C"/>
    <w:rsid w:val="00B345CF"/>
    <w:rsid w:val="00B656DB"/>
    <w:rsid w:val="00B76B36"/>
    <w:rsid w:val="00B944B4"/>
    <w:rsid w:val="00BB2B9E"/>
    <w:rsid w:val="00BC7851"/>
    <w:rsid w:val="00C71270"/>
    <w:rsid w:val="00C744F1"/>
    <w:rsid w:val="00D12E0E"/>
    <w:rsid w:val="00D40933"/>
    <w:rsid w:val="00DC398E"/>
    <w:rsid w:val="00DF4425"/>
    <w:rsid w:val="00E1596E"/>
    <w:rsid w:val="00EB4A3E"/>
    <w:rsid w:val="00FE769B"/>
    <w:rsid w:val="010817E8"/>
    <w:rsid w:val="14A4603F"/>
    <w:rsid w:val="15A323CB"/>
    <w:rsid w:val="160A7174"/>
    <w:rsid w:val="1CED7D8D"/>
    <w:rsid w:val="2DBFC052"/>
    <w:rsid w:val="32904272"/>
    <w:rsid w:val="3BD031C2"/>
    <w:rsid w:val="3D97B1FC"/>
    <w:rsid w:val="3F5EE047"/>
    <w:rsid w:val="41757363"/>
    <w:rsid w:val="4C5742CD"/>
    <w:rsid w:val="4FFBCBF7"/>
    <w:rsid w:val="50711AE6"/>
    <w:rsid w:val="50CB6F0A"/>
    <w:rsid w:val="572FE487"/>
    <w:rsid w:val="595247FA"/>
    <w:rsid w:val="5C581BFD"/>
    <w:rsid w:val="5D9D2961"/>
    <w:rsid w:val="5E4759B7"/>
    <w:rsid w:val="5E9673B9"/>
    <w:rsid w:val="5EBE9DB5"/>
    <w:rsid w:val="5FBF2841"/>
    <w:rsid w:val="5FEC5C06"/>
    <w:rsid w:val="66AF94DB"/>
    <w:rsid w:val="6DDD8411"/>
    <w:rsid w:val="6FE7F69E"/>
    <w:rsid w:val="6FF36CAB"/>
    <w:rsid w:val="6FFDEB2E"/>
    <w:rsid w:val="70735658"/>
    <w:rsid w:val="717F5E78"/>
    <w:rsid w:val="737E84B5"/>
    <w:rsid w:val="7757F371"/>
    <w:rsid w:val="795D459E"/>
    <w:rsid w:val="7BF254BA"/>
    <w:rsid w:val="7F7D1608"/>
    <w:rsid w:val="7FB92DF2"/>
    <w:rsid w:val="7FDEF1F6"/>
    <w:rsid w:val="7FF74856"/>
    <w:rsid w:val="9B3F1618"/>
    <w:rsid w:val="C2CCFA61"/>
    <w:rsid w:val="D7FFEE86"/>
    <w:rsid w:val="DFE69174"/>
    <w:rsid w:val="EB6F1B4A"/>
    <w:rsid w:val="EDFF4910"/>
    <w:rsid w:val="EE8F8EF9"/>
    <w:rsid w:val="EF7F4171"/>
    <w:rsid w:val="F7DFF860"/>
    <w:rsid w:val="F9FF6392"/>
    <w:rsid w:val="FBBBBBD7"/>
    <w:rsid w:val="FF3F817F"/>
    <w:rsid w:val="FF7A318A"/>
    <w:rsid w:val="FF7E4A0B"/>
    <w:rsid w:val="FFDB314A"/>
    <w:rsid w:val="FFDFEF2B"/>
    <w:rsid w:val="FFF71BB8"/>
    <w:rsid w:val="FFFFE1B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after="330" w:line="578" w:lineRule="atLeast"/>
      <w:outlineLvl w:val="0"/>
    </w:pPr>
    <w:rPr>
      <w:rFonts w:eastAsia="方正小标宋简体"/>
      <w:b/>
      <w:bCs/>
      <w:kern w:val="44"/>
      <w:sz w:val="44"/>
      <w:szCs w:val="44"/>
    </w:rPr>
  </w:style>
  <w:style w:type="paragraph" w:styleId="3">
    <w:name w:val="heading 2"/>
    <w:basedOn w:val="1"/>
    <w:next w:val="1"/>
    <w:link w:val="19"/>
    <w:unhideWhenUsed/>
    <w:qFormat/>
    <w:uiPriority w:val="9"/>
    <w:pPr>
      <w:keepNext/>
      <w:keepLines/>
      <w:spacing w:beforeLines="0" w:beforeAutospacing="0" w:afterLines="0" w:afterAutospacing="0" w:line="560" w:lineRule="exact"/>
      <w:ind w:firstLine="880" w:firstLineChars="200"/>
      <w:jc w:val="left"/>
      <w:outlineLvl w:val="1"/>
    </w:p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Body Text"/>
    <w:basedOn w:val="1"/>
    <w:next w:val="5"/>
    <w:qFormat/>
    <w:uiPriority w:val="0"/>
    <w:pPr>
      <w:spacing w:line="320" w:lineRule="exact"/>
      <w:jc w:val="center"/>
    </w:pPr>
    <w:rPr>
      <w:rFonts w:ascii="Times New Roman" w:hAnsi="Times New Roman" w:eastAsia="宋体" w:cs="Times New Roman"/>
      <w:sz w:val="30"/>
    </w:rPr>
  </w:style>
  <w:style w:type="paragraph" w:styleId="5">
    <w:name w:val="Title"/>
    <w:basedOn w:val="1"/>
    <w:next w:val="1"/>
    <w:qFormat/>
    <w:uiPriority w:val="99"/>
    <w:pPr>
      <w:spacing w:before="240" w:after="60"/>
      <w:jc w:val="center"/>
      <w:outlineLvl w:val="0"/>
    </w:pPr>
    <w:rPr>
      <w:rFonts w:ascii="Cambria" w:hAnsi="Cambria"/>
      <w:b/>
      <w:sz w:val="32"/>
      <w:szCs w:val="20"/>
    </w:rPr>
  </w:style>
  <w:style w:type="paragraph" w:styleId="6">
    <w:name w:val="Body Text Indent"/>
    <w:basedOn w:val="1"/>
    <w:next w:val="1"/>
    <w:qFormat/>
    <w:uiPriority w:val="0"/>
    <w:pPr>
      <w:ind w:left="200" w:leftChars="200"/>
    </w:pPr>
  </w:style>
  <w:style w:type="paragraph" w:styleId="7">
    <w:name w:val="footer"/>
    <w:basedOn w:val="1"/>
    <w:link w:val="18"/>
    <w:semiHidden/>
    <w:unhideWhenUsed/>
    <w:qFormat/>
    <w:uiPriority w:val="99"/>
    <w:pPr>
      <w:tabs>
        <w:tab w:val="center" w:pos="4153"/>
        <w:tab w:val="right" w:pos="8306"/>
      </w:tabs>
      <w:snapToGrid w:val="0"/>
      <w:jc w:val="left"/>
    </w:pPr>
    <w:rPr>
      <w:sz w:val="18"/>
      <w:szCs w:val="18"/>
    </w:rPr>
  </w:style>
  <w:style w:type="paragraph" w:styleId="8">
    <w:name w:val="header"/>
    <w:basedOn w:val="1"/>
    <w:link w:val="1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0">
    <w:name w:val="Normal (Web)"/>
    <w:basedOn w:val="1"/>
    <w:qFormat/>
    <w:uiPriority w:val="0"/>
    <w:pPr>
      <w:spacing w:beforeAutospacing="1" w:afterAutospacing="1"/>
      <w:jc w:val="left"/>
    </w:pPr>
    <w:rPr>
      <w:rFonts w:ascii="Calibri" w:hAnsi="Calibri" w:eastAsia="宋体" w:cs="Times New Roman"/>
      <w:kern w:val="0"/>
      <w:sz w:val="24"/>
    </w:rPr>
  </w:style>
  <w:style w:type="table" w:styleId="12">
    <w:name w:val="Table Grid"/>
    <w:basedOn w:val="11"/>
    <w:qFormat/>
    <w:uiPriority w:val="59"/>
    <w:rPr>
      <w:rFonts w:ascii="Calibri" w:hAnsi="Calibri" w:eastAsia="宋体" w:cs="Times New Roman"/>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4">
    <w:name w:val="Hyperlink"/>
    <w:basedOn w:val="13"/>
    <w:semiHidden/>
    <w:unhideWhenUsed/>
    <w:qFormat/>
    <w:uiPriority w:val="99"/>
    <w:rPr>
      <w:color w:val="0000FF"/>
      <w:u w:val="single"/>
    </w:rPr>
  </w:style>
  <w:style w:type="paragraph" w:customStyle="1" w:styleId="15">
    <w:name w:val="p0"/>
    <w:basedOn w:val="1"/>
    <w:qFormat/>
    <w:uiPriority w:val="0"/>
    <w:pPr>
      <w:widowControl/>
    </w:pPr>
    <w:rPr>
      <w:rFonts w:ascii="Times New Roman" w:hAnsi="Times New Roman" w:eastAsia="宋体" w:cs="Times New Roman"/>
      <w:kern w:val="0"/>
      <w:szCs w:val="21"/>
    </w:rPr>
  </w:style>
  <w:style w:type="paragraph" w:customStyle="1" w:styleId="16">
    <w:name w:val="p17"/>
    <w:basedOn w:val="1"/>
    <w:qFormat/>
    <w:uiPriority w:val="0"/>
    <w:pPr>
      <w:widowControl/>
      <w:ind w:firstLine="570"/>
    </w:pPr>
    <w:rPr>
      <w:rFonts w:ascii="宋体" w:hAnsi="宋体" w:eastAsia="宋体" w:cs="宋体"/>
      <w:kern w:val="0"/>
      <w:sz w:val="32"/>
      <w:szCs w:val="32"/>
    </w:rPr>
  </w:style>
  <w:style w:type="character" w:customStyle="1" w:styleId="17">
    <w:name w:val="页眉 Char"/>
    <w:basedOn w:val="13"/>
    <w:link w:val="8"/>
    <w:semiHidden/>
    <w:qFormat/>
    <w:uiPriority w:val="99"/>
    <w:rPr>
      <w:sz w:val="18"/>
      <w:szCs w:val="18"/>
    </w:rPr>
  </w:style>
  <w:style w:type="character" w:customStyle="1" w:styleId="18">
    <w:name w:val="页脚 Char"/>
    <w:basedOn w:val="13"/>
    <w:link w:val="7"/>
    <w:semiHidden/>
    <w:qFormat/>
    <w:uiPriority w:val="99"/>
    <w:rPr>
      <w:sz w:val="18"/>
      <w:szCs w:val="18"/>
    </w:rPr>
  </w:style>
  <w:style w:type="character" w:customStyle="1" w:styleId="19">
    <w:name w:val="标题 2 Char"/>
    <w:link w:val="3"/>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Pages>
  <Words>68</Words>
  <Characters>392</Characters>
  <Lines>3</Lines>
  <Paragraphs>1</Paragraphs>
  <TotalTime>15</TotalTime>
  <ScaleCrop>false</ScaleCrop>
  <LinksUpToDate>false</LinksUpToDate>
  <CharactersWithSpaces>459</CharactersWithSpaces>
  <Application>WPS Office_11.8.2.10534_F1E327BC-269C-435d-A152-05C5408002CA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2016-11-06T18:11:00Z</dcterms:created>
  <dc:creator>经贸局_曾凌宇</dc:creator>
  <cp:lastModifiedBy>sssuper</cp:lastModifiedBy>
  <cp:lastPrinted>2023-12-23T01:35:00Z</cp:lastPrinted>
  <dcterms:modified xsi:type="dcterms:W3CDTF">2024-04-19T17:03:04Z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2052-11.8.2.10534</vt:lpwstr>
  </property>
</Properties>
</file>