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A1549">
      <w:pPr>
        <w:pStyle w:val="4"/>
        <w:ind w:left="0" w:leftChars="0" w:firstLine="0" w:firstLineChars="0"/>
        <w:rPr>
          <w:rFonts w:hint="default"/>
          <w:sz w:val="32"/>
          <w:szCs w:val="32"/>
          <w:lang w:val="en-US" w:eastAsia="zh-CN"/>
        </w:rPr>
      </w:pPr>
      <w:r>
        <w:rPr>
          <w:rFonts w:hint="default"/>
          <w:sz w:val="32"/>
          <w:szCs w:val="32"/>
          <w:lang w:val="en-US" w:eastAsia="zh-CN"/>
        </w:rPr>
        <w:t>附：相关法律条文</w:t>
      </w:r>
    </w:p>
    <w:p w14:paraId="458F48A3">
      <w:pPr>
        <w:pStyle w:val="4"/>
        <w:tabs>
          <w:tab w:val="left" w:pos="795"/>
        </w:tabs>
        <w:ind w:left="0" w:leftChars="0" w:firstLine="0" w:firstLineChars="0"/>
        <w:rPr>
          <w:rFonts w:hint="eastAsia"/>
          <w:sz w:val="32"/>
          <w:szCs w:val="32"/>
          <w:lang w:val="en-US" w:eastAsia="zh-CN"/>
        </w:rPr>
      </w:pPr>
      <w:r>
        <w:rPr>
          <w:rFonts w:hint="eastAsia"/>
          <w:sz w:val="32"/>
          <w:szCs w:val="32"/>
          <w:lang w:val="en-US" w:eastAsia="zh-CN"/>
        </w:rPr>
        <w:tab/>
      </w:r>
      <w:r>
        <w:rPr>
          <w:rFonts w:hint="eastAsia"/>
          <w:sz w:val="32"/>
          <w:szCs w:val="32"/>
          <w:lang w:val="en-US" w:eastAsia="zh-CN"/>
        </w:rPr>
        <w:t>《中华人民共和国城乡规划法》</w:t>
      </w:r>
    </w:p>
    <w:p w14:paraId="5279540E">
      <w:pPr>
        <w:pStyle w:val="4"/>
        <w:tabs>
          <w:tab w:val="left" w:pos="795"/>
        </w:tabs>
        <w:ind w:left="0" w:leftChars="0" w:firstLine="0" w:firstLineChars="0"/>
        <w:rPr>
          <w:rFonts w:hint="eastAsia"/>
          <w:sz w:val="32"/>
          <w:szCs w:val="32"/>
          <w:lang w:val="en-US" w:eastAsia="zh-CN"/>
        </w:rPr>
      </w:pPr>
      <w:r>
        <w:rPr>
          <w:rFonts w:hint="eastAsia"/>
          <w:sz w:val="32"/>
          <w:szCs w:val="32"/>
          <w:lang w:val="en-US" w:eastAsia="zh-CN"/>
        </w:rPr>
        <w:tab/>
      </w:r>
      <w:r>
        <w:rPr>
          <w:rFonts w:hint="eastAsia"/>
          <w:sz w:val="32"/>
          <w:szCs w:val="32"/>
          <w:lang w:val="en-US" w:eastAsia="zh-CN"/>
        </w:rPr>
        <w:t>第四十条第一款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0CD32AC">
      <w:pPr>
        <w:pStyle w:val="4"/>
        <w:tabs>
          <w:tab w:val="left" w:pos="795"/>
        </w:tabs>
        <w:ind w:left="0" w:leftChars="0" w:firstLine="0" w:firstLineChars="0"/>
        <w:rPr>
          <w:rFonts w:hint="default"/>
          <w:sz w:val="32"/>
          <w:szCs w:val="32"/>
          <w:lang w:val="en-US" w:eastAsia="zh-CN"/>
        </w:rPr>
      </w:pPr>
      <w:r>
        <w:rPr>
          <w:rFonts w:hint="eastAsia"/>
          <w:sz w:val="32"/>
          <w:szCs w:val="32"/>
          <w:lang w:val="en-US" w:eastAsia="zh-CN"/>
        </w:rPr>
        <w:tab/>
      </w:r>
      <w:r>
        <w:rPr>
          <w:rFonts w:hint="eastAsia"/>
          <w:sz w:val="32"/>
          <w:szCs w:val="32"/>
          <w:lang w:val="en-US" w:eastAsia="zh-CN"/>
        </w:rPr>
        <w:t>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36304393">
      <w:pPr>
        <w:pStyle w:val="4"/>
        <w:rPr>
          <w:rFonts w:hint="default"/>
          <w:sz w:val="32"/>
          <w:szCs w:val="32"/>
          <w:lang w:val="en-US" w:eastAsia="zh-CN"/>
        </w:rPr>
      </w:pPr>
      <w:r>
        <w:rPr>
          <w:rFonts w:hint="default"/>
          <w:sz w:val="32"/>
          <w:szCs w:val="32"/>
          <w:lang w:val="en-US" w:eastAsia="zh-CN"/>
        </w:rPr>
        <w:t>《广东省城乡规划条例》</w:t>
      </w:r>
    </w:p>
    <w:p w14:paraId="4CD8C20F">
      <w:pPr>
        <w:pStyle w:val="4"/>
        <w:rPr>
          <w:rFonts w:hint="default"/>
          <w:sz w:val="32"/>
          <w:szCs w:val="32"/>
          <w:lang w:val="en-US" w:eastAsia="zh-CN"/>
        </w:rPr>
      </w:pPr>
      <w:r>
        <w:rPr>
          <w:rFonts w:hint="eastAsia" w:ascii="仿宋_GB2312" w:hAnsi="仿宋_GB2312" w:eastAsia="仿宋_GB2312" w:cs="仿宋_GB2312"/>
          <w:sz w:val="32"/>
          <w:szCs w:val="32"/>
          <w:u w:val="none"/>
          <w:lang w:val="en-US" w:eastAsia="zh-CN"/>
        </w:rPr>
        <w:t>第四十条第一款</w:t>
      </w:r>
      <w:r>
        <w:rPr>
          <w:rFonts w:hint="eastAsia" w:ascii="仿宋_GB2312" w:hAnsi="仿宋_GB2312" w:cs="仿宋_GB2312"/>
          <w:sz w:val="32"/>
          <w:szCs w:val="32"/>
          <w:u w:val="none"/>
          <w:lang w:val="en-US" w:eastAsia="zh-CN"/>
        </w:rPr>
        <w:t xml:space="preserve"> 在城市、镇规划区范围内进行建筑物、构筑物、道路、桥梁和管线等工程建设的，建设单位或者个人应当向城市、县人民政府城乡规划主管部门或者省人民政府指定的镇人民政府申请办理建设工程规划许可证。</w:t>
      </w:r>
    </w:p>
    <w:p w14:paraId="2FB133D2">
      <w:pPr>
        <w:pStyle w:val="4"/>
        <w:rPr>
          <w:rFonts w:hint="default"/>
          <w:sz w:val="32"/>
          <w:szCs w:val="32"/>
          <w:lang w:val="en-US" w:eastAsia="zh-CN"/>
        </w:rPr>
      </w:pPr>
      <w:r>
        <w:rPr>
          <w:rFonts w:hint="default"/>
          <w:sz w:val="32"/>
          <w:szCs w:val="32"/>
          <w:lang w:val="en-US" w:eastAsia="zh-CN"/>
        </w:rPr>
        <w:t>第八十条第一款 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p w14:paraId="14DD4171">
      <w:pPr>
        <w:pStyle w:val="4"/>
        <w:rPr>
          <w:rFonts w:hint="default"/>
          <w:sz w:val="32"/>
          <w:szCs w:val="32"/>
          <w:lang w:val="en-US" w:eastAsia="zh-CN"/>
        </w:rPr>
      </w:pPr>
      <w:r>
        <w:rPr>
          <w:rFonts w:hint="default"/>
          <w:sz w:val="32"/>
          <w:szCs w:val="32"/>
          <w:lang w:val="en-US" w:eastAsia="zh-CN"/>
        </w:rPr>
        <w:t>第八十条第二款第七项 有下列行为之一的，应当认定为前款规定的无法采取改正措施消除影响的情形：</w:t>
      </w:r>
    </w:p>
    <w:p w14:paraId="6B65B87E">
      <w:pPr>
        <w:pStyle w:val="4"/>
        <w:rPr>
          <w:rFonts w:hint="default"/>
          <w:sz w:val="32"/>
          <w:szCs w:val="32"/>
          <w:lang w:val="en-US" w:eastAsia="zh-CN"/>
        </w:rPr>
      </w:pPr>
      <w:r>
        <w:rPr>
          <w:rFonts w:hint="default"/>
          <w:sz w:val="32"/>
          <w:szCs w:val="32"/>
          <w:lang w:val="en-US" w:eastAsia="zh-CN"/>
        </w:rPr>
        <w:t>（七）其他无法采取改正措施消除影响的情形。</w:t>
      </w:r>
    </w:p>
    <w:p w14:paraId="2234764A">
      <w:pPr>
        <w:pStyle w:val="4"/>
        <w:rPr>
          <w:rFonts w:hint="default"/>
          <w:sz w:val="32"/>
          <w:szCs w:val="32"/>
          <w:lang w:val="en-US" w:eastAsia="zh-CN"/>
        </w:rPr>
      </w:pPr>
    </w:p>
    <w:p w14:paraId="1EDDDC97">
      <w:pPr>
        <w:pStyle w:val="4"/>
        <w:rPr>
          <w:rFonts w:hint="default"/>
          <w:sz w:val="32"/>
          <w:szCs w:val="32"/>
          <w:lang w:val="en-US" w:eastAsia="zh-CN"/>
        </w:rPr>
      </w:pPr>
      <w:r>
        <w:rPr>
          <w:rFonts w:hint="default"/>
          <w:sz w:val="32"/>
          <w:szCs w:val="32"/>
          <w:lang w:val="en-US" w:eastAsia="zh-CN"/>
        </w:rPr>
        <w:t>《中华人民共和国行政处罚法》</w:t>
      </w:r>
    </w:p>
    <w:p w14:paraId="3D790BFF">
      <w:pPr>
        <w:pStyle w:val="4"/>
        <w:rPr>
          <w:rFonts w:hint="default"/>
          <w:sz w:val="32"/>
          <w:szCs w:val="32"/>
          <w:lang w:val="en-US" w:eastAsia="zh-CN"/>
        </w:rPr>
      </w:pPr>
      <w:r>
        <w:rPr>
          <w:rFonts w:hint="default"/>
          <w:sz w:val="32"/>
          <w:szCs w:val="32"/>
          <w:lang w:val="en-US" w:eastAsia="zh-CN"/>
        </w:rPr>
        <w:t>第四十四条 行政机关在作出行政处罚决定之前，应当告知当事人拟作出的行政处罚内容及事实、理由、依据，并告知当事人依法享有的陈述、申辩、要求听证等权利。</w:t>
      </w:r>
    </w:p>
    <w:p w14:paraId="7BC2448C">
      <w:pPr>
        <w:pStyle w:val="4"/>
        <w:rPr>
          <w:rFonts w:hint="default"/>
          <w:sz w:val="32"/>
          <w:szCs w:val="32"/>
          <w:lang w:val="en-US" w:eastAsia="zh-CN"/>
        </w:rPr>
      </w:pPr>
      <w:r>
        <w:rPr>
          <w:rFonts w:hint="default"/>
          <w:sz w:val="32"/>
          <w:szCs w:val="32"/>
          <w:lang w:val="en-US" w:eastAsia="zh-CN"/>
        </w:rPr>
        <w:t>第四十五条 当事人有权进行陈述和申辩。行政机关必须充分听取当事人的意见，对当事人提出的事实、理由和证据，应当进行复核；当事人提出的事实、理由或者证据成立的，行政机关应当采纳。</w:t>
      </w:r>
    </w:p>
    <w:p w14:paraId="5F18EAEC">
      <w:pPr>
        <w:pStyle w:val="4"/>
        <w:rPr>
          <w:rFonts w:hint="default"/>
          <w:sz w:val="32"/>
          <w:szCs w:val="32"/>
          <w:lang w:val="en-US" w:eastAsia="zh-CN"/>
        </w:rPr>
      </w:pPr>
      <w:r>
        <w:rPr>
          <w:rFonts w:hint="default"/>
          <w:sz w:val="32"/>
          <w:szCs w:val="32"/>
          <w:lang w:val="en-US" w:eastAsia="zh-CN"/>
        </w:rPr>
        <w:t>第六十三条 行政机关拟作出下列行政处罚决定，应当告知当事人有要求听证的权利，当事人要求听证的，行政机关应当组织听证：</w:t>
      </w:r>
    </w:p>
    <w:p w14:paraId="7E9663EC">
      <w:pPr>
        <w:pStyle w:val="4"/>
        <w:rPr>
          <w:rFonts w:hint="default"/>
          <w:sz w:val="32"/>
          <w:szCs w:val="32"/>
          <w:lang w:val="en-US" w:eastAsia="zh-CN"/>
        </w:rPr>
      </w:pPr>
      <w:r>
        <w:rPr>
          <w:rFonts w:hint="default"/>
          <w:sz w:val="32"/>
          <w:szCs w:val="32"/>
          <w:lang w:val="en-US" w:eastAsia="zh-CN"/>
        </w:rPr>
        <w:t>（一）较大数额罚款；</w:t>
      </w:r>
    </w:p>
    <w:p w14:paraId="72378022">
      <w:pPr>
        <w:pStyle w:val="4"/>
        <w:rPr>
          <w:rFonts w:hint="default"/>
          <w:sz w:val="32"/>
          <w:szCs w:val="32"/>
          <w:lang w:val="en-US" w:eastAsia="zh-CN"/>
        </w:rPr>
      </w:pPr>
      <w:r>
        <w:rPr>
          <w:rFonts w:hint="default"/>
          <w:sz w:val="32"/>
          <w:szCs w:val="32"/>
          <w:lang w:val="en-US" w:eastAsia="zh-CN"/>
        </w:rPr>
        <w:t>（二）没收较大数额违法所得、没收较大价值非法财物；</w:t>
      </w:r>
    </w:p>
    <w:p w14:paraId="4DD59FF4">
      <w:pPr>
        <w:pStyle w:val="4"/>
        <w:rPr>
          <w:rFonts w:hint="default"/>
          <w:sz w:val="32"/>
          <w:szCs w:val="32"/>
          <w:lang w:val="en-US" w:eastAsia="zh-CN"/>
        </w:rPr>
      </w:pPr>
      <w:r>
        <w:rPr>
          <w:rFonts w:hint="default"/>
          <w:sz w:val="32"/>
          <w:szCs w:val="32"/>
          <w:lang w:val="en-US" w:eastAsia="zh-CN"/>
        </w:rPr>
        <w:t>（三）降低资质等级、吊销许可证件；</w:t>
      </w:r>
    </w:p>
    <w:p w14:paraId="58CFE095">
      <w:pPr>
        <w:pStyle w:val="4"/>
        <w:rPr>
          <w:rFonts w:hint="default"/>
          <w:sz w:val="32"/>
          <w:szCs w:val="32"/>
          <w:lang w:val="en-US" w:eastAsia="zh-CN"/>
        </w:rPr>
      </w:pPr>
      <w:r>
        <w:rPr>
          <w:rFonts w:hint="default"/>
          <w:sz w:val="32"/>
          <w:szCs w:val="32"/>
          <w:lang w:val="en-US" w:eastAsia="zh-CN"/>
        </w:rPr>
        <w:t>（四）责令停产停业、责令关闭、限制从业；</w:t>
      </w:r>
    </w:p>
    <w:p w14:paraId="0CEB6155">
      <w:pPr>
        <w:pStyle w:val="4"/>
        <w:rPr>
          <w:rFonts w:hint="default"/>
          <w:sz w:val="32"/>
          <w:szCs w:val="32"/>
          <w:lang w:val="en-US" w:eastAsia="zh-CN"/>
        </w:rPr>
      </w:pPr>
      <w:r>
        <w:rPr>
          <w:rFonts w:hint="default"/>
          <w:sz w:val="32"/>
          <w:szCs w:val="32"/>
          <w:lang w:val="en-US" w:eastAsia="zh-CN"/>
        </w:rPr>
        <w:t>（五）其他较重的行政处罚；</w:t>
      </w:r>
    </w:p>
    <w:p w14:paraId="3195C3ED">
      <w:pPr>
        <w:pStyle w:val="4"/>
        <w:rPr>
          <w:rFonts w:hint="default"/>
          <w:sz w:val="32"/>
          <w:szCs w:val="32"/>
          <w:lang w:val="en-US" w:eastAsia="zh-CN"/>
        </w:rPr>
      </w:pPr>
      <w:r>
        <w:rPr>
          <w:rFonts w:hint="default"/>
          <w:sz w:val="32"/>
          <w:szCs w:val="32"/>
          <w:lang w:val="en-US" w:eastAsia="zh-CN"/>
        </w:rPr>
        <w:t>（六）法律、法规、规章规定的其他情形。</w:t>
      </w:r>
    </w:p>
    <w:p w14:paraId="245A4A70">
      <w:pPr>
        <w:pStyle w:val="4"/>
        <w:rPr>
          <w:rFonts w:hint="default"/>
          <w:sz w:val="32"/>
          <w:szCs w:val="32"/>
          <w:lang w:val="en-US" w:eastAsia="zh-CN"/>
        </w:rPr>
      </w:pPr>
      <w:r>
        <w:rPr>
          <w:rFonts w:hint="default"/>
          <w:sz w:val="32"/>
          <w:szCs w:val="32"/>
          <w:lang w:val="en-US" w:eastAsia="zh-CN"/>
        </w:rPr>
        <w:t>当事人不承担行政机关组织听证的费用。</w:t>
      </w:r>
    </w:p>
    <w:p w14:paraId="5E242B11">
      <w:pPr>
        <w:pStyle w:val="4"/>
        <w:rPr>
          <w:rFonts w:ascii="仿宋_GB2312" w:hAnsi="仿宋_GB2312" w:eastAsia="仿宋_GB2312" w:cs="仿宋_GB2312"/>
          <w:sz w:val="32"/>
        </w:rPr>
      </w:pPr>
      <w:r>
        <w:rPr>
          <w:rFonts w:hint="default"/>
          <w:sz w:val="32"/>
          <w:szCs w:val="32"/>
          <w:lang w:val="en-US" w:eastAsia="zh-CN"/>
        </w:rPr>
        <w:t>第六十</w:t>
      </w:r>
      <w:r>
        <w:rPr>
          <w:rFonts w:hint="eastAsia"/>
          <w:sz w:val="32"/>
          <w:szCs w:val="32"/>
          <w:lang w:val="en-US" w:eastAsia="zh-CN"/>
        </w:rPr>
        <w:t>四</w:t>
      </w:r>
      <w:r>
        <w:rPr>
          <w:rFonts w:hint="default"/>
          <w:sz w:val="32"/>
          <w:szCs w:val="32"/>
          <w:lang w:val="en-US" w:eastAsia="zh-CN"/>
        </w:rPr>
        <w:t>条</w:t>
      </w:r>
      <w:r>
        <w:rPr>
          <w:rFonts w:hint="eastAsia"/>
          <w:sz w:val="32"/>
          <w:szCs w:val="32"/>
          <w:lang w:val="en-US" w:eastAsia="zh-CN"/>
        </w:rPr>
        <w:t>第一项 听证应当依照以下程序组织</w:t>
      </w:r>
      <w:r>
        <w:rPr>
          <w:rFonts w:ascii="仿宋_GB2312" w:hAnsi="仿宋_GB2312" w:eastAsia="仿宋_GB2312" w:cs="仿宋_GB2312"/>
          <w:sz w:val="32"/>
        </w:rPr>
        <w:t>：</w:t>
      </w:r>
    </w:p>
    <w:p w14:paraId="3826EBB8">
      <w:pPr>
        <w:pStyle w:val="4"/>
        <w:numPr>
          <w:ilvl w:val="0"/>
          <w:numId w:val="1"/>
        </w:numPr>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当事人要求听证的，应当在行政机关告知后五日内提出；</w:t>
      </w:r>
    </w:p>
    <w:p w14:paraId="54C4477E">
      <w:pPr>
        <w:pStyle w:val="4"/>
        <w:numPr>
          <w:ilvl w:val="0"/>
          <w:numId w:val="0"/>
        </w:numPr>
        <w:rPr>
          <w:rFonts w:hint="default" w:ascii="仿宋_GB2312" w:hAnsi="仿宋_GB2312" w:eastAsia="仿宋_GB2312" w:cs="仿宋_GB2312"/>
          <w:sz w:val="32"/>
          <w:lang w:val="en-US" w:eastAsia="zh-CN"/>
        </w:rPr>
      </w:pPr>
    </w:p>
    <w:p w14:paraId="6FCF6AF5">
      <w:pPr>
        <w:pStyle w:val="4"/>
        <w:rPr>
          <w:rFonts w:hint="default"/>
          <w:sz w:val="32"/>
          <w:szCs w:val="32"/>
          <w:lang w:val="en-US" w:eastAsia="zh-CN"/>
        </w:rPr>
      </w:pPr>
      <w:r>
        <w:rPr>
          <w:rFonts w:hint="default"/>
          <w:sz w:val="32"/>
          <w:szCs w:val="32"/>
          <w:lang w:val="en-US" w:eastAsia="zh-CN"/>
        </w:rPr>
        <w:t>《中华人民共和国民事诉讼法》</w:t>
      </w:r>
    </w:p>
    <w:p w14:paraId="5C5F8C2F">
      <w:pPr>
        <w:pStyle w:val="4"/>
        <w:rPr>
          <w:rFonts w:hint="eastAsia"/>
          <w:sz w:val="32"/>
          <w:szCs w:val="32"/>
          <w:lang w:val="en-US" w:eastAsia="zh-CN"/>
        </w:rPr>
      </w:pPr>
      <w:r>
        <w:rPr>
          <w:rFonts w:hint="default"/>
          <w:sz w:val="32"/>
          <w:szCs w:val="32"/>
          <w:lang w:val="en-US" w:eastAsia="zh-CN"/>
        </w:rPr>
        <w:t>第九十五条</w:t>
      </w:r>
      <w:r>
        <w:rPr>
          <w:rFonts w:hint="eastAsia"/>
          <w:sz w:val="32"/>
          <w:szCs w:val="32"/>
          <w:lang w:val="en-US" w:eastAsia="zh-CN"/>
        </w:rPr>
        <w:t>第一款 受送达人下落不明，或者用本节规定的其他方式无法送达的，公告送达。自发出公告之日起，经过三十日，即视为送达。</w:t>
      </w:r>
    </w:p>
    <w:p w14:paraId="5FE2AA62">
      <w:pPr>
        <w:pStyle w:val="4"/>
        <w:rPr>
          <w:rFonts w:hint="eastAsia"/>
          <w:sz w:val="32"/>
          <w:szCs w:val="32"/>
          <w:lang w:val="en-US" w:eastAsia="zh-CN"/>
        </w:rPr>
      </w:pPr>
    </w:p>
    <w:p w14:paraId="2C7BEB45">
      <w:pPr>
        <w:pStyle w:val="4"/>
        <w:rPr>
          <w:rFonts w:hint="eastAsia"/>
          <w:sz w:val="32"/>
          <w:szCs w:val="32"/>
          <w:lang w:val="en-US" w:eastAsia="zh-CN"/>
        </w:rPr>
      </w:pPr>
    </w:p>
    <w:p w14:paraId="0D63C90E">
      <w:pPr>
        <w:pStyle w:val="4"/>
        <w:rPr>
          <w:rFonts w:hint="eastAsia"/>
          <w:sz w:val="32"/>
          <w:szCs w:val="32"/>
          <w:lang w:val="en-US" w:eastAsia="zh-CN"/>
        </w:rPr>
      </w:pPr>
    </w:p>
    <w:p w14:paraId="0C5C8107">
      <w:pPr>
        <w:pStyle w:val="4"/>
        <w:rPr>
          <w:rFonts w:hint="eastAsia"/>
          <w:sz w:val="32"/>
          <w:szCs w:val="32"/>
          <w:lang w:val="en-US" w:eastAsia="zh-CN"/>
        </w:rPr>
      </w:pPr>
    </w:p>
    <w:p w14:paraId="544E591E">
      <w:pPr>
        <w:pStyle w:val="4"/>
        <w:rPr>
          <w:rFonts w:hint="eastAsia"/>
          <w:sz w:val="32"/>
          <w:szCs w:val="32"/>
          <w:lang w:val="en-US" w:eastAsia="zh-CN"/>
        </w:rPr>
      </w:pPr>
    </w:p>
    <w:p w14:paraId="0394D699">
      <w:pPr>
        <w:pStyle w:val="4"/>
        <w:rPr>
          <w:rFonts w:hint="eastAsia"/>
          <w:sz w:val="32"/>
          <w:szCs w:val="32"/>
          <w:lang w:val="en-US" w:eastAsia="zh-CN"/>
        </w:rPr>
      </w:pPr>
    </w:p>
    <w:p w14:paraId="103F9A1F">
      <w:pPr>
        <w:pStyle w:val="4"/>
        <w:rPr>
          <w:rFonts w:hint="eastAsia"/>
          <w:sz w:val="32"/>
          <w:szCs w:val="32"/>
          <w:lang w:val="en-US" w:eastAsia="zh-CN"/>
        </w:rPr>
      </w:pPr>
    </w:p>
    <w:p w14:paraId="7D49B8CB">
      <w:pPr>
        <w:pStyle w:val="4"/>
        <w:rPr>
          <w:rFonts w:hint="eastAsia"/>
          <w:sz w:val="32"/>
          <w:szCs w:val="32"/>
          <w:lang w:val="en-US" w:eastAsia="zh-CN"/>
        </w:rPr>
      </w:pPr>
    </w:p>
    <w:p w14:paraId="615F32A5">
      <w:pPr>
        <w:pStyle w:val="4"/>
        <w:rPr>
          <w:rFonts w:hint="eastAsia"/>
          <w:sz w:val="32"/>
          <w:szCs w:val="32"/>
          <w:lang w:val="en-US" w:eastAsia="zh-CN"/>
        </w:rPr>
      </w:pPr>
    </w:p>
    <w:p w14:paraId="6BB56EB3">
      <w:pPr>
        <w:pStyle w:val="4"/>
        <w:rPr>
          <w:rFonts w:hint="eastAsia"/>
          <w:sz w:val="32"/>
          <w:szCs w:val="32"/>
          <w:lang w:val="en-US" w:eastAsia="zh-CN"/>
        </w:rPr>
      </w:pPr>
    </w:p>
    <w:p w14:paraId="5E154FAA">
      <w:pPr>
        <w:pStyle w:val="4"/>
        <w:rPr>
          <w:rFonts w:hint="eastAsia"/>
          <w:sz w:val="32"/>
          <w:szCs w:val="32"/>
          <w:lang w:val="en-US" w:eastAsia="zh-CN"/>
        </w:rPr>
      </w:pPr>
    </w:p>
    <w:p w14:paraId="4B81B5FF">
      <w:pPr>
        <w:pStyle w:val="4"/>
        <w:rPr>
          <w:rFonts w:hint="eastAsia"/>
          <w:sz w:val="32"/>
          <w:szCs w:val="32"/>
          <w:lang w:val="en-US" w:eastAsia="zh-CN"/>
        </w:rPr>
      </w:pPr>
    </w:p>
    <w:p w14:paraId="0F68D039">
      <w:pPr>
        <w:pStyle w:val="4"/>
        <w:rPr>
          <w:rFonts w:hint="eastAsia"/>
          <w:sz w:val="32"/>
          <w:szCs w:val="32"/>
          <w:lang w:val="en-US" w:eastAsia="zh-CN"/>
        </w:rPr>
      </w:pPr>
    </w:p>
    <w:p w14:paraId="27DBF412">
      <w:pPr>
        <w:pStyle w:val="4"/>
        <w:rPr>
          <w:rFonts w:hint="eastAsia"/>
          <w:sz w:val="32"/>
          <w:szCs w:val="32"/>
          <w:lang w:val="en-US" w:eastAsia="zh-CN"/>
        </w:rPr>
      </w:pPr>
      <w:bookmarkStart w:id="0" w:name="_GoBack"/>
      <w:bookmarkEnd w:id="0"/>
    </w:p>
    <w:p w14:paraId="1B8D610D">
      <w:pPr>
        <w:pStyle w:val="4"/>
        <w:rPr>
          <w:rFonts w:hint="eastAsia"/>
          <w:sz w:val="32"/>
          <w:szCs w:val="32"/>
          <w:lang w:val="en-US" w:eastAsia="zh-CN"/>
        </w:rPr>
      </w:pPr>
    </w:p>
    <w:p w14:paraId="10695106">
      <w:pPr>
        <w:pStyle w:val="4"/>
        <w:rPr>
          <w:rFonts w:hint="eastAsia"/>
          <w:sz w:val="32"/>
          <w:szCs w:val="32"/>
          <w:lang w:val="en-US" w:eastAsia="zh-CN"/>
        </w:rPr>
      </w:pPr>
    </w:p>
    <w:p w14:paraId="3F511561">
      <w:pPr>
        <w:pStyle w:val="4"/>
        <w:ind w:left="0" w:leftChars="0" w:firstLine="0" w:firstLineChars="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附图：小漠镇（街道）旺官社区新春村126号后面的一栋11层建筑物（烂尾楼）</w:t>
      </w:r>
    </w:p>
    <w:p w14:paraId="6433CC1F">
      <w:pPr>
        <w:pStyle w:val="4"/>
        <w:ind w:left="0" w:leftChars="0" w:firstLine="0" w:firstLineChars="0"/>
        <w:rPr>
          <w:rFonts w:hint="default" w:ascii="仿宋_GB2312" w:hAnsi="仿宋_GB2312" w:cs="仿宋_GB2312"/>
          <w:color w:val="auto"/>
          <w:sz w:val="32"/>
          <w:szCs w:val="32"/>
          <w:lang w:val="en-US" w:eastAsia="zh-CN"/>
        </w:rPr>
      </w:pPr>
    </w:p>
    <w:p w14:paraId="6A7BDE18">
      <w:pPr>
        <w:keepNext w:val="0"/>
        <w:keepLines w:val="0"/>
        <w:pageBreakBefore w:val="0"/>
        <w:tabs>
          <w:tab w:val="left" w:pos="4860"/>
        </w:tabs>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红色方框框出来的建筑为《行政处罚事先（听证）告知书》（</w:t>
      </w:r>
      <w:r>
        <w:rPr>
          <w:rFonts w:hint="eastAsia" w:ascii="仿宋_GB2312" w:hAnsi="仿宋_GB2312" w:eastAsia="仿宋_GB2312" w:cs="仿宋_GB2312"/>
          <w:bCs/>
          <w:color w:val="auto"/>
          <w:sz w:val="32"/>
          <w:szCs w:val="32"/>
        </w:rPr>
        <w:t>深汕城管土监〔2024〕第022号</w:t>
      </w:r>
      <w:r>
        <w:rPr>
          <w:rFonts w:hint="eastAsia" w:ascii="仿宋_GB2312" w:hAnsi="仿宋_GB2312" w:eastAsia="仿宋_GB2312" w:cs="仿宋_GB2312"/>
          <w:sz w:val="32"/>
          <w:szCs w:val="32"/>
          <w:lang w:val="en-US" w:eastAsia="zh-CN"/>
        </w:rPr>
        <w:t>）中小漠镇（街道）旺官社区新春村126号后面的一栋11层建筑物（烂尾楼）。</w:t>
      </w:r>
    </w:p>
    <w:tbl>
      <w:tblPr>
        <w:tblStyle w:val="10"/>
        <w:tblpPr w:leftFromText="180" w:rightFromText="180" w:vertAnchor="text" w:horzAnchor="page" w:tblpX="1619"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5"/>
      </w:tblGrid>
      <w:tr w14:paraId="1915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325" w:type="dxa"/>
            <w:noWrap w:val="0"/>
            <w:vAlign w:val="top"/>
          </w:tcPr>
          <w:p w14:paraId="12167FBC">
            <w:pPr>
              <w:keepNext w:val="0"/>
              <w:keepLines w:val="0"/>
              <w:pageBreakBefore w:val="0"/>
              <w:widowControl w:val="0"/>
              <w:numPr>
                <w:ilvl w:val="0"/>
                <w:numId w:val="0"/>
              </w:numPr>
              <w:tabs>
                <w:tab w:val="left" w:pos="4971"/>
              </w:tabs>
              <w:kinsoku/>
              <w:wordWrap/>
              <w:overflowPunct/>
              <w:topLinePunct w:val="0"/>
              <w:autoSpaceDE/>
              <w:autoSpaceDN/>
              <w:bidi w:val="0"/>
              <w:adjustRightInd/>
              <w:snapToGrid/>
              <w:spacing w:line="560" w:lineRule="exact"/>
              <w:jc w:val="center"/>
              <w:textAlignment w:val="auto"/>
              <w:rPr>
                <w:rFonts w:hint="default" w:ascii="宋体" w:hAnsi="宋体" w:cs="宋体"/>
                <w:sz w:val="24"/>
                <w:szCs w:val="24"/>
                <w:u w:val="none"/>
                <w:vertAlign w:val="baseline"/>
                <w:lang w:val="en-US" w:eastAsia="zh-CN"/>
              </w:rPr>
            </w:pPr>
            <w:r>
              <w:rPr>
                <w:rFonts w:hint="eastAsia" w:ascii="宋体" w:hAnsi="宋体" w:eastAsia="宋体" w:cs="宋体"/>
                <w:sz w:val="28"/>
                <w:szCs w:val="28"/>
                <w:u w:val="none"/>
                <w:vertAlign w:val="baseline"/>
                <w:lang w:val="en-US" w:eastAsia="zh-CN"/>
              </w:rPr>
              <w:t>航拍照片</w:t>
            </w:r>
          </w:p>
        </w:tc>
      </w:tr>
      <w:tr w14:paraId="302D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8325" w:type="dxa"/>
            <w:noWrap w:val="0"/>
            <w:vAlign w:val="top"/>
          </w:tcPr>
          <w:p w14:paraId="53C21912">
            <w:pPr>
              <w:keepNext w:val="0"/>
              <w:keepLines w:val="0"/>
              <w:pageBreakBefore w:val="0"/>
              <w:widowControl w:val="0"/>
              <w:numPr>
                <w:ilvl w:val="0"/>
                <w:numId w:val="0"/>
              </w:numPr>
              <w:tabs>
                <w:tab w:val="left" w:pos="4971"/>
              </w:tabs>
              <w:kinsoku/>
              <w:wordWrap/>
              <w:overflowPunct/>
              <w:topLinePunct w:val="0"/>
              <w:autoSpaceDE/>
              <w:autoSpaceDN/>
              <w:bidi w:val="0"/>
              <w:adjustRightInd/>
              <w:snapToGrid/>
              <w:spacing w:line="240" w:lineRule="auto"/>
              <w:jc w:val="center"/>
              <w:textAlignment w:val="auto"/>
              <w:rPr>
                <w:rFonts w:hint="default" w:ascii="宋体" w:hAnsi="宋体" w:cs="宋体"/>
                <w:sz w:val="24"/>
                <w:szCs w:val="24"/>
                <w:u w:val="none"/>
                <w:vertAlign w:val="baseline"/>
                <w:lang w:val="en-US" w:eastAsia="zh-CN"/>
              </w:rPr>
            </w:pPr>
            <w:r>
              <w:rPr>
                <w:rFonts w:hint="default" w:ascii="宋体" w:hAnsi="宋体" w:cs="宋体"/>
                <w:sz w:val="24"/>
                <w:szCs w:val="24"/>
                <w:u w:val="none"/>
                <w:vertAlign w:val="baseline"/>
                <w:lang w:val="en-US" w:eastAsia="zh-CN"/>
              </w:rPr>
              <w:drawing>
                <wp:inline distT="0" distB="0" distL="114300" distR="114300">
                  <wp:extent cx="4490085" cy="2526030"/>
                  <wp:effectExtent l="0" t="0" r="5715" b="7620"/>
                  <wp:docPr id="2" name="图片 1" descr="航拍照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航拍照片1_副本"/>
                          <pic:cNvPicPr>
                            <a:picLocks noChangeAspect="1"/>
                          </pic:cNvPicPr>
                        </pic:nvPicPr>
                        <pic:blipFill>
                          <a:blip r:embed="rId5"/>
                          <a:stretch>
                            <a:fillRect/>
                          </a:stretch>
                        </pic:blipFill>
                        <pic:spPr>
                          <a:xfrm>
                            <a:off x="0" y="0"/>
                            <a:ext cx="4490085" cy="2526030"/>
                          </a:xfrm>
                          <a:prstGeom prst="rect">
                            <a:avLst/>
                          </a:prstGeom>
                          <a:noFill/>
                          <a:ln>
                            <a:noFill/>
                          </a:ln>
                        </pic:spPr>
                      </pic:pic>
                    </a:graphicData>
                  </a:graphic>
                </wp:inline>
              </w:drawing>
            </w:r>
          </w:p>
        </w:tc>
      </w:tr>
      <w:tr w14:paraId="1107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8325" w:type="dxa"/>
            <w:noWrap w:val="0"/>
            <w:vAlign w:val="top"/>
          </w:tcPr>
          <w:p w14:paraId="0A6A6495">
            <w:pPr>
              <w:keepNext w:val="0"/>
              <w:keepLines w:val="0"/>
              <w:pageBreakBefore w:val="0"/>
              <w:widowControl w:val="0"/>
              <w:numPr>
                <w:ilvl w:val="0"/>
                <w:numId w:val="0"/>
              </w:numPr>
              <w:tabs>
                <w:tab w:val="left" w:pos="4971"/>
              </w:tabs>
              <w:kinsoku/>
              <w:wordWrap/>
              <w:overflowPunct/>
              <w:topLinePunct w:val="0"/>
              <w:autoSpaceDE/>
              <w:autoSpaceDN/>
              <w:bidi w:val="0"/>
              <w:adjustRightInd/>
              <w:snapToGrid/>
              <w:spacing w:line="240" w:lineRule="auto"/>
              <w:jc w:val="center"/>
              <w:textAlignment w:val="auto"/>
              <w:rPr>
                <w:rFonts w:hint="default" w:ascii="宋体" w:hAnsi="宋体" w:cs="宋体"/>
                <w:sz w:val="24"/>
                <w:szCs w:val="24"/>
                <w:u w:val="none"/>
                <w:vertAlign w:val="baseline"/>
                <w:lang w:val="en-US" w:eastAsia="zh-CN"/>
              </w:rPr>
            </w:pPr>
            <w:r>
              <w:rPr>
                <w:rFonts w:hint="default" w:ascii="宋体" w:hAnsi="宋体" w:cs="宋体"/>
                <w:sz w:val="24"/>
                <w:szCs w:val="24"/>
                <w:u w:val="none"/>
                <w:vertAlign w:val="baseline"/>
                <w:lang w:val="en-US" w:eastAsia="zh-CN"/>
              </w:rPr>
              <w:drawing>
                <wp:inline distT="0" distB="0" distL="114300" distR="114300">
                  <wp:extent cx="4476115" cy="2518410"/>
                  <wp:effectExtent l="0" t="0" r="635" b="15240"/>
                  <wp:docPr id="3" name="图片 2" descr="航拍照片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航拍照片2_副本"/>
                          <pic:cNvPicPr>
                            <a:picLocks noChangeAspect="1"/>
                          </pic:cNvPicPr>
                        </pic:nvPicPr>
                        <pic:blipFill>
                          <a:blip r:embed="rId6"/>
                          <a:stretch>
                            <a:fillRect/>
                          </a:stretch>
                        </pic:blipFill>
                        <pic:spPr>
                          <a:xfrm>
                            <a:off x="0" y="0"/>
                            <a:ext cx="4476115" cy="2518410"/>
                          </a:xfrm>
                          <a:prstGeom prst="rect">
                            <a:avLst/>
                          </a:prstGeom>
                          <a:noFill/>
                          <a:ln>
                            <a:noFill/>
                          </a:ln>
                        </pic:spPr>
                      </pic:pic>
                    </a:graphicData>
                  </a:graphic>
                </wp:inline>
              </w:drawing>
            </w:r>
          </w:p>
        </w:tc>
      </w:tr>
    </w:tbl>
    <w:p w14:paraId="30C0F3F2">
      <w:pPr>
        <w:tabs>
          <w:tab w:val="left" w:pos="626"/>
        </w:tabs>
        <w:bidi w:val="0"/>
        <w:jc w:val="left"/>
        <w:rPr>
          <w:rFonts w:hint="default"/>
          <w:lang w:val="en-US" w:eastAsia="zh-CN"/>
        </w:rPr>
      </w:pPr>
    </w:p>
    <w:sectPr>
      <w:footerReference r:id="rId3" w:type="default"/>
      <w:pgSz w:w="11907" w:h="16840"/>
      <w:pgMar w:top="1701" w:right="1531" w:bottom="1701" w:left="1531"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90D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58CFE">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758CFE">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E9BB8"/>
    <w:multiLevelType w:val="singleLevel"/>
    <w:tmpl w:val="F79E9BB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47A45"/>
    <w:rsid w:val="01C97ED7"/>
    <w:rsid w:val="035F7555"/>
    <w:rsid w:val="07A47A45"/>
    <w:rsid w:val="0A7ABBAE"/>
    <w:rsid w:val="15BC7E10"/>
    <w:rsid w:val="18B7305F"/>
    <w:rsid w:val="1BFBBDC7"/>
    <w:rsid w:val="1EDF1F29"/>
    <w:rsid w:val="1F67257E"/>
    <w:rsid w:val="20390479"/>
    <w:rsid w:val="21EF4E68"/>
    <w:rsid w:val="272F6812"/>
    <w:rsid w:val="2C0E104D"/>
    <w:rsid w:val="2E9CFC05"/>
    <w:rsid w:val="2F1FBC5E"/>
    <w:rsid w:val="2FFDC728"/>
    <w:rsid w:val="32DFF375"/>
    <w:rsid w:val="335C567B"/>
    <w:rsid w:val="367F7F16"/>
    <w:rsid w:val="37ADEF8B"/>
    <w:rsid w:val="3AEE3A96"/>
    <w:rsid w:val="3D9DDF07"/>
    <w:rsid w:val="3E1E1246"/>
    <w:rsid w:val="3E5FAED7"/>
    <w:rsid w:val="3F799B27"/>
    <w:rsid w:val="3FFF2944"/>
    <w:rsid w:val="3FFF6912"/>
    <w:rsid w:val="3FFF8907"/>
    <w:rsid w:val="40E360FB"/>
    <w:rsid w:val="41581924"/>
    <w:rsid w:val="42845250"/>
    <w:rsid w:val="4BFF6E6E"/>
    <w:rsid w:val="4D627E52"/>
    <w:rsid w:val="4EF7C374"/>
    <w:rsid w:val="4F5F4DA5"/>
    <w:rsid w:val="4FF7923B"/>
    <w:rsid w:val="57F785F8"/>
    <w:rsid w:val="5B87169B"/>
    <w:rsid w:val="5BFD0E52"/>
    <w:rsid w:val="5C1A502A"/>
    <w:rsid w:val="5CFC2EC0"/>
    <w:rsid w:val="5D4F2ACA"/>
    <w:rsid w:val="5DFE06FC"/>
    <w:rsid w:val="5F547C6D"/>
    <w:rsid w:val="5F7703BF"/>
    <w:rsid w:val="5F7FB083"/>
    <w:rsid w:val="5FD51CEF"/>
    <w:rsid w:val="5FFF7420"/>
    <w:rsid w:val="5FFFEBD4"/>
    <w:rsid w:val="612D1323"/>
    <w:rsid w:val="651B3081"/>
    <w:rsid w:val="65EF9104"/>
    <w:rsid w:val="66E6A559"/>
    <w:rsid w:val="67BD0480"/>
    <w:rsid w:val="6D9F7FBE"/>
    <w:rsid w:val="6EEE0FA7"/>
    <w:rsid w:val="6EFE0F4D"/>
    <w:rsid w:val="6EFF29F8"/>
    <w:rsid w:val="6FE6D871"/>
    <w:rsid w:val="702F5D7D"/>
    <w:rsid w:val="72EB0ACC"/>
    <w:rsid w:val="73BF617D"/>
    <w:rsid w:val="75FE3B2D"/>
    <w:rsid w:val="7765CE59"/>
    <w:rsid w:val="777ABB0F"/>
    <w:rsid w:val="77E9E6AA"/>
    <w:rsid w:val="784B13C3"/>
    <w:rsid w:val="797D3A2F"/>
    <w:rsid w:val="79DF526A"/>
    <w:rsid w:val="79E73CD1"/>
    <w:rsid w:val="7A7B0369"/>
    <w:rsid w:val="7AF77AD8"/>
    <w:rsid w:val="7B7FBF7C"/>
    <w:rsid w:val="7BEC7DEE"/>
    <w:rsid w:val="7BFD7CB6"/>
    <w:rsid w:val="7C8370AF"/>
    <w:rsid w:val="7CFF1807"/>
    <w:rsid w:val="7D32AF20"/>
    <w:rsid w:val="7D9FA803"/>
    <w:rsid w:val="7DFBC263"/>
    <w:rsid w:val="7DFE8F98"/>
    <w:rsid w:val="7DFFEC1B"/>
    <w:rsid w:val="7E6DE25B"/>
    <w:rsid w:val="7E7D0361"/>
    <w:rsid w:val="7EEF0C86"/>
    <w:rsid w:val="7EEFF5E9"/>
    <w:rsid w:val="7F4B9FFF"/>
    <w:rsid w:val="7F6C8818"/>
    <w:rsid w:val="7FAF3E42"/>
    <w:rsid w:val="7FBFD296"/>
    <w:rsid w:val="7FDDC968"/>
    <w:rsid w:val="7FED9EBF"/>
    <w:rsid w:val="7FEF0BF4"/>
    <w:rsid w:val="7FFB49CB"/>
    <w:rsid w:val="7FFD4887"/>
    <w:rsid w:val="7FFFEC50"/>
    <w:rsid w:val="8BFEB378"/>
    <w:rsid w:val="8F75B430"/>
    <w:rsid w:val="8FE73E79"/>
    <w:rsid w:val="93B435E1"/>
    <w:rsid w:val="957F1916"/>
    <w:rsid w:val="97FF4425"/>
    <w:rsid w:val="9B9DD416"/>
    <w:rsid w:val="9BBC1471"/>
    <w:rsid w:val="9BD2705C"/>
    <w:rsid w:val="9F7ED62B"/>
    <w:rsid w:val="9F7FE839"/>
    <w:rsid w:val="A2C93CA6"/>
    <w:rsid w:val="A35F78A0"/>
    <w:rsid w:val="A7FFE7C7"/>
    <w:rsid w:val="A937F2E1"/>
    <w:rsid w:val="AFBEE618"/>
    <w:rsid w:val="AFBF1250"/>
    <w:rsid w:val="AFF4DD1C"/>
    <w:rsid w:val="AFF84308"/>
    <w:rsid w:val="B17FF47B"/>
    <w:rsid w:val="BB6B8007"/>
    <w:rsid w:val="BBF71D07"/>
    <w:rsid w:val="BDAF35C2"/>
    <w:rsid w:val="BF571C31"/>
    <w:rsid w:val="BF7FC5DE"/>
    <w:rsid w:val="BF854B8A"/>
    <w:rsid w:val="BF9B91A4"/>
    <w:rsid w:val="BFABBDC9"/>
    <w:rsid w:val="BFDF2E89"/>
    <w:rsid w:val="BFFADE20"/>
    <w:rsid w:val="BFFB4C35"/>
    <w:rsid w:val="C77F9FAF"/>
    <w:rsid w:val="CBDF4091"/>
    <w:rsid w:val="CBF91142"/>
    <w:rsid w:val="CBFF9EF9"/>
    <w:rsid w:val="D0FF2C23"/>
    <w:rsid w:val="D77EEDF5"/>
    <w:rsid w:val="D7AF2D7B"/>
    <w:rsid w:val="D7B73AF7"/>
    <w:rsid w:val="D7FFED68"/>
    <w:rsid w:val="DADEF088"/>
    <w:rsid w:val="DB1E9F70"/>
    <w:rsid w:val="DBCFAFD9"/>
    <w:rsid w:val="DBFE0223"/>
    <w:rsid w:val="DC6F5847"/>
    <w:rsid w:val="DCA50718"/>
    <w:rsid w:val="DD3CA041"/>
    <w:rsid w:val="DDFF1E37"/>
    <w:rsid w:val="DF9FC01A"/>
    <w:rsid w:val="DFB73724"/>
    <w:rsid w:val="DFDF2E71"/>
    <w:rsid w:val="DFEF35A3"/>
    <w:rsid w:val="E1FF9D30"/>
    <w:rsid w:val="E37FD1A3"/>
    <w:rsid w:val="ECF5A22B"/>
    <w:rsid w:val="EDD9A4B4"/>
    <w:rsid w:val="EDFBFA27"/>
    <w:rsid w:val="EDFD6EC5"/>
    <w:rsid w:val="EE3F3596"/>
    <w:rsid w:val="EEF7C89A"/>
    <w:rsid w:val="EF57069A"/>
    <w:rsid w:val="EF7F54F6"/>
    <w:rsid w:val="EFEF0A38"/>
    <w:rsid w:val="EFFF0540"/>
    <w:rsid w:val="EFFFE7DC"/>
    <w:rsid w:val="F02FFD6A"/>
    <w:rsid w:val="F1F5492D"/>
    <w:rsid w:val="F1F7F3A1"/>
    <w:rsid w:val="F3F33414"/>
    <w:rsid w:val="F4BFB8E2"/>
    <w:rsid w:val="F56B007C"/>
    <w:rsid w:val="F74B1DBD"/>
    <w:rsid w:val="F77E0B8B"/>
    <w:rsid w:val="F7ACE65D"/>
    <w:rsid w:val="F7DB57F7"/>
    <w:rsid w:val="F7DFDE50"/>
    <w:rsid w:val="F7F745AB"/>
    <w:rsid w:val="F7FF1315"/>
    <w:rsid w:val="F7FFC532"/>
    <w:rsid w:val="F9336A5F"/>
    <w:rsid w:val="F9F73E89"/>
    <w:rsid w:val="FAF75936"/>
    <w:rsid w:val="FB95E193"/>
    <w:rsid w:val="FCC79F6A"/>
    <w:rsid w:val="FCF5985A"/>
    <w:rsid w:val="FCF5A866"/>
    <w:rsid w:val="FCFC9CF6"/>
    <w:rsid w:val="FCFF83A8"/>
    <w:rsid w:val="FD1C7264"/>
    <w:rsid w:val="FD6D9214"/>
    <w:rsid w:val="FD9CF37B"/>
    <w:rsid w:val="FDCF680E"/>
    <w:rsid w:val="FDD71FD5"/>
    <w:rsid w:val="FDEDCCBA"/>
    <w:rsid w:val="FDEF7200"/>
    <w:rsid w:val="FDEFE106"/>
    <w:rsid w:val="FDFD870D"/>
    <w:rsid w:val="FE9BF9BB"/>
    <w:rsid w:val="FEAD022E"/>
    <w:rsid w:val="FEFF0DE5"/>
    <w:rsid w:val="FF3721D6"/>
    <w:rsid w:val="FF57D19D"/>
    <w:rsid w:val="FFBED48E"/>
    <w:rsid w:val="FFDBAEA9"/>
    <w:rsid w:val="FFE19873"/>
    <w:rsid w:val="FFF7BDAE"/>
    <w:rsid w:val="FFFC9124"/>
    <w:rsid w:val="FFFE60AD"/>
    <w:rsid w:val="FFFF3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beforeLines="100" w:afterLines="100" w:line="360" w:lineRule="auto"/>
      <w:jc w:val="center"/>
      <w:outlineLvl w:val="0"/>
    </w:pPr>
    <w:rPr>
      <w:b/>
      <w:bCs/>
      <w:kern w:val="44"/>
      <w:sz w:val="44"/>
      <w:szCs w:val="44"/>
    </w:rPr>
  </w:style>
  <w:style w:type="paragraph" w:styleId="3">
    <w:name w:val="heading 3"/>
    <w:basedOn w:val="1"/>
    <w:next w:val="1"/>
    <w:qFormat/>
    <w:uiPriority w:val="0"/>
    <w:pPr>
      <w:keepNext/>
      <w:keepLines/>
      <w:spacing w:line="413" w:lineRule="auto"/>
      <w:outlineLvl w:val="2"/>
    </w:p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spacing w:line="540" w:lineRule="exact"/>
      <w:ind w:firstLine="630" w:firstLineChars="200"/>
    </w:pPr>
    <w:rPr>
      <w:rFonts w:eastAsia="仿宋_GB2312"/>
      <w:kern w:val="0"/>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2782</Words>
  <Characters>2849</Characters>
  <Lines>0</Lines>
  <Paragraphs>0</Paragraphs>
  <TotalTime>0</TotalTime>
  <ScaleCrop>false</ScaleCrop>
  <LinksUpToDate>false</LinksUpToDate>
  <CharactersWithSpaces>2893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2019-12-21T17:27:00Z</dcterms:created>
  <dc:creator>葛爱清</dc:creator>
  <cp:lastModifiedBy>-Jus</cp:lastModifiedBy>
  <cp:lastPrinted>2024-11-05T07:40:00Z</cp:lastPrinted>
  <dcterms:modified xsi:type="dcterms:W3CDTF">2024-11-26T07:38:49Z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B3A6908927415425E4131A67F0AB4728</vt:lpwstr>
  </property>
</Properties>
</file>