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0" w:name="_Toc15025_WPSOffice_Level1"/>
      <w:bookmarkStart w:id="1" w:name="_Toc26046_WPSOffice_Level1"/>
      <w:bookmarkStart w:id="2" w:name="_Toc13446_WPSOffice_Level1"/>
      <w:r>
        <w:rPr>
          <w:rFonts w:hint="eastAsia" w:ascii="方正小标宋简体" w:hAnsi="方正小标宋简体" w:eastAsia="方正小标宋简体" w:cs="方正小标宋简体"/>
          <w:sz w:val="44"/>
          <w:szCs w:val="44"/>
        </w:rPr>
        <w:t>深圳市深汕特别合作区智慧小区</w:t>
      </w:r>
      <w:bookmarkEnd w:id="0"/>
      <w:bookmarkEnd w:id="1"/>
      <w:bookmarkEnd w:id="2"/>
    </w:p>
    <w:p>
      <w:pPr>
        <w:spacing w:line="560" w:lineRule="exact"/>
        <w:jc w:val="center"/>
        <w:outlineLvl w:val="0"/>
        <w:rPr>
          <w:rFonts w:ascii="方正小标宋简体" w:hAnsi="方正小标宋简体" w:eastAsia="方正小标宋简体" w:cs="方正小标宋简体"/>
          <w:sz w:val="44"/>
          <w:szCs w:val="44"/>
        </w:rPr>
      </w:pPr>
      <w:bookmarkStart w:id="3" w:name="_Toc11509_WPSOffice_Level1"/>
      <w:bookmarkStart w:id="4" w:name="_Toc30218_WPSOffice_Level1"/>
      <w:bookmarkStart w:id="5" w:name="_Toc12626_WPSOffice_Level1"/>
      <w:r>
        <w:rPr>
          <w:rFonts w:hint="eastAsia" w:ascii="方正小标宋简体" w:hAnsi="方正小标宋简体" w:eastAsia="方正小标宋简体" w:cs="方正小标宋简体"/>
          <w:sz w:val="44"/>
          <w:szCs w:val="44"/>
        </w:rPr>
        <w:t>评级管理细则</w:t>
      </w:r>
      <w:bookmarkEnd w:id="3"/>
      <w:bookmarkEnd w:id="4"/>
      <w:bookmarkEnd w:id="5"/>
    </w:p>
    <w:p>
      <w:pPr>
        <w:rPr>
          <w:sz w:val="32"/>
          <w:szCs w:val="32"/>
        </w:rPr>
      </w:pPr>
    </w:p>
    <w:p>
      <w:pPr>
        <w:spacing w:line="560" w:lineRule="exact"/>
        <w:jc w:val="center"/>
        <w:outlineLvl w:val="0"/>
        <w:rPr>
          <w:b/>
          <w:bCs/>
          <w:sz w:val="32"/>
          <w:szCs w:val="32"/>
        </w:rPr>
      </w:pPr>
      <w:bookmarkStart w:id="6" w:name="_Toc26361_WPSOffice_Level1"/>
      <w:bookmarkStart w:id="7" w:name="_Toc31780_WPSOffice_Level1"/>
      <w:bookmarkStart w:id="8" w:name="_Toc6960_WPSOffice_Level1"/>
      <w:r>
        <w:rPr>
          <w:rFonts w:hint="eastAsia" w:ascii="黑体" w:hAnsi="黑体" w:eastAsia="黑体" w:cs="黑体"/>
          <w:b/>
          <w:bCs/>
          <w:sz w:val="32"/>
          <w:szCs w:val="32"/>
        </w:rPr>
        <w:t>第一章 总则</w:t>
      </w:r>
      <w:bookmarkEnd w:id="6"/>
      <w:bookmarkEnd w:id="7"/>
      <w:bookmarkEnd w:id="8"/>
    </w:p>
    <w:p>
      <w:pPr>
        <w:spacing w:line="560" w:lineRule="exact"/>
        <w:ind w:firstLine="640"/>
        <w:rPr>
          <w:sz w:val="32"/>
          <w:lang w:val="en-AU"/>
        </w:rPr>
      </w:pPr>
      <w:r>
        <w:rPr>
          <w:rFonts w:hint="eastAsia" w:ascii="黑体" w:hAnsi="黑体" w:eastAsia="黑体" w:cs="黑体"/>
          <w:sz w:val="32"/>
        </w:rPr>
        <w:t xml:space="preserve">第一条 </w:t>
      </w:r>
      <w:r>
        <w:rPr>
          <w:rFonts w:hint="eastAsia"/>
          <w:sz w:val="32"/>
        </w:rPr>
        <w:t>为推动深圳市深汕特别合作区（以下简称“合作区”）智慧小区评级活动，指导合作区智慧小区评级工作，根据</w:t>
      </w:r>
      <w:r>
        <w:rPr>
          <w:rFonts w:hint="eastAsia"/>
          <w:sz w:val="32"/>
          <w:lang w:val="en-AU"/>
        </w:rPr>
        <w:t>《</w:t>
      </w:r>
      <w:r>
        <w:rPr>
          <w:rFonts w:hint="eastAsia"/>
          <w:sz w:val="32"/>
        </w:rPr>
        <w:t>深圳市深汕特别合作区</w:t>
      </w:r>
      <w:r>
        <w:rPr>
          <w:rFonts w:hint="eastAsia"/>
          <w:sz w:val="32"/>
          <w:lang w:val="en-AU"/>
        </w:rPr>
        <w:t>智慧</w:t>
      </w:r>
      <w:r>
        <w:rPr>
          <w:rFonts w:hint="eastAsia"/>
          <w:sz w:val="32"/>
        </w:rPr>
        <w:t>小区</w:t>
      </w:r>
      <w:r>
        <w:rPr>
          <w:rFonts w:hint="eastAsia"/>
          <w:sz w:val="32"/>
          <w:lang w:val="en-AU"/>
        </w:rPr>
        <w:t>建设</w:t>
      </w:r>
      <w:r>
        <w:rPr>
          <w:rFonts w:hint="eastAsia"/>
          <w:sz w:val="32"/>
        </w:rPr>
        <w:t>管理暂行办法</w:t>
      </w:r>
      <w:r>
        <w:rPr>
          <w:rFonts w:hint="eastAsia"/>
          <w:sz w:val="32"/>
          <w:lang w:val="en-AU"/>
        </w:rPr>
        <w:t>》</w:t>
      </w:r>
      <w:r>
        <w:rPr>
          <w:sz w:val="32"/>
        </w:rPr>
        <w:t>，</w:t>
      </w:r>
      <w:r>
        <w:rPr>
          <w:rFonts w:hint="eastAsia"/>
          <w:sz w:val="32"/>
          <w:lang w:val="en-AU"/>
        </w:rPr>
        <w:t>结合</w:t>
      </w:r>
      <w:r>
        <w:rPr>
          <w:rFonts w:hint="eastAsia"/>
          <w:sz w:val="32"/>
        </w:rPr>
        <w:t>工作实际</w:t>
      </w:r>
      <w:r>
        <w:rPr>
          <w:rFonts w:hint="eastAsia"/>
          <w:sz w:val="32"/>
          <w:lang w:val="en-AU"/>
        </w:rPr>
        <w:t>，制定</w:t>
      </w:r>
      <w:r>
        <w:rPr>
          <w:rFonts w:hint="eastAsia"/>
          <w:sz w:val="32"/>
        </w:rPr>
        <w:t>本细则</w:t>
      </w:r>
      <w:r>
        <w:rPr>
          <w:rFonts w:hint="eastAsia"/>
          <w:sz w:val="32"/>
          <w:lang w:val="en-AU"/>
        </w:rPr>
        <w:t>。</w:t>
      </w:r>
    </w:p>
    <w:p>
      <w:pPr>
        <w:spacing w:line="560" w:lineRule="exact"/>
        <w:ind w:firstLine="640"/>
        <w:rPr>
          <w:sz w:val="32"/>
        </w:rPr>
      </w:pPr>
      <w:r>
        <w:rPr>
          <w:rFonts w:hint="eastAsia" w:ascii="黑体" w:hAnsi="黑体" w:eastAsia="黑体" w:cs="黑体"/>
          <w:sz w:val="32"/>
        </w:rPr>
        <w:t xml:space="preserve">第二条 </w:t>
      </w:r>
      <w:r>
        <w:rPr>
          <w:rFonts w:hint="eastAsia"/>
          <w:sz w:val="32"/>
        </w:rPr>
        <w:t>本细则适用于合作区智慧小区的评级活动。</w:t>
      </w:r>
    </w:p>
    <w:p>
      <w:pPr>
        <w:spacing w:line="560" w:lineRule="exact"/>
        <w:ind w:firstLine="640"/>
        <w:rPr>
          <w:rFonts w:ascii="仿宋_GB2312"/>
          <w:sz w:val="32"/>
          <w:szCs w:val="32"/>
        </w:rPr>
      </w:pPr>
      <w:r>
        <w:rPr>
          <w:rFonts w:hint="eastAsia" w:ascii="黑体" w:hAnsi="黑体" w:eastAsia="黑体" w:cs="黑体"/>
          <w:sz w:val="32"/>
        </w:rPr>
        <w:t>第三条</w:t>
      </w:r>
      <w:r>
        <w:rPr>
          <w:rFonts w:ascii="黑体" w:hAnsi="黑体" w:eastAsia="黑体" w:cs="黑体"/>
          <w:sz w:val="32"/>
        </w:rPr>
        <w:t xml:space="preserve"> </w:t>
      </w:r>
      <w:r>
        <w:rPr>
          <w:rFonts w:hint="eastAsia" w:ascii="仿宋_GB2312"/>
          <w:sz w:val="32"/>
          <w:szCs w:val="32"/>
        </w:rPr>
        <w:t>合作区智慧小区评级遵循标准先行、公开透明、分级管理、专家评定的原则。</w:t>
      </w:r>
    </w:p>
    <w:p>
      <w:pPr>
        <w:spacing w:line="560" w:lineRule="exact"/>
        <w:ind w:firstLine="640"/>
        <w:rPr>
          <w:rFonts w:ascii="仿宋_GB2312"/>
          <w:sz w:val="32"/>
          <w:szCs w:val="32"/>
        </w:rPr>
      </w:pPr>
      <w:r>
        <w:rPr>
          <w:rFonts w:hint="eastAsia" w:ascii="黑体" w:hAnsi="黑体" w:eastAsia="黑体" w:cs="黑体"/>
          <w:sz w:val="32"/>
        </w:rPr>
        <w:t xml:space="preserve">第四条 </w:t>
      </w:r>
      <w:r>
        <w:rPr>
          <w:rFonts w:hint="eastAsia" w:ascii="仿宋_GB2312"/>
          <w:sz w:val="32"/>
          <w:szCs w:val="32"/>
        </w:rPr>
        <w:t>区智慧小区建设管理主管部门（以下简称“区智慧小区主管部门”）负责智慧小区评级管理，开展评级标准制定、评级</w:t>
      </w:r>
      <w:r>
        <w:rPr>
          <w:rFonts w:ascii="仿宋_GB2312"/>
          <w:sz w:val="32"/>
          <w:szCs w:val="32"/>
        </w:rPr>
        <w:t>活动</w:t>
      </w:r>
      <w:r>
        <w:rPr>
          <w:rFonts w:hint="eastAsia" w:ascii="仿宋_GB2312"/>
          <w:sz w:val="32"/>
          <w:szCs w:val="32"/>
        </w:rPr>
        <w:t>组织、评级结果公示、投诉异议处理等工作。</w:t>
      </w:r>
    </w:p>
    <w:p>
      <w:pPr>
        <w:spacing w:line="560" w:lineRule="exact"/>
        <w:ind w:firstLine="640"/>
        <w:rPr>
          <w:rFonts w:ascii="仿宋_GB2312"/>
          <w:sz w:val="32"/>
          <w:szCs w:val="32"/>
        </w:rPr>
      </w:pPr>
      <w:r>
        <w:rPr>
          <w:rFonts w:ascii="仿宋_GB2312" w:hAnsi="仿宋_GB2312" w:cs="仿宋_GB2312"/>
          <w:sz w:val="32"/>
        </w:rPr>
        <w:t>深圳市深汕特别合作区智慧城市研究院有限公司</w:t>
      </w:r>
      <w:r>
        <w:rPr>
          <w:rFonts w:hint="eastAsia" w:ascii="仿宋_GB2312" w:hAnsi="仿宋_GB2312" w:cs="仿宋_GB2312"/>
          <w:sz w:val="32"/>
        </w:rPr>
        <w:t>（以下简称“深汕智研院”）</w:t>
      </w:r>
      <w:r>
        <w:rPr>
          <w:rFonts w:ascii="仿宋_GB2312" w:hAnsi="仿宋_GB2312" w:cs="仿宋_GB2312"/>
          <w:sz w:val="32"/>
        </w:rPr>
        <w:t>负责组建智慧小区</w:t>
      </w:r>
      <w:r>
        <w:rPr>
          <w:sz w:val="32"/>
        </w:rPr>
        <w:t>评级专家组</w:t>
      </w:r>
      <w:r>
        <w:rPr>
          <w:rFonts w:hint="eastAsia"/>
          <w:sz w:val="32"/>
        </w:rPr>
        <w:t>（以下简称“专家组”），对智慧小区进行考评打分、出具评级意见。</w:t>
      </w:r>
    </w:p>
    <w:p>
      <w:pPr>
        <w:spacing w:line="560" w:lineRule="exact"/>
        <w:ind w:firstLine="420" w:firstLineChars="200"/>
      </w:pPr>
    </w:p>
    <w:p>
      <w:pPr>
        <w:spacing w:line="560" w:lineRule="exact"/>
        <w:jc w:val="center"/>
        <w:outlineLvl w:val="0"/>
        <w:rPr>
          <w:rFonts w:ascii="黑体" w:hAnsi="黑体" w:eastAsia="黑体" w:cs="黑体"/>
          <w:b/>
          <w:bCs/>
          <w:sz w:val="32"/>
          <w:szCs w:val="32"/>
        </w:rPr>
      </w:pPr>
      <w:bookmarkStart w:id="9" w:name="_Toc19408_WPSOffice_Level1"/>
      <w:bookmarkStart w:id="10" w:name="_Toc19778_WPSOffice_Level1"/>
      <w:bookmarkStart w:id="11" w:name="_Toc20129_WPSOffice_Level1"/>
      <w:r>
        <w:rPr>
          <w:rFonts w:hint="eastAsia" w:ascii="黑体" w:hAnsi="黑体" w:eastAsia="黑体" w:cs="黑体"/>
          <w:b/>
          <w:bCs/>
          <w:sz w:val="32"/>
          <w:szCs w:val="32"/>
        </w:rPr>
        <w:t>第二章 评级组织</w:t>
      </w:r>
      <w:bookmarkEnd w:id="9"/>
      <w:bookmarkEnd w:id="10"/>
      <w:bookmarkEnd w:id="11"/>
    </w:p>
    <w:p>
      <w:pPr>
        <w:spacing w:line="560" w:lineRule="exact"/>
        <w:ind w:firstLine="640"/>
        <w:rPr>
          <w:sz w:val="32"/>
        </w:rPr>
      </w:pP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sz w:val="32"/>
        </w:rPr>
        <w:t>区智慧小区主管部门根据智慧小区建设及运营单位的</w:t>
      </w:r>
      <w:r>
        <w:rPr>
          <w:sz w:val="32"/>
        </w:rPr>
        <w:t>评级</w:t>
      </w:r>
      <w:r>
        <w:rPr>
          <w:rFonts w:hint="eastAsia"/>
          <w:sz w:val="32"/>
        </w:rPr>
        <w:t>申报，</w:t>
      </w:r>
      <w:r>
        <w:rPr>
          <w:rFonts w:hint="eastAsia"/>
          <w:sz w:val="32"/>
          <w:lang w:val="en-AU"/>
        </w:rPr>
        <w:t>组织</w:t>
      </w:r>
      <w:r>
        <w:rPr>
          <w:sz w:val="32"/>
        </w:rPr>
        <w:t>专家组</w:t>
      </w:r>
      <w:r>
        <w:rPr>
          <w:rFonts w:hint="eastAsia"/>
          <w:sz w:val="32"/>
          <w:lang w:val="en-AU"/>
        </w:rPr>
        <w:t>对智慧小区项目进行评</w:t>
      </w:r>
      <w:r>
        <w:rPr>
          <w:rFonts w:hint="eastAsia"/>
          <w:sz w:val="32"/>
        </w:rPr>
        <w:t>级。</w:t>
      </w:r>
    </w:p>
    <w:p>
      <w:pPr>
        <w:spacing w:line="560" w:lineRule="exact"/>
        <w:ind w:firstLine="640"/>
        <w:rPr>
          <w:sz w:val="32"/>
        </w:rPr>
      </w:pPr>
      <w:r>
        <w:rPr>
          <w:rFonts w:hint="eastAsia" w:ascii="黑体" w:hAnsi="黑体" w:eastAsia="黑体" w:cs="黑体"/>
          <w:sz w:val="32"/>
        </w:rPr>
        <w:t xml:space="preserve">第六条 </w:t>
      </w:r>
      <w:r>
        <w:rPr>
          <w:rFonts w:hint="eastAsia"/>
          <w:sz w:val="32"/>
        </w:rPr>
        <w:t>开展智慧小区评级时，深汕智研院提供评级专家，组建专家组。专家组成员一般为不少于3人单数。</w:t>
      </w:r>
    </w:p>
    <w:p>
      <w:pPr>
        <w:spacing w:line="560" w:lineRule="exact"/>
        <w:ind w:firstLine="640"/>
        <w:rPr>
          <w:sz w:val="32"/>
        </w:rPr>
      </w:pPr>
      <w:r>
        <w:rPr>
          <w:rFonts w:hint="eastAsia" w:ascii="黑体" w:hAnsi="黑体" w:eastAsia="黑体" w:cs="黑体"/>
          <w:sz w:val="32"/>
        </w:rPr>
        <w:t xml:space="preserve">第七条 </w:t>
      </w:r>
      <w:r>
        <w:rPr>
          <w:rFonts w:hint="eastAsia"/>
          <w:sz w:val="32"/>
        </w:rPr>
        <w:t>评级专家有下列情形之一的，应当提前主动申请回避：</w:t>
      </w:r>
    </w:p>
    <w:p>
      <w:pPr>
        <w:spacing w:line="560" w:lineRule="exact"/>
        <w:ind w:firstLine="640"/>
        <w:outlineLvl w:val="1"/>
        <w:rPr>
          <w:sz w:val="32"/>
        </w:rPr>
      </w:pPr>
      <w:bookmarkStart w:id="12" w:name="_Toc22640_WPSOffice_Level2"/>
      <w:r>
        <w:rPr>
          <w:rFonts w:hint="eastAsia"/>
          <w:sz w:val="32"/>
        </w:rPr>
        <w:t>（一）与参加评级的智慧小区申报单位有利害关系的；</w:t>
      </w:r>
      <w:bookmarkEnd w:id="12"/>
    </w:p>
    <w:p>
      <w:pPr>
        <w:spacing w:line="560" w:lineRule="exact"/>
        <w:ind w:firstLine="640"/>
        <w:outlineLvl w:val="1"/>
        <w:rPr>
          <w:sz w:val="32"/>
        </w:rPr>
      </w:pPr>
      <w:bookmarkStart w:id="13" w:name="_Toc7772_WPSOffice_Level2"/>
      <w:r>
        <w:rPr>
          <w:rFonts w:hint="eastAsia"/>
          <w:sz w:val="32"/>
        </w:rPr>
        <w:t>（二）曾在参加评级的智慧小区申报单位任职，离职不满两年的；</w:t>
      </w:r>
      <w:bookmarkEnd w:id="13"/>
    </w:p>
    <w:p>
      <w:pPr>
        <w:spacing w:line="560" w:lineRule="exact"/>
        <w:ind w:firstLine="640"/>
        <w:outlineLvl w:val="1"/>
        <w:rPr>
          <w:sz w:val="32"/>
        </w:rPr>
      </w:pPr>
      <w:bookmarkStart w:id="14" w:name="_Toc30543_WPSOffice_Level2"/>
      <w:r>
        <w:rPr>
          <w:rFonts w:hint="eastAsia"/>
          <w:sz w:val="32"/>
        </w:rPr>
        <w:t>（三）其他可能影响评级结果客观公正</w:t>
      </w:r>
      <w:r>
        <w:rPr>
          <w:sz w:val="32"/>
        </w:rPr>
        <w:t>的</w:t>
      </w:r>
      <w:r>
        <w:rPr>
          <w:rFonts w:hint="eastAsia"/>
          <w:sz w:val="32"/>
        </w:rPr>
        <w:t>情形。</w:t>
      </w:r>
      <w:bookmarkEnd w:id="14"/>
    </w:p>
    <w:p>
      <w:pPr>
        <w:spacing w:line="560" w:lineRule="exact"/>
        <w:ind w:firstLine="640"/>
        <w:rPr>
          <w:sz w:val="32"/>
        </w:rPr>
      </w:pPr>
      <w:r>
        <w:rPr>
          <w:rFonts w:hint="eastAsia"/>
          <w:sz w:val="32"/>
        </w:rPr>
        <w:t>深汕智研院应根据</w:t>
      </w:r>
      <w:r>
        <w:rPr>
          <w:sz w:val="32"/>
        </w:rPr>
        <w:t>评级专家的</w:t>
      </w:r>
      <w:r>
        <w:rPr>
          <w:rFonts w:hint="eastAsia"/>
          <w:sz w:val="32"/>
        </w:rPr>
        <w:t>回避申请作出回避的决定。</w:t>
      </w:r>
    </w:p>
    <w:p>
      <w:pPr>
        <w:spacing w:line="560" w:lineRule="exact"/>
        <w:ind w:firstLine="640"/>
        <w:rPr>
          <w:sz w:val="32"/>
        </w:rPr>
      </w:pPr>
      <w:r>
        <w:rPr>
          <w:rFonts w:hint="eastAsia"/>
          <w:sz w:val="32"/>
        </w:rPr>
        <w:t>若评级专家存在以上情形</w:t>
      </w:r>
      <w:r>
        <w:rPr>
          <w:sz w:val="32"/>
        </w:rPr>
        <w:t>但</w:t>
      </w:r>
      <w:r>
        <w:rPr>
          <w:rFonts w:hint="eastAsia"/>
          <w:sz w:val="32"/>
        </w:rPr>
        <w:t>未申请回避的，深汕智研院核实</w:t>
      </w:r>
      <w:r>
        <w:rPr>
          <w:sz w:val="32"/>
        </w:rPr>
        <w:t>相关情况</w:t>
      </w:r>
      <w:r>
        <w:rPr>
          <w:rFonts w:hint="eastAsia"/>
          <w:sz w:val="32"/>
        </w:rPr>
        <w:t>后，有权作出回避的决定。</w:t>
      </w:r>
    </w:p>
    <w:p>
      <w:pPr>
        <w:spacing w:line="560" w:lineRule="exact"/>
        <w:ind w:firstLine="640"/>
        <w:rPr>
          <w:sz w:val="32"/>
        </w:rPr>
      </w:pPr>
    </w:p>
    <w:p>
      <w:pPr>
        <w:spacing w:line="560" w:lineRule="exact"/>
        <w:jc w:val="center"/>
        <w:outlineLvl w:val="0"/>
        <w:rPr>
          <w:rFonts w:ascii="黑体" w:hAnsi="黑体" w:eastAsia="黑体" w:cs="黑体"/>
          <w:b/>
          <w:bCs/>
          <w:sz w:val="32"/>
          <w:szCs w:val="32"/>
        </w:rPr>
      </w:pPr>
      <w:bookmarkStart w:id="15" w:name="_Toc7482_WPSOffice_Level1"/>
      <w:bookmarkStart w:id="16" w:name="_Toc12562_WPSOffice_Level1"/>
      <w:bookmarkStart w:id="17" w:name="_Toc18559_WPSOffice_Level1"/>
      <w:r>
        <w:rPr>
          <w:rFonts w:hint="eastAsia" w:ascii="黑体" w:hAnsi="黑体" w:eastAsia="黑体" w:cs="黑体"/>
          <w:b/>
          <w:bCs/>
          <w:sz w:val="32"/>
          <w:szCs w:val="32"/>
        </w:rPr>
        <w:t>第三章 评级开展</w:t>
      </w:r>
      <w:bookmarkEnd w:id="15"/>
      <w:bookmarkEnd w:id="16"/>
      <w:bookmarkEnd w:id="17"/>
    </w:p>
    <w:p>
      <w:pPr>
        <w:spacing w:line="560" w:lineRule="exact"/>
        <w:ind w:firstLine="640"/>
        <w:rPr>
          <w:sz w:val="32"/>
        </w:rPr>
      </w:pPr>
      <w:r>
        <w:rPr>
          <w:rFonts w:hint="eastAsia" w:ascii="黑体" w:hAnsi="黑体" w:eastAsia="黑体" w:cs="黑体"/>
          <w:sz w:val="32"/>
        </w:rPr>
        <w:t xml:space="preserve">第八条 </w:t>
      </w:r>
      <w:r>
        <w:rPr>
          <w:rFonts w:hint="eastAsia" w:ascii="仿宋_GB2312" w:hAnsi="仿宋_GB2312" w:cs="仿宋_GB2312"/>
          <w:sz w:val="32"/>
        </w:rPr>
        <w:t>区</w:t>
      </w:r>
      <w:r>
        <w:rPr>
          <w:rFonts w:hint="eastAsia" w:ascii="仿宋_GB2312" w:hAnsi="仿宋_GB2312" w:cs="仿宋_GB2312"/>
          <w:sz w:val="32"/>
          <w:szCs w:val="32"/>
        </w:rPr>
        <w:t>智</w:t>
      </w:r>
      <w:r>
        <w:rPr>
          <w:rFonts w:hint="eastAsia" w:ascii="仿宋_GB2312"/>
          <w:sz w:val="32"/>
          <w:szCs w:val="32"/>
        </w:rPr>
        <w:t>慧小区主管部门负责制定和修改合作区</w:t>
      </w:r>
      <w:r>
        <w:rPr>
          <w:rFonts w:hint="eastAsia"/>
          <w:sz w:val="32"/>
        </w:rPr>
        <w:t>智慧小区评级指标体系。</w:t>
      </w:r>
    </w:p>
    <w:p>
      <w:pPr>
        <w:spacing w:line="560" w:lineRule="exact"/>
        <w:ind w:firstLine="640"/>
        <w:rPr>
          <w:rFonts w:ascii="仿宋_GB2312"/>
          <w:sz w:val="32"/>
          <w:szCs w:val="32"/>
        </w:rPr>
      </w:pPr>
      <w:r>
        <w:rPr>
          <w:rFonts w:hint="eastAsia"/>
          <w:sz w:val="32"/>
        </w:rPr>
        <w:t>评级指标</w:t>
      </w:r>
      <w:r>
        <w:rPr>
          <w:rFonts w:hint="eastAsia" w:ascii="仿宋_GB2312"/>
          <w:sz w:val="32"/>
          <w:szCs w:val="32"/>
        </w:rPr>
        <w:t>分为必选项、优选项和加分项三种类型。必选项含有基础设施、公共管理系统、公共服务平台、信息数据库、智能家居系统及</w:t>
      </w:r>
      <w:r>
        <w:rPr>
          <w:rFonts w:hint="eastAsia" w:ascii="仿宋_GB2312"/>
          <w:sz w:val="32"/>
          <w:szCs w:val="32"/>
          <w:highlight w:val="none"/>
        </w:rPr>
        <w:t>联网统管</w:t>
      </w:r>
      <w:r>
        <w:rPr>
          <w:rFonts w:hint="eastAsia" w:ascii="仿宋_GB2312"/>
          <w:sz w:val="32"/>
          <w:szCs w:val="32"/>
        </w:rPr>
        <w:t>六类一级指标，优选项和加分项含有基础设施、公共管理系统、公共服务平台、信息数据库、智能家居系统五类一级指标。各一级指标下设二级指标和三级指标。</w:t>
      </w:r>
    </w:p>
    <w:p>
      <w:pPr>
        <w:spacing w:line="560" w:lineRule="exact"/>
        <w:ind w:firstLine="640"/>
        <w:rPr>
          <w:rFonts w:ascii="仿宋_GB2312"/>
          <w:sz w:val="32"/>
          <w:szCs w:val="32"/>
        </w:rPr>
      </w:pPr>
      <w:r>
        <w:rPr>
          <w:rFonts w:hint="eastAsia" w:ascii="仿宋_GB2312"/>
          <w:sz w:val="32"/>
          <w:szCs w:val="32"/>
        </w:rPr>
        <w:t>（一）智慧小区评级必选项，是</w:t>
      </w:r>
      <w:r>
        <w:rPr>
          <w:rFonts w:ascii="仿宋_GB2312"/>
          <w:sz w:val="32"/>
          <w:szCs w:val="32"/>
        </w:rPr>
        <w:t>智慧小区评级申报</w:t>
      </w:r>
      <w:r>
        <w:rPr>
          <w:rFonts w:hint="eastAsia" w:ascii="仿宋_GB2312"/>
          <w:sz w:val="32"/>
          <w:szCs w:val="32"/>
        </w:rPr>
        <w:t>必须达到的基本技术标准和要求。必选项不计分，作为智慧小区评级的准入门槛，只有完全满足必选项的要求，方可参与智慧小区评级；</w:t>
      </w:r>
    </w:p>
    <w:p>
      <w:pPr>
        <w:spacing w:line="560" w:lineRule="exact"/>
        <w:ind w:firstLine="640"/>
        <w:rPr>
          <w:rFonts w:ascii="仿宋_GB2312"/>
          <w:sz w:val="32"/>
          <w:szCs w:val="32"/>
        </w:rPr>
      </w:pPr>
      <w:r>
        <w:rPr>
          <w:rFonts w:hint="eastAsia" w:ascii="仿宋_GB2312"/>
          <w:sz w:val="32"/>
          <w:szCs w:val="32"/>
        </w:rPr>
        <w:t>（二）智慧小区评级优选项，是较必选项要求更高的技术标准及应用。优选项是体现智慧小区建设及管理水平的主要指标，指标按分值计分，作为智慧小区评级分数的主要评判依据；</w:t>
      </w:r>
    </w:p>
    <w:p>
      <w:pPr>
        <w:spacing w:line="560" w:lineRule="exact"/>
        <w:ind w:firstLine="640"/>
        <w:rPr>
          <w:rFonts w:ascii="仿宋_GB2312"/>
          <w:sz w:val="32"/>
          <w:szCs w:val="32"/>
        </w:rPr>
      </w:pPr>
      <w:r>
        <w:rPr>
          <w:rFonts w:hint="eastAsia" w:ascii="仿宋_GB2312"/>
          <w:sz w:val="32"/>
          <w:szCs w:val="32"/>
        </w:rPr>
        <w:t>（三）智慧小区评级加分项，是较优选项要求更高的技术标准及应用。加分项是体现智慧小区技术创新和智慧引领的附加指标，指标按分值计分，作为智慧小区评级的补充依据。</w:t>
      </w:r>
    </w:p>
    <w:p>
      <w:pPr>
        <w:spacing w:line="560" w:lineRule="exact"/>
        <w:ind w:firstLine="640"/>
        <w:rPr>
          <w:rFonts w:ascii="仿宋_GB2312"/>
          <w:sz w:val="32"/>
          <w:szCs w:val="32"/>
        </w:rPr>
      </w:pPr>
      <w:r>
        <w:rPr>
          <w:rFonts w:hint="eastAsia" w:ascii="黑体" w:hAnsi="黑体" w:eastAsia="黑体" w:cs="黑体"/>
          <w:sz w:val="32"/>
        </w:rPr>
        <w:t>第九条</w:t>
      </w:r>
      <w:r>
        <w:rPr>
          <w:rFonts w:ascii="黑体" w:hAnsi="黑体" w:eastAsia="黑体" w:cs="黑体"/>
          <w:sz w:val="32"/>
        </w:rPr>
        <w:t xml:space="preserve"> </w:t>
      </w:r>
      <w:r>
        <w:rPr>
          <w:rFonts w:hint="eastAsia" w:ascii="仿宋_GB2312"/>
          <w:sz w:val="32"/>
          <w:szCs w:val="32"/>
        </w:rPr>
        <w:t>专家组依据合作区智慧小区评级指标体系开展评级工作。</w:t>
      </w:r>
      <w:r>
        <w:rPr>
          <w:rFonts w:ascii="仿宋_GB2312"/>
          <w:sz w:val="32"/>
          <w:szCs w:val="32"/>
        </w:rPr>
        <w:t>只有智慧小区</w:t>
      </w:r>
      <w:r>
        <w:rPr>
          <w:rFonts w:hint="eastAsia" w:ascii="仿宋_GB2312"/>
          <w:sz w:val="32"/>
          <w:szCs w:val="32"/>
        </w:rPr>
        <w:t>完全符合评级指标内容，方可判定</w:t>
      </w:r>
      <w:r>
        <w:rPr>
          <w:rFonts w:ascii="仿宋_GB2312"/>
          <w:sz w:val="32"/>
          <w:szCs w:val="32"/>
        </w:rPr>
        <w:t>智慧小区</w:t>
      </w:r>
      <w:r>
        <w:rPr>
          <w:rFonts w:hint="eastAsia" w:ascii="仿宋_GB2312"/>
          <w:sz w:val="32"/>
          <w:szCs w:val="32"/>
        </w:rPr>
        <w:t>取得该指标分值。</w:t>
      </w:r>
    </w:p>
    <w:p>
      <w:pPr>
        <w:spacing w:line="560" w:lineRule="exact"/>
        <w:ind w:firstLine="640"/>
        <w:rPr>
          <w:rFonts w:ascii="仿宋_GB2312"/>
          <w:sz w:val="32"/>
          <w:szCs w:val="32"/>
        </w:rPr>
      </w:pPr>
      <w:r>
        <w:rPr>
          <w:rFonts w:hint="eastAsia" w:ascii="黑体" w:hAnsi="黑体" w:eastAsia="黑体" w:cs="黑体"/>
          <w:sz w:val="32"/>
        </w:rPr>
        <w:t xml:space="preserve">第十条 </w:t>
      </w:r>
      <w:r>
        <w:rPr>
          <w:rFonts w:hint="eastAsia" w:ascii="仿宋_GB2312" w:hAnsi="仿宋_GB2312" w:cs="仿宋_GB2312"/>
          <w:sz w:val="32"/>
          <w:szCs w:val="32"/>
        </w:rPr>
        <w:t>智</w:t>
      </w:r>
      <w:r>
        <w:rPr>
          <w:rFonts w:hint="eastAsia" w:ascii="仿宋_GB2312"/>
          <w:sz w:val="32"/>
          <w:szCs w:val="32"/>
        </w:rPr>
        <w:t>慧小区指标</w:t>
      </w:r>
      <w:r>
        <w:rPr>
          <w:rFonts w:ascii="仿宋_GB2312"/>
          <w:sz w:val="32"/>
          <w:szCs w:val="32"/>
        </w:rPr>
        <w:t>构成及分值设置</w:t>
      </w:r>
      <w:r>
        <w:rPr>
          <w:rFonts w:hint="eastAsia" w:ascii="仿宋_GB2312"/>
          <w:sz w:val="32"/>
          <w:szCs w:val="32"/>
        </w:rPr>
        <w:t>由区智慧小区主管部门结合当前行业技术成熟度确定，不定期动态调整并公布。</w:t>
      </w:r>
    </w:p>
    <w:p>
      <w:pPr>
        <w:spacing w:line="560" w:lineRule="exact"/>
        <w:ind w:firstLine="640"/>
        <w:rPr>
          <w:rFonts w:ascii="仿宋_GB2312"/>
          <w:sz w:val="32"/>
          <w:szCs w:val="32"/>
        </w:rPr>
      </w:pPr>
      <w:r>
        <w:rPr>
          <w:rFonts w:hint="eastAsia" w:ascii="黑体" w:hAnsi="黑体" w:eastAsia="黑体" w:cs="黑体"/>
          <w:sz w:val="32"/>
        </w:rPr>
        <w:t xml:space="preserve">第十一条 </w:t>
      </w:r>
      <w:r>
        <w:rPr>
          <w:rFonts w:hint="eastAsia" w:ascii="仿宋_GB2312"/>
          <w:sz w:val="32"/>
          <w:szCs w:val="32"/>
        </w:rPr>
        <w:t>智慧小区指标评定总分值为优选项和加分项得分总和，其中，优选项满分为100分，加分项满分为10分。</w:t>
      </w:r>
    </w:p>
    <w:p>
      <w:pPr>
        <w:spacing w:line="560" w:lineRule="exact"/>
        <w:ind w:firstLine="640"/>
        <w:rPr>
          <w:rFonts w:ascii="仿宋_GB2312"/>
          <w:sz w:val="32"/>
          <w:szCs w:val="32"/>
        </w:rPr>
      </w:pPr>
      <w:r>
        <w:rPr>
          <w:rFonts w:hint="eastAsia" w:ascii="仿宋_GB2312"/>
          <w:sz w:val="32"/>
          <w:szCs w:val="32"/>
        </w:rPr>
        <w:t>（一）优选项得分为优选项各指标得分之和，计算公式为：</w:t>
      </w:r>
    </w:p>
    <w:p>
      <w:pPr>
        <w:spacing w:line="560" w:lineRule="exact"/>
        <w:ind w:firstLine="640"/>
        <w:rPr>
          <w:rFonts w:ascii="仿宋_GB2312"/>
          <w:sz w:val="32"/>
          <w:szCs w:val="32"/>
        </w:rPr>
      </w:pPr>
      <w:r>
        <w:rPr>
          <w:rFonts w:hint="eastAsia" w:ascii="仿宋_GB2312"/>
          <w:sz w:val="32"/>
          <w:szCs w:val="32"/>
        </w:rPr>
        <w:t>优选项得分=基础设施评级得分+公共管理系统评级得分+公共服务平台评级得分+信息数据库评级得分+智能家居系统评级得分。</w:t>
      </w:r>
    </w:p>
    <w:p>
      <w:pPr>
        <w:spacing w:line="560" w:lineRule="exact"/>
        <w:ind w:firstLine="640"/>
        <w:rPr>
          <w:rFonts w:ascii="仿宋_GB2312"/>
          <w:sz w:val="32"/>
          <w:szCs w:val="32"/>
        </w:rPr>
      </w:pPr>
      <w:r>
        <w:rPr>
          <w:rFonts w:hint="eastAsia" w:ascii="仿宋_GB2312"/>
          <w:sz w:val="32"/>
          <w:szCs w:val="32"/>
        </w:rPr>
        <w:t>（二）加分项</w:t>
      </w:r>
      <w:r>
        <w:rPr>
          <w:rFonts w:ascii="仿宋_GB2312"/>
          <w:sz w:val="32"/>
          <w:szCs w:val="32"/>
        </w:rPr>
        <w:t>得分</w:t>
      </w:r>
      <w:r>
        <w:rPr>
          <w:rFonts w:hint="eastAsia" w:ascii="仿宋_GB2312"/>
          <w:sz w:val="32"/>
          <w:szCs w:val="32"/>
        </w:rPr>
        <w:t>为加分项各指标得分之和，总和不大于10分；当大于10分时，实际得分值即为10分。</w:t>
      </w:r>
    </w:p>
    <w:p>
      <w:pPr>
        <w:spacing w:line="560" w:lineRule="exact"/>
        <w:ind w:firstLine="640"/>
        <w:rPr>
          <w:sz w:val="32"/>
          <w:lang w:val="en-AU"/>
        </w:rPr>
      </w:pPr>
      <w:r>
        <w:rPr>
          <w:rFonts w:hint="eastAsia" w:ascii="黑体" w:hAnsi="黑体" w:eastAsia="黑体" w:cs="黑体"/>
          <w:sz w:val="32"/>
          <w:lang w:val="en-AU"/>
        </w:rPr>
        <w:t>第十</w:t>
      </w:r>
      <w:r>
        <w:rPr>
          <w:rFonts w:hint="eastAsia" w:ascii="黑体" w:hAnsi="黑体" w:eastAsia="黑体" w:cs="黑体"/>
          <w:sz w:val="32"/>
        </w:rPr>
        <w:t>二</w:t>
      </w:r>
      <w:r>
        <w:rPr>
          <w:rFonts w:hint="eastAsia" w:ascii="黑体" w:hAnsi="黑体" w:eastAsia="黑体" w:cs="黑体"/>
          <w:sz w:val="32"/>
          <w:lang w:val="en-AU"/>
        </w:rPr>
        <w:t xml:space="preserve">条 </w:t>
      </w:r>
      <w:r>
        <w:rPr>
          <w:rFonts w:hint="eastAsia"/>
          <w:sz w:val="32"/>
          <w:lang w:val="en-AU"/>
        </w:rPr>
        <w:t>智慧小区评</w:t>
      </w:r>
      <w:r>
        <w:rPr>
          <w:rFonts w:hint="eastAsia"/>
          <w:sz w:val="32"/>
        </w:rPr>
        <w:t>级</w:t>
      </w:r>
      <w:r>
        <w:rPr>
          <w:sz w:val="32"/>
        </w:rPr>
        <w:t>活动</w:t>
      </w:r>
      <w:r>
        <w:rPr>
          <w:rFonts w:hint="eastAsia"/>
          <w:sz w:val="32"/>
          <w:lang w:val="en-AU"/>
        </w:rPr>
        <w:t>采取专家组现场</w:t>
      </w:r>
      <w:r>
        <w:rPr>
          <w:rFonts w:hint="eastAsia"/>
          <w:sz w:val="32"/>
        </w:rPr>
        <w:t>考评</w:t>
      </w:r>
      <w:r>
        <w:rPr>
          <w:rFonts w:hint="eastAsia"/>
          <w:sz w:val="32"/>
          <w:lang w:val="en-AU"/>
        </w:rPr>
        <w:t>的形式，包括听取工作汇报、查看材料、系统演示、现场质询、实地检查和抽查数据等内容。</w:t>
      </w:r>
    </w:p>
    <w:p>
      <w:pPr>
        <w:spacing w:line="560" w:lineRule="exact"/>
        <w:ind w:firstLine="640"/>
        <w:rPr>
          <w:rFonts w:ascii="黑体" w:hAnsi="黑体" w:eastAsia="黑体" w:cs="黑体"/>
          <w:sz w:val="32"/>
        </w:rPr>
      </w:pPr>
      <w:r>
        <w:rPr>
          <w:rFonts w:ascii="黑体" w:hAnsi="黑体" w:eastAsia="黑体" w:cs="黑体"/>
          <w:sz w:val="32"/>
          <w:lang w:val="en-AU"/>
        </w:rPr>
        <w:t>第十</w:t>
      </w:r>
      <w:r>
        <w:rPr>
          <w:rFonts w:hint="eastAsia" w:ascii="黑体" w:hAnsi="黑体" w:eastAsia="黑体" w:cs="黑体"/>
          <w:sz w:val="32"/>
        </w:rPr>
        <w:t>三</w:t>
      </w:r>
      <w:r>
        <w:rPr>
          <w:rFonts w:ascii="黑体" w:hAnsi="黑体" w:eastAsia="黑体" w:cs="黑体"/>
          <w:sz w:val="32"/>
          <w:lang w:val="en-AU"/>
        </w:rPr>
        <w:t>条</w:t>
      </w:r>
      <w:r>
        <w:rPr>
          <w:rFonts w:hint="eastAsia" w:ascii="黑体" w:hAnsi="黑体" w:eastAsia="黑体" w:cs="黑体"/>
          <w:sz w:val="32"/>
          <w:lang w:val="en-AU"/>
        </w:rPr>
        <w:t xml:space="preserve"> </w:t>
      </w:r>
      <w:r>
        <w:rPr>
          <w:rFonts w:hint="eastAsia"/>
          <w:sz w:val="32"/>
          <w:lang w:val="en-AU"/>
        </w:rPr>
        <w:t>专家组依据</w:t>
      </w:r>
      <w:r>
        <w:rPr>
          <w:rFonts w:hint="eastAsia"/>
          <w:sz w:val="32"/>
        </w:rPr>
        <w:t>区</w:t>
      </w:r>
      <w:r>
        <w:rPr>
          <w:rFonts w:hint="eastAsia" w:ascii="仿宋_GB2312"/>
          <w:sz w:val="32"/>
          <w:szCs w:val="32"/>
        </w:rPr>
        <w:t>智慧小区评级指标体系逐条对照打分，各专家组成员的平均分为最终评级得分。</w:t>
      </w:r>
    </w:p>
    <w:p>
      <w:pPr>
        <w:spacing w:line="560" w:lineRule="exact"/>
        <w:ind w:firstLine="640"/>
        <w:rPr>
          <w:rFonts w:ascii="仿宋_GB2312"/>
          <w:sz w:val="32"/>
          <w:szCs w:val="32"/>
        </w:rPr>
      </w:pPr>
      <w:r>
        <w:rPr>
          <w:rFonts w:hint="eastAsia" w:ascii="黑体" w:hAnsi="黑体" w:eastAsia="黑体" w:cs="黑体"/>
          <w:sz w:val="32"/>
        </w:rPr>
        <w:t xml:space="preserve">第十四条 </w:t>
      </w:r>
      <w:r>
        <w:rPr>
          <w:rFonts w:hint="eastAsia" w:ascii="仿宋_GB2312"/>
          <w:sz w:val="32"/>
          <w:szCs w:val="32"/>
        </w:rPr>
        <w:t>依据智慧小区指标评价总分值，智慧小区</w:t>
      </w:r>
      <w:r>
        <w:rPr>
          <w:rFonts w:ascii="仿宋_GB2312"/>
          <w:sz w:val="32"/>
          <w:szCs w:val="32"/>
        </w:rPr>
        <w:t>的</w:t>
      </w:r>
      <w:r>
        <w:rPr>
          <w:rFonts w:hint="eastAsia"/>
          <w:sz w:val="32"/>
          <w:lang w:val="en-AU"/>
        </w:rPr>
        <w:t>评</w:t>
      </w:r>
      <w:r>
        <w:rPr>
          <w:rFonts w:hint="eastAsia"/>
          <w:sz w:val="32"/>
        </w:rPr>
        <w:t>级结果</w:t>
      </w:r>
      <w:r>
        <w:rPr>
          <w:rFonts w:hint="eastAsia"/>
          <w:sz w:val="32"/>
          <w:lang w:val="en-AU"/>
        </w:rPr>
        <w:t>分为</w:t>
      </w:r>
      <w:r>
        <w:rPr>
          <w:rFonts w:hint="eastAsia"/>
          <w:sz w:val="32"/>
        </w:rPr>
        <w:t>未通过、基础型智慧小区</w:t>
      </w:r>
      <w:r>
        <w:rPr>
          <w:rFonts w:hint="eastAsia"/>
          <w:sz w:val="32"/>
          <w:lang w:val="en-AU"/>
        </w:rPr>
        <w:t>、</w:t>
      </w:r>
      <w:r>
        <w:rPr>
          <w:rFonts w:hint="eastAsia"/>
          <w:sz w:val="32"/>
        </w:rPr>
        <w:t>高端型智慧小区</w:t>
      </w:r>
      <w:r>
        <w:rPr>
          <w:rFonts w:hint="eastAsia" w:ascii="仿宋_GB2312"/>
          <w:sz w:val="32"/>
          <w:szCs w:val="32"/>
        </w:rPr>
        <w:t>。</w:t>
      </w:r>
    </w:p>
    <w:p>
      <w:pPr>
        <w:spacing w:line="560" w:lineRule="exact"/>
        <w:ind w:firstLine="640"/>
        <w:rPr>
          <w:rFonts w:ascii="仿宋_GB2312"/>
          <w:sz w:val="32"/>
          <w:szCs w:val="32"/>
        </w:rPr>
      </w:pPr>
      <w:r>
        <w:rPr>
          <w:rFonts w:hint="eastAsia" w:ascii="仿宋_GB2312"/>
          <w:sz w:val="32"/>
          <w:szCs w:val="32"/>
        </w:rPr>
        <w:t>（一）智慧小区指标评价总分值低于60分（不含）的，则</w:t>
      </w:r>
      <w:r>
        <w:rPr>
          <w:rFonts w:ascii="仿宋_GB2312"/>
          <w:sz w:val="32"/>
          <w:szCs w:val="32"/>
        </w:rPr>
        <w:t>该</w:t>
      </w:r>
      <w:r>
        <w:rPr>
          <w:rFonts w:hint="eastAsia" w:ascii="仿宋_GB2312"/>
          <w:sz w:val="32"/>
          <w:szCs w:val="32"/>
        </w:rPr>
        <w:t>申报项目不具备智慧小区条件，未通过智慧小区评级；</w:t>
      </w:r>
    </w:p>
    <w:p>
      <w:pPr>
        <w:spacing w:line="560" w:lineRule="exact"/>
        <w:ind w:firstLine="640" w:firstLineChars="200"/>
        <w:rPr>
          <w:rFonts w:ascii="仿宋_GB2312"/>
          <w:sz w:val="32"/>
          <w:szCs w:val="32"/>
        </w:rPr>
      </w:pPr>
      <w:r>
        <w:rPr>
          <w:rFonts w:hint="eastAsia" w:ascii="仿宋_GB2312"/>
          <w:sz w:val="32"/>
          <w:szCs w:val="32"/>
        </w:rPr>
        <w:t>（二）智慧小区指标评价总分值</w:t>
      </w:r>
      <w:r>
        <w:rPr>
          <w:rFonts w:ascii="仿宋_GB2312"/>
          <w:sz w:val="32"/>
          <w:szCs w:val="32"/>
        </w:rPr>
        <w:t>处于</w:t>
      </w:r>
      <w:r>
        <w:rPr>
          <w:rFonts w:hint="eastAsia" w:ascii="仿宋_GB2312"/>
          <w:sz w:val="32"/>
          <w:szCs w:val="32"/>
        </w:rPr>
        <w:t>60分-75分（不含）</w:t>
      </w:r>
      <w:r>
        <w:rPr>
          <w:rFonts w:ascii="仿宋_GB2312"/>
          <w:sz w:val="32"/>
          <w:szCs w:val="32"/>
        </w:rPr>
        <w:t>之间</w:t>
      </w:r>
      <w:r>
        <w:rPr>
          <w:rFonts w:hint="eastAsia" w:ascii="仿宋_GB2312"/>
          <w:sz w:val="32"/>
          <w:szCs w:val="32"/>
        </w:rPr>
        <w:t>的，则</w:t>
      </w:r>
      <w:r>
        <w:rPr>
          <w:rFonts w:ascii="仿宋_GB2312"/>
          <w:sz w:val="32"/>
          <w:szCs w:val="32"/>
        </w:rPr>
        <w:t>该</w:t>
      </w:r>
      <w:r>
        <w:rPr>
          <w:rFonts w:hint="eastAsia" w:ascii="仿宋_GB2312"/>
          <w:sz w:val="32"/>
          <w:szCs w:val="32"/>
        </w:rPr>
        <w:t>智慧小区对应评定基础型智慧小区；</w:t>
      </w:r>
    </w:p>
    <w:p>
      <w:pPr>
        <w:spacing w:line="560" w:lineRule="exact"/>
        <w:ind w:firstLine="640"/>
        <w:rPr>
          <w:rFonts w:ascii="黑体" w:hAnsi="黑体" w:cs="黑体"/>
          <w:sz w:val="32"/>
        </w:rPr>
      </w:pPr>
      <w:r>
        <w:rPr>
          <w:rFonts w:hint="eastAsia" w:ascii="仿宋_GB2312"/>
          <w:sz w:val="32"/>
          <w:szCs w:val="32"/>
        </w:rPr>
        <w:t>（三）智慧小区指标评价总分值达75分以上的，则</w:t>
      </w:r>
      <w:r>
        <w:rPr>
          <w:rFonts w:ascii="仿宋_GB2312"/>
          <w:sz w:val="32"/>
          <w:szCs w:val="32"/>
        </w:rPr>
        <w:t>该</w:t>
      </w:r>
      <w:r>
        <w:rPr>
          <w:rFonts w:hint="eastAsia" w:ascii="仿宋_GB2312"/>
          <w:sz w:val="32"/>
          <w:szCs w:val="32"/>
        </w:rPr>
        <w:t>智慧小区对应评定等级为高端型智慧小区。</w:t>
      </w:r>
    </w:p>
    <w:p>
      <w:pPr>
        <w:spacing w:line="560" w:lineRule="exact"/>
        <w:ind w:firstLine="640"/>
        <w:rPr>
          <w:sz w:val="32"/>
          <w:lang w:val="en-AU"/>
        </w:rPr>
      </w:pPr>
    </w:p>
    <w:p>
      <w:pPr>
        <w:spacing w:line="560" w:lineRule="exact"/>
        <w:jc w:val="center"/>
        <w:outlineLvl w:val="0"/>
        <w:rPr>
          <w:rFonts w:ascii="黑体" w:hAnsi="黑体" w:eastAsia="黑体" w:cs="黑体"/>
          <w:b/>
          <w:bCs/>
          <w:sz w:val="32"/>
          <w:szCs w:val="32"/>
        </w:rPr>
      </w:pPr>
      <w:bookmarkStart w:id="18" w:name="_Toc6968_WPSOffice_Level1"/>
      <w:bookmarkStart w:id="19" w:name="_Toc21994_WPSOffice_Level1"/>
      <w:bookmarkStart w:id="20" w:name="_Toc12951_WPSOffice_Level1"/>
      <w:r>
        <w:rPr>
          <w:rFonts w:hint="eastAsia" w:ascii="黑体" w:hAnsi="黑体" w:eastAsia="黑体" w:cs="黑体"/>
          <w:b/>
          <w:bCs/>
          <w:sz w:val="32"/>
          <w:szCs w:val="32"/>
        </w:rPr>
        <w:t>第四章 附则</w:t>
      </w:r>
      <w:bookmarkEnd w:id="18"/>
      <w:bookmarkEnd w:id="19"/>
      <w:bookmarkEnd w:id="20"/>
    </w:p>
    <w:p>
      <w:pPr>
        <w:spacing w:line="560" w:lineRule="exact"/>
        <w:ind w:firstLine="640"/>
        <w:rPr>
          <w:rFonts w:ascii="黑体" w:hAnsi="黑体" w:eastAsia="黑体" w:cs="黑体"/>
          <w:sz w:val="32"/>
          <w:highlight w:val="yellow"/>
        </w:rPr>
      </w:pPr>
      <w:r>
        <w:rPr>
          <w:rFonts w:hint="eastAsia" w:ascii="黑体" w:hAnsi="黑体" w:eastAsia="黑体" w:cs="黑体"/>
          <w:sz w:val="32"/>
        </w:rPr>
        <w:t xml:space="preserve">第十五条 </w:t>
      </w:r>
      <w:r>
        <w:rPr>
          <w:rFonts w:hint="eastAsia"/>
          <w:sz w:val="32"/>
        </w:rPr>
        <w:t>本细则自发布之日起实施，有效期3年。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rPr>
        <w:t xml:space="preserve">第十六条 </w:t>
      </w:r>
      <w:r>
        <w:rPr>
          <w:rFonts w:hint="eastAsia"/>
          <w:sz w:val="32"/>
        </w:rPr>
        <w:t>本细则由深圳市深汕特别合作区住房建设和水务局负责解释。</w:t>
      </w:r>
    </w:p>
    <w:p>
      <w:pPr>
        <w:rPr>
          <w:rFonts w:ascii="黑体" w:hAnsi="黑体" w:eastAsia="黑体" w:cs="黑体"/>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line="560" w:lineRule="exact"/>
        <w:jc w:val="center"/>
        <w:outlineLvl w:val="0"/>
        <w:rPr>
          <w:rFonts w:ascii="方正小标宋简体" w:hAnsi="方正小标宋简体" w:eastAsia="方正小标宋简体" w:cs="方正小标宋简体"/>
          <w:color w:val="000000"/>
          <w:kern w:val="0"/>
          <w:sz w:val="32"/>
          <w:szCs w:val="32"/>
          <w:lang w:bidi="ar"/>
        </w:rPr>
      </w:pPr>
      <w:bookmarkStart w:id="21" w:name="_Toc28328_WPSOffice_Level1"/>
      <w:bookmarkStart w:id="22" w:name="_Toc13621_WPSOffice_Level1"/>
      <w:bookmarkStart w:id="23" w:name="_Toc13879_WPSOffice_Level1"/>
      <w:r>
        <w:rPr>
          <w:rFonts w:hint="eastAsia" w:ascii="方正小标宋简体" w:hAnsi="方正小标宋简体" w:eastAsia="方正小标宋简体" w:cs="方正小标宋简体"/>
          <w:sz w:val="44"/>
          <w:szCs w:val="44"/>
        </w:rPr>
        <w:t>深圳市深汕特别合作区智慧小区评级指标体系</w:t>
      </w:r>
      <w:bookmarkEnd w:id="21"/>
      <w:bookmarkEnd w:id="22"/>
      <w:bookmarkEnd w:id="23"/>
    </w:p>
    <w:p>
      <w:pPr>
        <w:jc w:val="center"/>
        <w:rPr>
          <w:rFonts w:ascii="方正小标宋简体" w:hAnsi="方正小标宋简体" w:eastAsia="方正小标宋简体" w:cs="方正小标宋简体"/>
          <w:color w:val="000000"/>
          <w:kern w:val="0"/>
          <w:sz w:val="32"/>
          <w:szCs w:val="32"/>
          <w:lang w:bidi="ar"/>
        </w:rPr>
      </w:pPr>
    </w:p>
    <w:p>
      <w:pPr>
        <w:jc w:val="center"/>
        <w:outlineLvl w:val="0"/>
        <w:rPr>
          <w:rFonts w:ascii="黑体" w:hAnsi="黑体" w:eastAsia="黑体" w:cs="黑体"/>
          <w:sz w:val="32"/>
          <w:szCs w:val="32"/>
        </w:rPr>
      </w:pPr>
      <w:bookmarkStart w:id="24" w:name="_Toc19012_WPSOffice_Level1"/>
      <w:bookmarkStart w:id="25" w:name="_Toc1811_WPSOffice_Level1"/>
      <w:bookmarkStart w:id="26" w:name="_Toc2766_WPSOffice_Level1"/>
      <w:r>
        <w:rPr>
          <w:rFonts w:hint="eastAsia" w:ascii="黑体" w:hAnsi="黑体" w:eastAsia="黑体" w:cs="黑体"/>
          <w:color w:val="000000"/>
          <w:kern w:val="0"/>
          <w:sz w:val="32"/>
          <w:szCs w:val="32"/>
          <w:lang w:bidi="ar"/>
        </w:rPr>
        <w:t>深圳市深汕特别合作区智慧小区评级指标体系（必选项）</w:t>
      </w:r>
      <w:bookmarkEnd w:id="24"/>
      <w:bookmarkEnd w:id="25"/>
      <w:bookmarkEnd w:id="26"/>
    </w:p>
    <w:tbl>
      <w:tblPr>
        <w:tblStyle w:val="12"/>
        <w:tblW w:w="13974" w:type="dxa"/>
        <w:tblInd w:w="0" w:type="dxa"/>
        <w:tblLayout w:type="fixed"/>
        <w:tblCellMar>
          <w:top w:w="0" w:type="dxa"/>
          <w:left w:w="0" w:type="dxa"/>
          <w:bottom w:w="0" w:type="dxa"/>
          <w:right w:w="0" w:type="dxa"/>
        </w:tblCellMar>
      </w:tblPr>
      <w:tblGrid>
        <w:gridCol w:w="1330"/>
        <w:gridCol w:w="1540"/>
        <w:gridCol w:w="1314"/>
        <w:gridCol w:w="5061"/>
        <w:gridCol w:w="2897"/>
        <w:gridCol w:w="719"/>
        <w:gridCol w:w="551"/>
        <w:gridCol w:w="562"/>
      </w:tblGrid>
      <w:tr>
        <w:tblPrEx>
          <w:tblCellMar>
            <w:top w:w="0" w:type="dxa"/>
            <w:left w:w="0" w:type="dxa"/>
            <w:bottom w:w="0" w:type="dxa"/>
            <w:right w:w="0" w:type="dxa"/>
          </w:tblCellMar>
        </w:tblPrEx>
        <w:trPr>
          <w:trHeight w:val="816" w:hRule="atLeast"/>
          <w:tblHeader/>
        </w:trPr>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一级指标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二级指标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三级指标</w:t>
            </w: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内容</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细分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评价</w:t>
            </w:r>
            <w:r>
              <w:rPr>
                <w:rFonts w:hint="eastAsia" w:ascii="仿宋_GB2312" w:hAnsi="仿宋_GB2312" w:cs="仿宋_GB2312"/>
                <w:b/>
                <w:bCs/>
                <w:color w:val="000000"/>
                <w:kern w:val="0"/>
                <w:szCs w:val="21"/>
                <w:lang w:bidi="ar"/>
              </w:rPr>
              <w:br w:type="textWrapping"/>
            </w:r>
            <w:r>
              <w:rPr>
                <w:rFonts w:hint="eastAsia" w:ascii="仿宋_GB2312" w:hAnsi="仿宋_GB2312" w:cs="仿宋_GB2312"/>
                <w:b/>
                <w:bCs/>
                <w:color w:val="000000"/>
                <w:kern w:val="0"/>
                <w:szCs w:val="21"/>
                <w:lang w:bidi="ar"/>
              </w:rPr>
              <w:t>类别</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是否符合</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备注</w:t>
            </w:r>
          </w:p>
        </w:tc>
      </w:tr>
      <w:tr>
        <w:tblPrEx>
          <w:tblCellMar>
            <w:top w:w="0" w:type="dxa"/>
            <w:left w:w="0" w:type="dxa"/>
            <w:bottom w:w="0" w:type="dxa"/>
            <w:right w:w="0" w:type="dxa"/>
          </w:tblCellMar>
        </w:tblPrEx>
        <w:trPr>
          <w:trHeight w:val="408" w:hRule="atLeast"/>
        </w:trPr>
        <w:tc>
          <w:tcPr>
            <w:tcW w:w="13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基础设施</w:t>
            </w:r>
          </w:p>
        </w:tc>
        <w:tc>
          <w:tcPr>
            <w:tcW w:w="15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公用基础设施</w:t>
            </w:r>
          </w:p>
        </w:tc>
        <w:tc>
          <w:tcPr>
            <w:tcW w:w="131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智能监控设施</w:t>
            </w:r>
          </w:p>
        </w:tc>
        <w:tc>
          <w:tcPr>
            <w:tcW w:w="5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远程监控设备记录存储</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公共区域记录时长不少于30天。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5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车辆通行记录数据存储周期不少于180天。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视频分辨率</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720P。</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对小区公共区域、单元门出入口、停车场出入口、消防通道、重要周界和小区出入口</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进行监控覆盖。</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能切换系统图像、镜头进行视频监控，显示、记录和回放监控内容，目标显示清晰、</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可识别。</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应确保记录视频和图像的完整性、安全性，存储容量和记录、回放带宽与检索能力满足管理需求。</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小区出入口、停车场出入口安装车牌识别摄像头。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针对小区住宅楼安装高空抛物摄像头。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具有小区监控中心，具备多画面实时视频浏览、录像浏览、录像下载、回放的基础视频监控功能。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监控中心监控屏</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具有电视墙或监控屏。</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基础设施</w:t>
            </w:r>
          </w:p>
        </w:tc>
        <w:tc>
          <w:tcPr>
            <w:tcW w:w="154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公用基础设施</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智能门禁设施</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小区出入口、楼栋单元门安装智能门禁设施。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门禁准入限制</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支持通过刷卡方式有效区分</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区域通行限制。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智能消防设施</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应在小区楼栋各楼层安装感温火灾探测报警器或感烟火灾探测报警器。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应在停车区域、机房区域、楼层等重点区域布设消防设备设施，核心区域覆盖。</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智能消防设施应避免重复上报告警数据。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给排水感知</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控制终端</w:t>
            </w: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给水系统感知控制终端</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支持水泵控制及状态显示。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污水系统感知控制终端</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支持水泵控制及状态显示。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机房</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弱电机房关键设备具备不间断电源且连续供电不低于2小时。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523"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机房</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电源进线及不间断电源应分别设置电源浪涌保护器。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机房内所有强电、弱电设备独立接地。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消控室应具备独立空调系统。</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机房具备通风系统。</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机房温度及湿度满足设备运行要求。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90"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供配电监测</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终端</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具备小区供电系统状态监视和故障报警功能。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备用与应急电源安排人员定期检测。</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智能终端设施</w:t>
            </w:r>
          </w:p>
        </w:tc>
        <w:tc>
          <w:tcPr>
            <w:tcW w:w="13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消防广播设施</w:t>
            </w:r>
          </w:p>
        </w:tc>
        <w:tc>
          <w:tcPr>
            <w:tcW w:w="7958"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可实现消防紧急广播等功能。</w:t>
            </w:r>
          </w:p>
        </w:tc>
        <w:tc>
          <w:tcPr>
            <w:tcW w:w="71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基础设施</w:t>
            </w:r>
          </w:p>
        </w:tc>
        <w:tc>
          <w:tcPr>
            <w:tcW w:w="1540"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智能终端设施</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充电桩</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在特定场地或特定车位进行布设。</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全天候供电。</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通信基础设施</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小区预留公共交接间，室外预埋地下通信管道，室内公共区域至住户多媒体信息箱预敷配线管网，设置电信间和设备间，预布放配线光缆及入户线光缆。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通过多媒体信息箱配置的信息网络进户线接入点接入家庭，多媒体信息箱预留足够空间安装有源设备，并配置电源接口。</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光纤宽带满足</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光纤到户，入户接入带宽100Mbps-200Mbps。</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小区移动通信信号</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小区移动信号终端实现小区公共区域及住户家中的网络覆盖，保障住户与外界通信的质量，提供稳定优质服务。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支持不少于三家运营商接入。</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有线电视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通过多媒体信息箱配置的有线电视进户线接入点接入家庭。</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综合布线</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实现公共网络综合布线预敷，能进行语音、数据、图像和多媒体业务信息传输。</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921" w:hRule="atLeast"/>
        </w:trPr>
        <w:tc>
          <w:tcPr>
            <w:tcW w:w="1330"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小区治理</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消防隐患治理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支持通过智能设备监测、人工上报等方式，对小区火灾、消火门打开、消火栓异常、消防通道堵塞、电瓶车进楼消防隐患事件进行采集。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高空抛物治理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支持对高空抛物摄像头进行管理。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支持告警联动功能。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支持对高空抛物告警追溯检索。</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支持对高空抛物告警进行基本的统计分析。</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w:t>
            </w:r>
          </w:p>
        </w:tc>
        <w:tc>
          <w:tcPr>
            <w:tcW w:w="1540" w:type="dxa"/>
            <w:vMerge w:val="restart"/>
            <w:tcBorders>
              <w:top w:val="single" w:color="auto" w:sz="4" w:space="0"/>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小区管理</w:t>
            </w:r>
          </w:p>
        </w:tc>
        <w:tc>
          <w:tcPr>
            <w:tcW w:w="1314"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车辆管理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对车辆基本信息管理，并支持对车辆信息的增加、删除、修改、查询。</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314"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应具备车辆、车牌自动识别和刷卡识别能力。</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314"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可以通过手机终端（微信、支付宝）在线支付或充值实现车费缴付功能。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31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公共设施管理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支持通过智能设备监测、人工上报等方式，对小区基础公共设施隐患事件进行采集、</w:t>
            </w:r>
          </w:p>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管理。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31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公共设施管理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支持对基础设施隐患事件进行统计分析。</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31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信息发布管理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小区信息可通过信息发布屏、广播系统发布。</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楼宇对讲管理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支持对讲功能。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访客管理</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对人员出入记录进行查询以及统计分析。</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公共服务平台</w:t>
            </w:r>
          </w:p>
        </w:tc>
        <w:tc>
          <w:tcPr>
            <w:tcW w:w="1540" w:type="dxa"/>
            <w:vMerge w:val="restart"/>
            <w:tcBorders>
              <w:top w:val="single" w:color="000000"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物业服务</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政务服务</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具备小区在线投诉与建议功能。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具备查看投诉与建议记录、进度、反馈功能。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物业管理人员可在线处理投诉与建议。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维修服务</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具备线上报事报修功能。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信息数据库</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szCs w:val="21"/>
              </w:rPr>
              <w:t>业主信息</w:t>
            </w:r>
          </w:p>
        </w:tc>
        <w:tc>
          <w:tcPr>
            <w:tcW w:w="1314"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居民信息</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具备常住人口信息。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房屋信息</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具备房屋基本信息。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机动车信息</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具备机动车基本信息。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szCs w:val="21"/>
              </w:rPr>
              <w:t>小区信息</w:t>
            </w:r>
          </w:p>
        </w:tc>
        <w:tc>
          <w:tcPr>
            <w:tcW w:w="1314"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建筑信息</w:t>
            </w:r>
          </w:p>
        </w:tc>
        <w:tc>
          <w:tcPr>
            <w:tcW w:w="7958"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具备车主基本信息。</w:t>
            </w:r>
          </w:p>
        </w:tc>
        <w:tc>
          <w:tcPr>
            <w:tcW w:w="71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hint="eastAsia" w:ascii="仿宋_GB2312" w:hAnsi="仿宋_GB2312" w:cs="仿宋_GB2312"/>
                <w:color w:val="000000"/>
                <w:kern w:val="0"/>
                <w:szCs w:val="21"/>
                <w:lang w:bidi="ar"/>
              </w:rPr>
              <w:t>信息数据库</w:t>
            </w:r>
          </w:p>
        </w:tc>
        <w:tc>
          <w:tcPr>
            <w:tcW w:w="154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ascii="仿宋_GB2312" w:hAnsi="仿宋_GB2312" w:cs="仿宋_GB2312"/>
                <w:color w:val="000000"/>
                <w:szCs w:val="21"/>
              </w:rPr>
              <w:t>小区信息</w:t>
            </w:r>
          </w:p>
        </w:tc>
        <w:tc>
          <w:tcPr>
            <w:tcW w:w="1314"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建筑信息</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具备建筑基本信息。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物业信息</w:t>
            </w: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具备房主基本信息。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9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具备小区物业基本信息。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设备设施信息</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具备小区设备设施基本信息。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应标识数据入库时间和数据来源信息，并及时对数据进行更新。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szCs w:val="21"/>
              </w:rPr>
            </w:pPr>
            <w:r>
              <w:rPr>
                <w:rFonts w:ascii="仿宋_GB2312" w:hAnsi="仿宋_GB2312" w:cs="仿宋_GB2312"/>
                <w:color w:val="000000"/>
                <w:kern w:val="0"/>
                <w:szCs w:val="21"/>
                <w:lang w:bidi="ar"/>
              </w:rPr>
              <w:t>联网统管</w:t>
            </w:r>
          </w:p>
        </w:tc>
        <w:tc>
          <w:tcPr>
            <w:tcW w:w="154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平台集成整合</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功能整合</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构建一体集成的运行监管平台</w:t>
            </w:r>
            <w:r>
              <w:rPr>
                <w:rFonts w:hint="eastAsia" w:ascii="仿宋_GB2312" w:hAnsi="仿宋_GB2312" w:cs="仿宋_GB2312"/>
                <w:color w:val="000000"/>
                <w:kern w:val="0"/>
                <w:szCs w:val="21"/>
                <w:lang w:bidi="ar"/>
              </w:rPr>
              <w:t>，实现业务协同。</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kern w:val="0"/>
                <w:szCs w:val="21"/>
                <w:lang w:bidi="ar"/>
              </w:rPr>
            </w:pPr>
          </w:p>
        </w:tc>
        <w:tc>
          <w:tcPr>
            <w:tcW w:w="13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信息整合</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构建统一管理的运行监管数据库</w:t>
            </w:r>
            <w:r>
              <w:rPr>
                <w:rFonts w:hint="eastAsia" w:ascii="仿宋_GB2312" w:hAnsi="仿宋_GB2312" w:cs="仿宋_GB2312"/>
                <w:color w:val="000000"/>
                <w:kern w:val="0"/>
                <w:szCs w:val="21"/>
                <w:lang w:bidi="ar"/>
              </w:rPr>
              <w:t>，实现信息无缝共享。</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3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仿宋_GB2312" w:hAnsi="仿宋_GB2312" w:cs="仿宋_GB2312"/>
                <w:color w:val="000000"/>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数据对接</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数据上传</w:t>
            </w:r>
          </w:p>
        </w:tc>
        <w:tc>
          <w:tcPr>
            <w:tcW w:w="7958"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ascii="仿宋_GB2312" w:hAnsi="仿宋_GB2312" w:cs="仿宋_GB2312"/>
                <w:color w:val="000000"/>
                <w:kern w:val="0"/>
                <w:szCs w:val="21"/>
                <w:lang w:bidi="ar"/>
              </w:rPr>
              <w:t>小区数据按要求汇聚至区多维空间地理信息平台</w:t>
            </w:r>
            <w:r>
              <w:rPr>
                <w:rFonts w:hint="eastAsia" w:ascii="仿宋_GB2312" w:hAnsi="仿宋_GB2312" w:cs="仿宋_GB2312"/>
                <w:color w:val="000000"/>
                <w:kern w:val="0"/>
                <w:szCs w:val="21"/>
                <w:lang w:bidi="ar"/>
              </w:rPr>
              <w:t>，</w:t>
            </w:r>
            <w:r>
              <w:rPr>
                <w:rFonts w:ascii="仿宋_GB2312" w:hAnsi="仿宋_GB2312" w:cs="仿宋_GB2312"/>
                <w:color w:val="000000"/>
                <w:kern w:val="0"/>
                <w:szCs w:val="21"/>
                <w:lang w:bidi="ar"/>
              </w:rPr>
              <w:t>实现全区统管</w:t>
            </w:r>
            <w:r>
              <w:rPr>
                <w:rFonts w:hint="eastAsia" w:ascii="仿宋_GB2312" w:hAnsi="仿宋_GB2312" w:cs="仿宋_GB2312"/>
                <w:color w:val="000000"/>
                <w:kern w:val="0"/>
                <w:szCs w:val="21"/>
                <w:lang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必选项</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bl>
    <w:p>
      <w:pPr>
        <w:rPr>
          <w:rFonts w:ascii="仿宋_GB2312" w:hAnsi="仿宋_GB2312" w:cs="仿宋_GB2312"/>
          <w:sz w:val="24"/>
        </w:rPr>
      </w:pPr>
    </w:p>
    <w:p>
      <w:pPr>
        <w:rPr>
          <w:rFonts w:ascii="仿宋_GB2312" w:hAnsi="仿宋_GB2312" w:cs="仿宋_GB2312"/>
          <w:sz w:val="24"/>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Pr>
        <w:jc w:val="center"/>
        <w:outlineLvl w:val="0"/>
        <w:rPr>
          <w:rFonts w:ascii="黑体" w:hAnsi="黑体" w:eastAsia="黑体" w:cs="黑体"/>
          <w:color w:val="000000"/>
          <w:kern w:val="0"/>
          <w:sz w:val="32"/>
          <w:szCs w:val="32"/>
          <w:lang w:bidi="ar"/>
        </w:rPr>
      </w:pPr>
      <w:bookmarkStart w:id="27" w:name="_Toc25831_WPSOffice_Level1"/>
      <w:bookmarkStart w:id="28" w:name="_Toc13111_WPSOffice_Level1"/>
      <w:bookmarkStart w:id="29" w:name="_Toc22729_WPSOffice_Level1"/>
      <w:r>
        <w:rPr>
          <w:rFonts w:hint="eastAsia" w:ascii="黑体" w:hAnsi="黑体" w:eastAsia="黑体" w:cs="黑体"/>
          <w:color w:val="000000"/>
          <w:kern w:val="0"/>
          <w:sz w:val="32"/>
          <w:szCs w:val="32"/>
          <w:lang w:bidi="ar"/>
        </w:rPr>
        <w:t>深圳市深汕特别合作区智慧小区评级指标体系（优选项）</w:t>
      </w:r>
      <w:bookmarkEnd w:id="27"/>
      <w:bookmarkEnd w:id="28"/>
      <w:bookmarkEnd w:id="29"/>
    </w:p>
    <w:p>
      <w:pPr>
        <w:jc w:val="center"/>
        <w:outlineLvl w:val="0"/>
        <w:rPr>
          <w:rFonts w:ascii="黑体" w:hAnsi="黑体" w:eastAsia="黑体" w:cs="黑体"/>
          <w:color w:val="000000"/>
          <w:kern w:val="0"/>
          <w:sz w:val="32"/>
          <w:szCs w:val="32"/>
          <w:lang w:bidi="ar"/>
        </w:rPr>
      </w:pPr>
    </w:p>
    <w:tbl>
      <w:tblPr>
        <w:tblStyle w:val="12"/>
        <w:tblW w:w="13974" w:type="dxa"/>
        <w:tblInd w:w="0" w:type="dxa"/>
        <w:tblLayout w:type="fixed"/>
        <w:tblCellMar>
          <w:top w:w="0" w:type="dxa"/>
          <w:left w:w="0" w:type="dxa"/>
          <w:bottom w:w="0" w:type="dxa"/>
          <w:right w:w="0" w:type="dxa"/>
        </w:tblCellMar>
      </w:tblPr>
      <w:tblGrid>
        <w:gridCol w:w="1445"/>
        <w:gridCol w:w="1091"/>
        <w:gridCol w:w="1482"/>
        <w:gridCol w:w="4829"/>
        <w:gridCol w:w="2928"/>
        <w:gridCol w:w="716"/>
        <w:gridCol w:w="431"/>
        <w:gridCol w:w="526"/>
        <w:gridCol w:w="526"/>
      </w:tblGrid>
      <w:tr>
        <w:tblPrEx>
          <w:tblCellMar>
            <w:top w:w="0" w:type="dxa"/>
            <w:left w:w="0" w:type="dxa"/>
            <w:bottom w:w="0" w:type="dxa"/>
            <w:right w:w="0" w:type="dxa"/>
          </w:tblCellMar>
        </w:tblPrEx>
        <w:trPr>
          <w:trHeight w:val="816" w:hRule="atLeast"/>
          <w:tblHeader/>
        </w:trPr>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一级指标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二级指标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三级指标</w:t>
            </w:r>
          </w:p>
        </w:tc>
        <w:tc>
          <w:tcPr>
            <w:tcW w:w="4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内容</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细分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评价</w:t>
            </w:r>
            <w:r>
              <w:rPr>
                <w:rFonts w:hint="eastAsia" w:ascii="仿宋_GB2312" w:hAnsi="仿宋_GB2312" w:cs="仿宋_GB2312"/>
                <w:b/>
                <w:bCs/>
                <w:color w:val="000000"/>
                <w:kern w:val="0"/>
                <w:szCs w:val="21"/>
                <w:lang w:bidi="ar"/>
              </w:rPr>
              <w:br w:type="textWrapping"/>
            </w:r>
            <w:r>
              <w:rPr>
                <w:rFonts w:hint="eastAsia" w:ascii="仿宋_GB2312" w:hAnsi="仿宋_GB2312" w:cs="仿宋_GB2312"/>
                <w:b/>
                <w:bCs/>
                <w:color w:val="000000"/>
                <w:kern w:val="0"/>
                <w:szCs w:val="21"/>
                <w:lang w:bidi="ar"/>
              </w:rPr>
              <w:t>类别</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单项分值</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得分</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备注</w:t>
            </w:r>
          </w:p>
        </w:tc>
      </w:tr>
      <w:tr>
        <w:tblPrEx>
          <w:tblCellMar>
            <w:top w:w="0" w:type="dxa"/>
            <w:left w:w="0" w:type="dxa"/>
            <w:bottom w:w="0" w:type="dxa"/>
            <w:right w:w="0" w:type="dxa"/>
          </w:tblCellMar>
        </w:tblPrEx>
        <w:trPr>
          <w:trHeight w:val="408" w:hRule="atLeast"/>
        </w:trPr>
        <w:tc>
          <w:tcPr>
            <w:tcW w:w="144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基础设施</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0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公用基础</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(20分)</w:t>
            </w: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智能监控设施</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(4分)</w:t>
            </w:r>
          </w:p>
        </w:tc>
        <w:tc>
          <w:tcPr>
            <w:tcW w:w="4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视频分辨率</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1080P及以上。</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小区出入口、单元门出入口监控设施</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具备人脸抓拍识别能力。</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具备防疫防控能力，支持未带口罩检测，支持自动报警提示。</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支持人流统计功能、人群聚集报警。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支持移动侦测报警。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具备周界入侵报警。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检测设备间及屋顶层监控外来人员闯入。</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电子围栏设施(2分)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电子围栏具备威慑、阻挡、报警三重效果，具信息记录功能。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电子围栏终端能上报警报信息，配套软件能实时远程监控设备报警情况。</w:t>
            </w:r>
          </w:p>
        </w:tc>
        <w:tc>
          <w:tcPr>
            <w:tcW w:w="7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1464" w:hRule="atLeast"/>
        </w:trPr>
        <w:tc>
          <w:tcPr>
            <w:tcW w:w="1445"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电子围栏设备安装无盲区、无死角。</w:t>
            </w:r>
          </w:p>
        </w:tc>
        <w:tc>
          <w:tcPr>
            <w:tcW w:w="71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1091" w:hRule="atLeast"/>
        </w:trPr>
        <w:tc>
          <w:tcPr>
            <w:tcW w:w="144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widowControl w:val="0"/>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基础设施</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09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widowControl w:val="0"/>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公用基础</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(20分)</w:t>
            </w:r>
          </w:p>
        </w:tc>
        <w:tc>
          <w:tcPr>
            <w:tcW w:w="14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紧急报警设施(2分)</w:t>
            </w:r>
          </w:p>
        </w:tc>
        <w:tc>
          <w:tcPr>
            <w:tcW w:w="775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小区公共区域特定位置设置紧急求助设施，可一键呼叫物管中心或监控中心的紧急</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通话装置。</w:t>
            </w:r>
          </w:p>
        </w:tc>
        <w:tc>
          <w:tcPr>
            <w:tcW w:w="7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2.0 </w:t>
            </w: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智能门禁设施(2分)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与业主家庭端具备可视对讲功能。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与消防报警系统联动，出现消防报警时，单元门自动开启。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单元门强开、超时未关等异常状态报警。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门禁准入限制</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支持通过刷卡、二维码、指纹</w:t>
            </w:r>
          </w:p>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识别、面部识别其中两种方式</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有效区分区域通行限制。</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支持通过刷卡、二维码、指纹</w:t>
            </w:r>
          </w:p>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识别、面部识别其中两种以上</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方式有效区分区域通行限制。</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智能消防设施(4分)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居民房屋内安装感温火灾探测报警器或感烟火灾探测报警器。</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居民房屋内安装可燃气探测报警器。</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智能监测设备应支持NB-IoT等低功耗广域网通信技术传输告警信息。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0.6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建立消防联动功能、并可提供面向第三方系统的标准化数据共享接口，同步设备信息和告警信息。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消防通道占用监测、及时告警功能。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基础设施</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09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公用基础</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(20分)</w:t>
            </w:r>
          </w:p>
        </w:tc>
        <w:tc>
          <w:tcPr>
            <w:tcW w:w="1482"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智能消防设施(4分)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消火门异常开启、消火栓异常状态检测、及时告警功能。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电动车进入楼栋或进入电梯情况监测、及时告警功能。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给排水感知</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控制终端(2分)</w:t>
            </w:r>
          </w:p>
        </w:tc>
        <w:tc>
          <w:tcPr>
            <w:tcW w:w="4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给水系统感知控制终端</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支持水箱储量监测及报警。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r>
              <w:rPr>
                <w:rFonts w:hint="eastAsia" w:ascii="仿宋_GB2312" w:hAnsi="仿宋_GB2312" w:cs="仿宋_GB2312"/>
                <w:color w:val="000000"/>
                <w:kern w:val="0"/>
                <w:szCs w:val="21"/>
                <w:lang w:bidi="ar"/>
              </w:rPr>
              <w:t>给水系统感知控制终端</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支持水泵故障报警。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支持二次供水水质监测，浊度、氯含量、pH、导电率、色度等</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水质参数的在线监测及报警。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污水系统感知控制终端</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支持水泵故障报警。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支持污水集水井、中水处理池监视，液位监视、监测及报警。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机房(2分)</w:t>
            </w:r>
          </w:p>
        </w:tc>
        <w:tc>
          <w:tcPr>
            <w:tcW w:w="4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小区内各机电设备</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具备可远程监控运行状态功能。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r>
              <w:rPr>
                <w:rFonts w:hint="eastAsia" w:ascii="仿宋_GB2312" w:hAnsi="仿宋_GB2312" w:cs="仿宋_GB2312"/>
                <w:color w:val="000000"/>
                <w:kern w:val="0"/>
                <w:szCs w:val="21"/>
                <w:lang w:bidi="ar"/>
              </w:rPr>
              <w:t>小区内各机电设备</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具备远程数据信息采集功能。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具备远程监测建筑能耗设施。</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供配电监测</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终端(2分)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具备备用机应急电源的手动或自动的状态、电压、电流及频率的监测功能。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具备供电电压、电流、频率及功率因数计量与监测、电能计量、变压器温度监测和</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超温报警功能。</w:t>
            </w:r>
          </w:p>
        </w:tc>
        <w:tc>
          <w:tcPr>
            <w:tcW w:w="71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1092" w:hRule="atLeast"/>
        </w:trPr>
        <w:tc>
          <w:tcPr>
            <w:tcW w:w="144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基础设施</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0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智能终端</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(15分)</w:t>
            </w: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智能路灯</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主要的公共区域、道路布置多功能智能灯杆。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支持对灯具故障、终端故障、线缆故障进行监测，监测发现异常产生告警。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具备小区照明开关控制、开关、模式等按时间程序或人为控制功能。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应提供面向第三方系统的标准化数据共享接口，同步设备信息和提示信息。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智能电梯</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支持通过物联网技术对电梯运行故障状态进行智能检测，发现异常产生告警。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建筑能耗管理设施（1分）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具备远程检测小区内的水、电、气表等数据采集能力。</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0.6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水、电、气等计量数据实时共享交换能力。</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计量设备采集网关接入认证和标识解析能力。</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消防广播设施（1分）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小区物业管理人员可以通过手机APP远程监管和控制此设施。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共享快递柜</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具备快递转接功能，可通过APP或公众号实现接受通知、查询、寄件的功能。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可通过人机交互屏实现取件、寄件功能。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具备快递货箱异常开启告警功能。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具备长期未取件自动提醒功能。</w:t>
            </w:r>
          </w:p>
        </w:tc>
        <w:tc>
          <w:tcPr>
            <w:tcW w:w="71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基础设施</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09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智能终端</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(15分)</w:t>
            </w:r>
          </w:p>
        </w:tc>
        <w:tc>
          <w:tcPr>
            <w:tcW w:w="1482"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自助公共书柜（2分）</w:t>
            </w:r>
          </w:p>
        </w:tc>
        <w:tc>
          <w:tcPr>
            <w:tcW w:w="775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可通过人机交互屏实现自助借阅书籍、书籍归还、售卖书籍的功能。</w:t>
            </w:r>
          </w:p>
        </w:tc>
        <w:tc>
          <w:tcPr>
            <w:tcW w:w="7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具备移动端书籍信息查询、借阅记录功能。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0.6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具备移动端预约、扫码借阅及购买书籍功能。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具备逾期催还、逾期计费功能。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自助便利店</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（购物柜）</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具备面部识别、二维码扫描方式进出（开启）功能。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具备移动端自主结算功能。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具备支付账户信息与使用信息匹配核对功能。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具备刷脸购物支付功能。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对寄售物品存量信息感知与反馈、补货提醒功能。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摄像头全面覆盖。</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自助医疗小站（3分）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配置小区医疗小站。</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具备测量血氧、血压、体脂、心率、体重的基本体检设施。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信息发布屏</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小区特定位置具有信息发布屏，可以实时联动管理平台并发布实时信息。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智能垃圾桶</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支持感应式触发桶盖自动打开。</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支持语音提示及夜间灯光感应。</w:t>
            </w:r>
          </w:p>
        </w:tc>
        <w:tc>
          <w:tcPr>
            <w:tcW w:w="71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基础设施</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09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智能终端</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(15分)</w:t>
            </w:r>
          </w:p>
        </w:tc>
        <w:tc>
          <w:tcPr>
            <w:tcW w:w="14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充电桩（0.5分）</w:t>
            </w:r>
          </w:p>
        </w:tc>
        <w:tc>
          <w:tcPr>
            <w:tcW w:w="775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具备智能化计量装置。</w:t>
            </w:r>
          </w:p>
        </w:tc>
        <w:tc>
          <w:tcPr>
            <w:tcW w:w="7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通信基础</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(10分)</w:t>
            </w: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WiFi终端</w:t>
            </w: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（2分))</w:t>
            </w: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小区公共区域无线网络覆盖范围实现</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覆盖度50%。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覆盖度100%。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无线网络终端采用WiFi6无线网络技术。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光纤(2分)</w:t>
            </w: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光纤宽带满足</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光纤到户，入户接入带宽200Mbps-500Mbps。</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光纤到户，入户接入带宽500Mbps及以上。</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2.0 </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小区移动通信信号(1分)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至少4G全面覆盖小区电梯和楼梯间。</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至少4G全面覆盖小区停车场。</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5G通信信号</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(2分)</w:t>
            </w: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实现5G信号</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小区区域50%覆盖。</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小区区域全覆盖。</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2.0 </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684"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低功耗广域网(2分)</w:t>
            </w:r>
          </w:p>
        </w:tc>
        <w:tc>
          <w:tcPr>
            <w:tcW w:w="7757"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具备低功耗广域网传输设施。</w:t>
            </w:r>
          </w:p>
        </w:tc>
        <w:tc>
          <w:tcPr>
            <w:tcW w:w="7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2.0 </w:t>
            </w: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980" w:hRule="atLeast"/>
        </w:trPr>
        <w:tc>
          <w:tcPr>
            <w:tcW w:w="144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综合布线(1分)</w:t>
            </w:r>
          </w:p>
        </w:tc>
        <w:tc>
          <w:tcPr>
            <w:tcW w:w="775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支持为多家电信业务经营者提供通信与信息服务的需求，保证电信业务在小区内的</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接入、开通和使用。</w:t>
            </w:r>
          </w:p>
        </w:tc>
        <w:tc>
          <w:tcPr>
            <w:tcW w:w="7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11" w:hRule="atLeast"/>
        </w:trPr>
        <w:tc>
          <w:tcPr>
            <w:tcW w:w="144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公共管理系统（30分）</w:t>
            </w:r>
          </w:p>
        </w:tc>
        <w:tc>
          <w:tcPr>
            <w:tcW w:w="109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小区治理</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（6分）</w:t>
            </w:r>
          </w:p>
        </w:tc>
        <w:tc>
          <w:tcPr>
            <w:tcW w:w="148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消防隐患治理（3分）</w:t>
            </w:r>
          </w:p>
        </w:tc>
        <w:tc>
          <w:tcPr>
            <w:tcW w:w="7757" w:type="dxa"/>
            <w:gridSpan w:val="2"/>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支持对消防类传感设备进行管理。</w:t>
            </w:r>
          </w:p>
        </w:tc>
        <w:tc>
          <w:tcPr>
            <w:tcW w:w="7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672"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支持基于BIM或GIS地图对消防隐患智能监测设备进行统一管理，并支持查看设备</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详情。</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支持对消防隐患事件基于BIM或GIS地图进行实时展示，并查看事件详情。</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支持基本的告警事件联动功能，如告警联动视频。</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支持将事件通过移动端推送给相关处置人员。</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支持对消防隐患事件追溯检索。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支持对消防隐患告警进行统计分析。</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0.1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高空抛物治理（1分）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支持基于BIM或GIS地图对高空抛物监测告警进行实时展示，并可查看告警详情。</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支持对高空抛物告警进行统计分析。</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386"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环境隐患治理（1分）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支持基于BIM或GIS地图对环境隐患告警进行实时展示，并支持查看告警详情。</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支持将事件通过移动端推送给相关处置人员。</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支持对环境隐患告警进行追溯检索。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支持对环境监测设备进行管理，包括环境监测设备信息的增加、删除、修改、查询。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支持对环境隐患告警进行统计分析。</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0.1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1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占道治理（1分）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对乱停乱放、占道等行为进行识别，并对异常行为报警。</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1.0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公共管理系统（30分）</w:t>
            </w:r>
          </w:p>
        </w:tc>
        <w:tc>
          <w:tcPr>
            <w:tcW w:w="109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小区管理（24分）</w:t>
            </w:r>
          </w:p>
        </w:tc>
        <w:tc>
          <w:tcPr>
            <w:tcW w:w="1482"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人口管理（2分）</w:t>
            </w:r>
          </w:p>
        </w:tc>
        <w:tc>
          <w:tcPr>
            <w:tcW w:w="775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对人口进行分类管理，并支持对人口信息的增加、删除、修改、查询。</w:t>
            </w:r>
          </w:p>
        </w:tc>
        <w:tc>
          <w:tcPr>
            <w:tcW w:w="7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支持通过移动端扫码进行个人信息登记。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支持对重点关注人员布控管理。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可通过人脸照片比对抓拍记录，并通过人员信息检索抓拍记录。</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通过门禁开门记录，对小区人员进出记录进行检索、更新以及统计分析功能。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支持多人通过门禁时分别信息采集功能。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车辆管理（3分）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支持对重点车辆进行布控管理，支持实时布控告警推送。</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支持对车辆通行记录进行检索。</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支持对车辆信息的统计分析功能。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具备出口收费显示、出入道闸自动控制、计费和缴费管理、视频监控、联网、停车场状况信息和综合管理功能。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1.2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应支持停车场车位预订、车位引导、空位提示、反向寻车功能。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1482"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房屋管理（2分）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支持将房屋与登记入住人员信息进行关联。</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90"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支持基于BIM或GIS地图查看楼栋房屋信息，支持查看房屋登记的人员详细信息及</w:t>
            </w:r>
          </w:p>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历史居住人员信息。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支持对房屋登记人员的实时在房状态进行研判。</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1482" w:type="dxa"/>
            <w:vMerge w:val="continue"/>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支持基于房屋用水、用电、用气、门禁刷卡数据对房屋异常状态的分析预警。</w:t>
            </w:r>
          </w:p>
        </w:tc>
        <w:tc>
          <w:tcPr>
            <w:tcW w:w="7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公共管理系统（30分）</w:t>
            </w:r>
          </w:p>
        </w:tc>
        <w:tc>
          <w:tcPr>
            <w:tcW w:w="109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小区管理（24分）</w:t>
            </w:r>
          </w:p>
        </w:tc>
        <w:tc>
          <w:tcPr>
            <w:tcW w:w="14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房屋管理</w:t>
            </w:r>
          </w:p>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（2分）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支持对房屋的消防状态进行监测。</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支持对出租房进行管理。</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入驻单位管理（0.5分）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支持对入驻单位基本信息管理，并支持对入驻单位信息的增加、删除、修改、查询。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0.1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支持对入驻单位信息的统计分析。</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0.1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支持对入驻单位人员信息管理。</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支持对入驻单位风险隐患进行分析预警。</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0.1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660"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群防群治力量管理</w:t>
            </w:r>
          </w:p>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（0.5分）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支持对群防群治力量信息管理，并支持对群防群治力量信息的增加、删除、修改、</w:t>
            </w:r>
          </w:p>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查询。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555"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群防群治力量信息的统计分析。</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安防设施管理（2分）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支持对安防设施信息的管理，并支持对安防信息的增加、删除、修改、查询。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支持对安防设施信息的统计分析。</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0.2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支持对安防设施在线状态监控。</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0.7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90"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支持对安防设施的数据可无障碍浏览。</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148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基于BIM或GIS地图查看安防设施告警信息。</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891" w:hRule="atLeast"/>
        </w:trPr>
        <w:tc>
          <w:tcPr>
            <w:tcW w:w="144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1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公共设施管理（3分）</w:t>
            </w:r>
          </w:p>
        </w:tc>
        <w:tc>
          <w:tcPr>
            <w:tcW w:w="77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支持对基础公共设施隐患事件追溯检索。</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1.0 </w:t>
            </w:r>
          </w:p>
        </w:tc>
        <w:tc>
          <w:tcPr>
            <w:tcW w:w="5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公共管理系统（30分）</w:t>
            </w:r>
          </w:p>
        </w:tc>
        <w:tc>
          <w:tcPr>
            <w:tcW w:w="109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小区管理（24分）</w:t>
            </w:r>
          </w:p>
        </w:tc>
        <w:tc>
          <w:tcPr>
            <w:tcW w:w="1482" w:type="dxa"/>
            <w:vMerge w:val="restart"/>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公共设施管理（3分）</w:t>
            </w:r>
          </w:p>
        </w:tc>
        <w:tc>
          <w:tcPr>
            <w:tcW w:w="775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支持将事件通过APP推送给相关处置人员。</w:t>
            </w:r>
          </w:p>
        </w:tc>
        <w:tc>
          <w:tcPr>
            <w:tcW w:w="7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0.8 </w:t>
            </w: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支持对基础公共设施隐患事件处置流程进行管理。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支持对物联网传感器的统一管理。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kern w:val="0"/>
                <w:szCs w:val="21"/>
                <w:lang w:bidi="ar"/>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支持基于BIM或GIS地图对物联网传感器进行统一管理，并对设备进行实时在线监测、联动、隐患排查处理、自动预警以及设备数据的智能化分析和管理。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信息发布管理（1分）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小区信息可通过信息发布屏、业主终端APP查询。</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楼宇对讲管理（2分）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可实现数字联网型可视化对讲。</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能接入互联网，可使用移动终端与室外机视频与语音对讲。</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室外机带手机APP开门功能、业主也可通过门卡或面部识别开启对应门禁。</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周界管理（2分)</w:t>
            </w: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设置周界电子地图，发生报警时，能在电子地图对应显示出报警位置。</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0.6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设置声光报警器，发生报警时，声光提示安保人员。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与视频监控系统联动，发生报警时，在监控中心屏幕上，弹出对应区域的视频图像。</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能对周界报警事件进行追溯检索。</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环境管理(1分)</w:t>
            </w: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应对小区空气质量进行监测。</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应在小区公共区域指定位置设置固定式电子显示屏，发布小区环境监测数据。</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建设可远程控制的绿地喷淋作业系统与设备。</w:t>
            </w:r>
          </w:p>
        </w:tc>
        <w:tc>
          <w:tcPr>
            <w:tcW w:w="71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公共管理系统（30分）</w:t>
            </w:r>
          </w:p>
        </w:tc>
        <w:tc>
          <w:tcPr>
            <w:tcW w:w="109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小区管理（24分）</w:t>
            </w:r>
          </w:p>
        </w:tc>
        <w:tc>
          <w:tcPr>
            <w:tcW w:w="1482"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治安管理(2分）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设置电子巡更系统，对巡查行为、状态进行实时监督和记录。</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可以获取巡更点信息，并可以多次读取；巡更时间和路线可以根据需要进行设定和</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修改。</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实现监控分析替代人为巡更，可远程监控分析、实时分析事件发生及定位、视频、</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图片上传。</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访客管理(3分）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应向访客提供基于移动端应用的访客预约服务，支持通过二维码扫码预约登记或通过APP、微信公众号、小程序预约登记。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向社区居民或访客提供扫码登记个人信息服务。</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提供移动端应用，为物业管理人员提供登记人员信息审核及电子二维码发放权限。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公共服务平台（12.5分）</w:t>
            </w:r>
          </w:p>
        </w:tc>
        <w:tc>
          <w:tcPr>
            <w:tcW w:w="10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便民服务</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(8分)</w:t>
            </w: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家政服务(3分)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平台具备预约日常家居清洁、家电清洗、家具养护、管道疏通项目功能。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移动端或PC端平台可在线浏览家政服务信息，选择相应的家政服务项目、提交订单及在线付款。</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家政企业可通过移动端或PC端平台在线接单。</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医疗服务(3分)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可连接自主医疗小站获取健康检测信息。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健康咨询、心理咨询、疾病防护宣传功能。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具备获取基本体检报告功能。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附近医院预约挂号、查询挂号记录功能。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养老服务(1分)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可从平台预订老人的上门服务和日托服务。</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公共服务平台（12.5分）</w:t>
            </w:r>
          </w:p>
        </w:tc>
        <w:tc>
          <w:tcPr>
            <w:tcW w:w="109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widowControl w:val="0"/>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便民服务</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(8分)</w:t>
            </w:r>
          </w:p>
        </w:tc>
        <w:tc>
          <w:tcPr>
            <w:tcW w:w="14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养老服务(1分)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通过服务平台可完成远程看护、在线订餐、健康指导。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0.6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文体服务(1分)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具备数字娱乐体验功能，可在线娱乐。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具备在线查询演出、展览、门票优惠信息功能。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物业服务(4.5分)</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政务服务</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(1.5分)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政务服务自助终端延伸到小区布设。</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维修服务(3分)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具备查询报事报修事项记录、处置情况功能。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物业管理人员可在线处理报事报修事项。</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具备远程在线客服功能。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信息数据库</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(7.5分)</w:t>
            </w:r>
          </w:p>
        </w:tc>
        <w:tc>
          <w:tcPr>
            <w:tcW w:w="109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业主信息</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(4.5分)</w:t>
            </w:r>
          </w:p>
        </w:tc>
        <w:tc>
          <w:tcPr>
            <w:tcW w:w="148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居民信息(2分)</w:t>
            </w: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具备流动人口信息。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具备重点人口信息。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对人口信息进行打标签管理。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0.6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应标识数据入库时间和数据来源信息，并及时对数据进行更新。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房屋信息(1分)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具备历史人员信息。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应标识数据入库时间和数据来源信息，并及时对数据进行更新。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机动车信息(1.5分)</w:t>
            </w:r>
          </w:p>
        </w:tc>
        <w:tc>
          <w:tcPr>
            <w:tcW w:w="7757"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应标识数据入库时间和数据来源信息，并及时对数据进行更新。</w:t>
            </w:r>
          </w:p>
        </w:tc>
        <w:tc>
          <w:tcPr>
            <w:tcW w:w="7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 xml:space="preserve">1.5 </w:t>
            </w: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616" w:hRule="atLeast"/>
        </w:trPr>
        <w:tc>
          <w:tcPr>
            <w:tcW w:w="1445" w:type="dxa"/>
            <w:vMerge w:val="restart"/>
            <w:tcBorders>
              <w:top w:val="single" w:color="auto" w:sz="4" w:space="0"/>
              <w:left w:val="single" w:color="000000" w:sz="4" w:space="0"/>
              <w:right w:val="single" w:color="auto" w:sz="4" w:space="0"/>
            </w:tcBorders>
            <w:shd w:val="clear" w:color="auto" w:fill="auto"/>
            <w:tcMar>
              <w:top w:w="12" w:type="dxa"/>
              <w:left w:w="12" w:type="dxa"/>
              <w:right w:w="12" w:type="dxa"/>
            </w:tcMar>
            <w:vAlign w:val="center"/>
          </w:tcPr>
          <w:p>
            <w:pPr>
              <w:widowControl w:val="0"/>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信息数据库</w:t>
            </w:r>
          </w:p>
          <w:p>
            <w:pPr>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(7.5分)</w:t>
            </w:r>
          </w:p>
        </w:tc>
        <w:tc>
          <w:tcPr>
            <w:tcW w:w="1091"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szCs w:val="21"/>
              </w:rPr>
              <w:t>小区信息</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(3分)</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建筑信息(1分)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具备建筑标准地址信息。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应标识数据入库时间和数据来源信息，并及时对数据进行更新。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物业信息</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应标识入库时间和数据来源信息，并及时对数据进行更新。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群防群治力量信息(0.5分)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具备群防群治力量群体的基本信息。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具备群防群治力量中个人基本信息。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0.2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应标识数据入库时间和数据来源信息，并及时对数据进行更新。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0.1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设备设施消息(1分)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具备设备实施扩展信息。</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智能家居系统（5分）</w:t>
            </w:r>
          </w:p>
        </w:tc>
        <w:tc>
          <w:tcPr>
            <w:tcW w:w="10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家居安全</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（5分）</w:t>
            </w: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消防系统</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(2.5分)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燃气泄漏</w:t>
            </w:r>
            <w:bookmarkStart w:id="80" w:name="_GoBack"/>
            <w:bookmarkEnd w:id="80"/>
            <w:r>
              <w:rPr>
                <w:rFonts w:hint="eastAsia" w:ascii="仿宋_GB2312" w:hAnsi="仿宋_GB2312" w:cs="仿宋_GB2312"/>
                <w:color w:val="000000"/>
                <w:kern w:val="0"/>
                <w:szCs w:val="21"/>
                <w:lang w:bidi="ar"/>
              </w:rPr>
              <w:t>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0.8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14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水溢自动报警。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告警可报送业主移动端、紧急联系人以及物业中心。</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1.0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防范系统(1分)</w:t>
            </w:r>
          </w:p>
        </w:tc>
        <w:tc>
          <w:tcPr>
            <w:tcW w:w="4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门锁</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具备家庭智能门锁。</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4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具备联网型家庭智能门锁。</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具备家庭联网型门铃。</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家居环境系统(0.5分)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家庭空气质量监测。</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0.5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智能家居系统（5分）</w:t>
            </w:r>
          </w:p>
        </w:tc>
        <w:tc>
          <w:tcPr>
            <w:tcW w:w="109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家居安全</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（5分）</w:t>
            </w:r>
          </w:p>
        </w:tc>
        <w:tc>
          <w:tcPr>
            <w:tcW w:w="14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家居电力安全管理系统</w:t>
            </w:r>
            <w:r>
              <w:rPr>
                <w:rFonts w:hint="eastAsia" w:ascii="仿宋_GB2312" w:hAnsi="仿宋_GB2312" w:cs="仿宋_GB2312"/>
                <w:color w:val="000000"/>
                <w:kern w:val="0"/>
                <w:szCs w:val="21"/>
                <w:lang w:bidi="ar"/>
              </w:rPr>
              <w:br w:type="textWrapping"/>
            </w:r>
            <w:r>
              <w:rPr>
                <w:rFonts w:hint="eastAsia" w:ascii="仿宋_GB2312" w:hAnsi="仿宋_GB2312" w:cs="仿宋_GB2312"/>
                <w:color w:val="000000"/>
                <w:kern w:val="0"/>
                <w:szCs w:val="21"/>
                <w:lang w:bidi="ar"/>
              </w:rPr>
              <w:t>(1分)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具备过载保护、漏电保护、过热保护、欠压保护功能，能进行总路计量、电能监测、故障诊断和异常报警。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0.7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445"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09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14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能采集用电数据，进行平台用电分析，具备用户终端分析结果查看功能。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优选项</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 xml:space="preserve">0.3 </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bl>
    <w:p>
      <w:pPr>
        <w:rPr>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center"/>
        <w:outlineLvl w:val="0"/>
        <w:rPr>
          <w:rFonts w:ascii="黑体" w:hAnsi="黑体" w:eastAsia="黑体" w:cs="黑体"/>
          <w:color w:val="000000"/>
          <w:kern w:val="0"/>
          <w:sz w:val="32"/>
          <w:szCs w:val="32"/>
          <w:lang w:bidi="ar"/>
        </w:rPr>
      </w:pPr>
      <w:bookmarkStart w:id="30" w:name="_Toc28509_WPSOffice_Level1"/>
      <w:bookmarkStart w:id="31" w:name="_Toc19582_WPSOffice_Level1"/>
      <w:bookmarkStart w:id="32" w:name="_Toc18163_WPSOffice_Level1"/>
      <w:r>
        <w:rPr>
          <w:rFonts w:hint="eastAsia" w:ascii="黑体" w:hAnsi="黑体" w:eastAsia="黑体" w:cs="黑体"/>
          <w:color w:val="000000"/>
          <w:kern w:val="0"/>
          <w:sz w:val="32"/>
          <w:szCs w:val="32"/>
          <w:lang w:bidi="ar"/>
        </w:rPr>
        <w:t>深圳市深汕特别合作区智慧小区评级指标体系（加分项）</w:t>
      </w:r>
      <w:bookmarkEnd w:id="30"/>
      <w:bookmarkEnd w:id="31"/>
      <w:bookmarkEnd w:id="32"/>
    </w:p>
    <w:p>
      <w:pPr>
        <w:jc w:val="center"/>
        <w:outlineLvl w:val="0"/>
        <w:rPr>
          <w:rFonts w:ascii="黑体" w:hAnsi="黑体" w:eastAsia="黑体" w:cs="黑体"/>
          <w:color w:val="000000"/>
          <w:kern w:val="0"/>
          <w:sz w:val="44"/>
          <w:szCs w:val="44"/>
          <w:lang w:bidi="ar"/>
        </w:rPr>
      </w:pPr>
    </w:p>
    <w:tbl>
      <w:tblPr>
        <w:tblStyle w:val="12"/>
        <w:tblW w:w="13974" w:type="dxa"/>
        <w:tblInd w:w="0" w:type="dxa"/>
        <w:tblLayout w:type="fixed"/>
        <w:tblCellMar>
          <w:top w:w="0" w:type="dxa"/>
          <w:left w:w="0" w:type="dxa"/>
          <w:bottom w:w="0" w:type="dxa"/>
          <w:right w:w="0" w:type="dxa"/>
        </w:tblCellMar>
      </w:tblPr>
      <w:tblGrid>
        <w:gridCol w:w="1349"/>
        <w:gridCol w:w="1216"/>
        <w:gridCol w:w="1627"/>
        <w:gridCol w:w="4735"/>
        <w:gridCol w:w="2706"/>
        <w:gridCol w:w="727"/>
        <w:gridCol w:w="534"/>
        <w:gridCol w:w="540"/>
        <w:gridCol w:w="540"/>
      </w:tblGrid>
      <w:tr>
        <w:tblPrEx>
          <w:tblCellMar>
            <w:top w:w="0" w:type="dxa"/>
            <w:left w:w="0" w:type="dxa"/>
            <w:bottom w:w="0" w:type="dxa"/>
            <w:right w:w="0" w:type="dxa"/>
          </w:tblCellMar>
        </w:tblPrEx>
        <w:trPr>
          <w:trHeight w:val="816" w:hRule="atLeast"/>
          <w:tblHead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一级指标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二级指标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三级指标</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内容</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细分</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评价</w:t>
            </w:r>
            <w:r>
              <w:rPr>
                <w:rFonts w:hint="eastAsia" w:ascii="仿宋_GB2312" w:hAnsi="仿宋_GB2312" w:cs="仿宋_GB2312"/>
                <w:b/>
                <w:bCs/>
                <w:color w:val="000000"/>
                <w:kern w:val="0"/>
                <w:szCs w:val="21"/>
                <w:lang w:bidi="ar"/>
              </w:rPr>
              <w:br w:type="textWrapping"/>
            </w:r>
            <w:r>
              <w:rPr>
                <w:rFonts w:hint="eastAsia" w:ascii="仿宋_GB2312" w:hAnsi="仿宋_GB2312" w:cs="仿宋_GB2312"/>
                <w:b/>
                <w:bCs/>
                <w:color w:val="000000"/>
                <w:kern w:val="0"/>
                <w:szCs w:val="21"/>
                <w:lang w:bidi="ar"/>
              </w:rPr>
              <w:t>类别</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单项分值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得分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lang w:bidi="ar"/>
              </w:rPr>
              <w:t>备注</w:t>
            </w:r>
          </w:p>
        </w:tc>
      </w:tr>
      <w:tr>
        <w:tblPrEx>
          <w:tblCellMar>
            <w:top w:w="0" w:type="dxa"/>
            <w:left w:w="0" w:type="dxa"/>
            <w:bottom w:w="0" w:type="dxa"/>
            <w:right w:w="0" w:type="dxa"/>
          </w:tblCellMar>
        </w:tblPrEx>
        <w:trPr>
          <w:trHeight w:val="408" w:hRule="atLeast"/>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基础设施</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公用基础</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智能监控设施</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具备特殊人群、老人、儿童行为异常自动报警功能。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szCs w:val="21"/>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监控中心监控屏</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监控屏为98寸以上。</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紧急报警设施</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户内设置紧急求助报警按钮，并能推送报警信息至紧急联系人、物业管理中心。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智能终端</w:t>
            </w:r>
          </w:p>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设施</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智能井盖</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应支持对井盖的异常状态进行监测，发现异常时及时产生告警。</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智能机器人</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应支持导航、信息发布及查询、巡更等至少两种基础功能。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szCs w:val="21"/>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939" w:hRule="atLeast"/>
        </w:trPr>
        <w:tc>
          <w:tcPr>
            <w:tcW w:w="134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公共管理系统</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小区治理</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应急情况治理</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有应急管理功能，支持对应急事件进行分类、分级管理，实现查询、汇总统计，可对各级各类预案进行分类、分级管理，实时调用、预览、查询；并具有对指定设备、指定通道进行图像的实时调阅功能，支持点播图像抓帧。</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小区管理</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人口管理</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支持对小区内人员异常行为的智能分析预警功能。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车辆管理</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支持提供行为异常车辆的智能分析预警功能。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623" w:hRule="atLeast"/>
        </w:trPr>
        <w:tc>
          <w:tcPr>
            <w:tcW w:w="13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楼宇对讲管理</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可视对讲与电梯联动可联动，可视对讲室外机开启门禁时，对应楼层的电梯已</w:t>
            </w:r>
          </w:p>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得到信号到达首层迎接业主回家。</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业主不在家时，能通过围墙机/单元门口机呼叫至业主手机，远程通话。</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访客管理</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业主通过APP或公众号远程临时授权至访客，访客来访提前告知业主，即可凭</w:t>
            </w:r>
          </w:p>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临时动态密码或二维码进入小区、单元门，固定时间内生效。</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人脸识别验证功能。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公共服务平台</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便民服务</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医疗服务</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远程医疗和协同医疗功能。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top w:val="single" w:color="000000"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文体服务</w:t>
            </w:r>
          </w:p>
        </w:tc>
        <w:tc>
          <w:tcPr>
            <w:tcW w:w="74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具备多媒体库功能，可在线浏览视频。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szCs w:val="21"/>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智能家居系统</w:t>
            </w:r>
          </w:p>
        </w:tc>
        <w:tc>
          <w:tcPr>
            <w:tcW w:w="121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家居服务</w:t>
            </w:r>
          </w:p>
        </w:tc>
        <w:tc>
          <w:tcPr>
            <w:tcW w:w="162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家居控制</w:t>
            </w:r>
          </w:p>
        </w:tc>
        <w:tc>
          <w:tcPr>
            <w:tcW w:w="7441"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能对家庭照明、家电、窗帘等进行控制。</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r>
        <w:tblPrEx>
          <w:tblCellMar>
            <w:top w:w="0" w:type="dxa"/>
            <w:left w:w="0" w:type="dxa"/>
            <w:bottom w:w="0" w:type="dxa"/>
            <w:right w:w="0" w:type="dxa"/>
          </w:tblCellMar>
        </w:tblPrEx>
        <w:trPr>
          <w:trHeight w:val="408" w:hRule="atLeast"/>
        </w:trPr>
        <w:tc>
          <w:tcPr>
            <w:tcW w:w="1349"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216"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p>
        </w:tc>
        <w:tc>
          <w:tcPr>
            <w:tcW w:w="1627"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居家养老</w:t>
            </w:r>
          </w:p>
        </w:tc>
        <w:tc>
          <w:tcPr>
            <w:tcW w:w="7441"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具备家用健康检测、健康数据报警功能，并可推送至物业管理中心以及亲属终端。</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加分项</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szCs w:val="21"/>
              </w:rPr>
            </w:pPr>
          </w:p>
        </w:tc>
      </w:tr>
    </w:tbl>
    <w:p>
      <w:pPr>
        <w:rPr>
          <w:sz w:val="32"/>
          <w:szCs w:val="32"/>
        </w:rPr>
      </w:pPr>
    </w:p>
    <w:p>
      <w:pPr>
        <w:rPr>
          <w:rFonts w:ascii="仿宋_GB2312" w:hAnsi="仿宋_GB2312" w:cs="仿宋_GB2312"/>
          <w:sz w:val="32"/>
          <w:szCs w:val="32"/>
        </w:rPr>
      </w:pPr>
    </w:p>
    <w:p>
      <w:pPr>
        <w:rPr>
          <w:rFonts w:ascii="仿宋_GB2312" w:hAnsi="仿宋_GB2312" w:cs="仿宋_GB2312"/>
          <w:sz w:val="32"/>
          <w:szCs w:val="32"/>
        </w:rPr>
      </w:pPr>
    </w:p>
    <w:p>
      <w:pPr>
        <w:rPr>
          <w:rFonts w:ascii="仿宋_GB2312" w:hAnsi="仿宋_GB2312" w:cs="仿宋_GB2312"/>
          <w:sz w:val="32"/>
          <w:szCs w:val="32"/>
        </w:rPr>
      </w:pPr>
    </w:p>
    <w:p/>
    <w:p>
      <w:pPr>
        <w:rPr>
          <w:rFonts w:ascii="黑体" w:hAnsi="黑体" w:eastAsia="黑体" w:cs="黑体"/>
          <w:sz w:val="32"/>
          <w:szCs w:val="32"/>
        </w:rPr>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jc w:val="left"/>
        <w:outlineLvl w:val="0"/>
        <w:rPr>
          <w:rFonts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33" w:name="_Toc31219_WPSOffice_Level1"/>
      <w:bookmarkStart w:id="34" w:name="_Toc26319_WPSOffice_Level1"/>
      <w:bookmarkStart w:id="35" w:name="_Toc22677_WPSOffice_Level1"/>
      <w:r>
        <w:rPr>
          <w:rFonts w:hint="eastAsia" w:ascii="方正小标宋简体" w:hAnsi="方正小标宋简体" w:eastAsia="方正小标宋简体" w:cs="方正小标宋简体"/>
          <w:sz w:val="44"/>
          <w:szCs w:val="44"/>
        </w:rPr>
        <w:t>深圳市深汕特别合作区智慧小区</w:t>
      </w:r>
      <w:bookmarkEnd w:id="33"/>
      <w:bookmarkEnd w:id="34"/>
      <w:bookmarkEnd w:id="35"/>
    </w:p>
    <w:p>
      <w:pPr>
        <w:spacing w:line="560" w:lineRule="exact"/>
        <w:jc w:val="center"/>
        <w:outlineLvl w:val="0"/>
        <w:rPr>
          <w:rFonts w:ascii="方正小标宋简体" w:hAnsi="方正小标宋简体" w:eastAsia="方正小标宋简体" w:cs="方正小标宋简体"/>
          <w:sz w:val="44"/>
          <w:szCs w:val="44"/>
        </w:rPr>
      </w:pPr>
      <w:bookmarkStart w:id="36" w:name="_Toc12321_WPSOffice_Level1"/>
      <w:bookmarkStart w:id="37" w:name="_Toc25764_WPSOffice_Level1"/>
      <w:bookmarkStart w:id="38" w:name="_Toc26066_WPSOffice_Level1"/>
      <w:r>
        <w:rPr>
          <w:rFonts w:hint="eastAsia" w:ascii="方正小标宋简体" w:hAnsi="方正小标宋简体" w:eastAsia="方正小标宋简体" w:cs="方正小标宋简体"/>
          <w:sz w:val="44"/>
          <w:szCs w:val="44"/>
        </w:rPr>
        <w:t>评级申报指南</w:t>
      </w:r>
      <w:bookmarkEnd w:id="36"/>
      <w:bookmarkEnd w:id="37"/>
      <w:bookmarkEnd w:id="38"/>
    </w:p>
    <w:p>
      <w:pPr>
        <w:spacing w:line="560" w:lineRule="exact"/>
        <w:ind w:firstLine="640"/>
        <w:rPr>
          <w:rFonts w:ascii="仿宋_GB2312" w:hAnsi="仿宋_GB2312" w:cs="仿宋_GB2312"/>
          <w:sz w:val="32"/>
          <w:szCs w:val="32"/>
        </w:rPr>
      </w:pPr>
    </w:p>
    <w:p>
      <w:pPr>
        <w:spacing w:line="560" w:lineRule="exact"/>
        <w:jc w:val="center"/>
        <w:outlineLvl w:val="0"/>
        <w:rPr>
          <w:rFonts w:ascii="仿宋_GB2312" w:hAnsi="仿宋_GB2312" w:cs="仿宋_GB2312"/>
          <w:sz w:val="44"/>
          <w:szCs w:val="44"/>
        </w:rPr>
      </w:pPr>
      <w:bookmarkStart w:id="39" w:name="_Toc25006_WPSOffice_Level1"/>
      <w:bookmarkStart w:id="40" w:name="_Toc28307_WPSOffice_Level1"/>
      <w:bookmarkStart w:id="41" w:name="_Toc31580_WPSOffice_Level1"/>
      <w:r>
        <w:rPr>
          <w:rFonts w:hint="eastAsia" w:ascii="黑体" w:hAnsi="黑体" w:eastAsia="黑体" w:cs="黑体"/>
          <w:sz w:val="44"/>
          <w:szCs w:val="44"/>
        </w:rPr>
        <w:t>智慧小区评级申报流程</w:t>
      </w:r>
      <w:bookmarkEnd w:id="39"/>
      <w:bookmarkEnd w:id="40"/>
      <w:bookmarkEnd w:id="41"/>
    </w:p>
    <w:p>
      <w:pPr>
        <w:spacing w:line="560" w:lineRule="exact"/>
        <w:rPr>
          <w:rFonts w:ascii="仿宋_GB2312" w:hAnsi="仿宋_GB2312" w:cs="仿宋_GB2312"/>
          <w:sz w:val="32"/>
          <w:szCs w:val="32"/>
        </w:rPr>
      </w:pPr>
    </w:p>
    <w:p>
      <w:pPr>
        <w:spacing w:line="560" w:lineRule="exact"/>
        <w:rPr>
          <w:rFonts w:ascii="仿宋_GB2312" w:hAnsi="仿宋_GB2312" w:cs="仿宋_GB2312"/>
          <w:sz w:val="32"/>
          <w:szCs w:val="32"/>
        </w:rPr>
      </w:pPr>
    </w:p>
    <w:p>
      <w:pPr>
        <w:jc w:val="center"/>
        <w:rPr>
          <w:rFonts w:ascii="仿宋_GB2312" w:hAnsi="仿宋_GB2312" w:cs="仿宋_GB2312"/>
          <w:sz w:val="32"/>
          <w:szCs w:val="32"/>
        </w:rPr>
      </w:pPr>
      <w:r>
        <w:rPr>
          <w:rFonts w:ascii="仿宋_GB2312" w:hAnsi="仿宋_GB2312" w:cs="仿宋_GB2312"/>
          <w:sz w:val="32"/>
          <w:szCs w:val="32"/>
        </w:rPr>
        <w:drawing>
          <wp:inline distT="0" distB="0" distL="114300" distR="114300">
            <wp:extent cx="5273675" cy="5733415"/>
            <wp:effectExtent l="0" t="0" r="14605" b="12065"/>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7"/>
                    <a:stretch>
                      <a:fillRect/>
                    </a:stretch>
                  </pic:blipFill>
                  <pic:spPr>
                    <a:xfrm>
                      <a:off x="0" y="0"/>
                      <a:ext cx="5273675" cy="5733415"/>
                    </a:xfrm>
                    <a:prstGeom prst="rect">
                      <a:avLst/>
                    </a:prstGeom>
                  </pic:spPr>
                </pic:pic>
              </a:graphicData>
            </a:graphic>
          </wp:inline>
        </w:drawing>
      </w:r>
    </w:p>
    <w:p>
      <w:pPr>
        <w:rPr>
          <w:rFonts w:ascii="仿宋_GB2312" w:hAnsi="仿宋_GB2312" w:cs="仿宋_GB2312"/>
          <w:sz w:val="32"/>
          <w:szCs w:val="32"/>
        </w:rPr>
      </w:pPr>
    </w:p>
    <w:p>
      <w:pPr>
        <w:jc w:val="center"/>
        <w:rPr>
          <w:rFonts w:ascii="黑体" w:hAnsi="黑体" w:eastAsia="黑体" w:cs="黑体"/>
          <w:sz w:val="44"/>
          <w:szCs w:val="44"/>
        </w:rPr>
      </w:pPr>
      <w:bookmarkStart w:id="42" w:name="_Toc31534_WPSOffice_Level1"/>
      <w:bookmarkStart w:id="43" w:name="_Toc18735_WPSOffice_Level1"/>
      <w:bookmarkStart w:id="44" w:name="_Toc19437_WPSOffice_Level1"/>
      <w:r>
        <w:rPr>
          <w:rFonts w:hint="eastAsia" w:ascii="黑体" w:hAnsi="黑体" w:eastAsia="黑体" w:cs="黑体"/>
          <w:sz w:val="44"/>
          <w:szCs w:val="44"/>
        </w:rPr>
        <w:t>智慧小区评级申报材</w:t>
      </w:r>
      <w:bookmarkEnd w:id="42"/>
      <w:bookmarkEnd w:id="43"/>
      <w:bookmarkEnd w:id="44"/>
      <w:r>
        <w:rPr>
          <w:rFonts w:hint="eastAsia" w:ascii="黑体" w:hAnsi="黑体" w:eastAsia="黑体" w:cs="黑体"/>
          <w:sz w:val="44"/>
          <w:szCs w:val="44"/>
        </w:rPr>
        <w:t>料一览表</w:t>
      </w:r>
    </w:p>
    <w:p>
      <w:pPr>
        <w:jc w:val="center"/>
        <w:rPr>
          <w:rFonts w:ascii="黑体" w:hAnsi="黑体" w:eastAsia="黑体" w:cs="黑体"/>
          <w:sz w:val="44"/>
          <w:szCs w:val="44"/>
        </w:rPr>
      </w:pPr>
    </w:p>
    <w:tbl>
      <w:tblPr>
        <w:tblStyle w:val="12"/>
        <w:tblpPr w:leftFromText="180" w:rightFromText="180" w:vertAnchor="text" w:horzAnchor="page" w:tblpX="1127" w:tblpY="309"/>
        <w:tblOverlap w:val="never"/>
        <w:tblW w:w="9863" w:type="dxa"/>
        <w:tblInd w:w="0" w:type="dxa"/>
        <w:tblLayout w:type="fixed"/>
        <w:tblCellMar>
          <w:top w:w="0" w:type="dxa"/>
          <w:left w:w="0" w:type="dxa"/>
          <w:bottom w:w="0" w:type="dxa"/>
          <w:right w:w="0" w:type="dxa"/>
        </w:tblCellMar>
      </w:tblPr>
      <w:tblGrid>
        <w:gridCol w:w="1328"/>
        <w:gridCol w:w="1741"/>
        <w:gridCol w:w="776"/>
        <w:gridCol w:w="3538"/>
        <w:gridCol w:w="2480"/>
      </w:tblGrid>
      <w:tr>
        <w:tblPrEx>
          <w:tblCellMar>
            <w:top w:w="0" w:type="dxa"/>
            <w:left w:w="0" w:type="dxa"/>
            <w:bottom w:w="0" w:type="dxa"/>
            <w:right w:w="0" w:type="dxa"/>
          </w:tblCellMar>
        </w:tblPrEx>
        <w:trPr>
          <w:trHeight w:val="629"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材料类别</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材料名称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000000"/>
                <w:kern w:val="0"/>
                <w:sz w:val="24"/>
                <w:lang w:bidi="ar"/>
              </w:rPr>
            </w:pPr>
            <w:r>
              <w:rPr>
                <w:rFonts w:hint="eastAsia" w:asciiTheme="minorEastAsia" w:hAnsiTheme="minorEastAsia" w:eastAsiaTheme="minorEastAsia" w:cstheme="minorEastAsia"/>
                <w:b/>
                <w:bCs/>
                <w:color w:val="000000"/>
                <w:kern w:val="0"/>
                <w:sz w:val="24"/>
                <w:lang w:bidi="ar"/>
              </w:rPr>
              <w:t>序号</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内容要求</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备注</w:t>
            </w:r>
          </w:p>
        </w:tc>
      </w:tr>
      <w:tr>
        <w:tblPrEx>
          <w:tblCellMar>
            <w:top w:w="0" w:type="dxa"/>
            <w:left w:w="0" w:type="dxa"/>
            <w:bottom w:w="0" w:type="dxa"/>
            <w:right w:w="0" w:type="dxa"/>
          </w:tblCellMar>
        </w:tblPrEx>
        <w:trPr>
          <w:trHeight w:val="447" w:hRule="atLeast"/>
        </w:trPr>
        <w:tc>
          <w:tcPr>
            <w:tcW w:w="1328"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基础材料</w:t>
            </w:r>
          </w:p>
          <w:p>
            <w:pPr>
              <w:jc w:val="center"/>
              <w:rPr>
                <w:rFonts w:asciiTheme="minorEastAsia" w:hAnsiTheme="minorEastAsia" w:eastAsiaTheme="minorEastAsia" w:cstheme="minorEastAsia"/>
                <w:color w:val="000000"/>
                <w:sz w:val="24"/>
              </w:rPr>
            </w:pPr>
          </w:p>
        </w:tc>
        <w:tc>
          <w:tcPr>
            <w:tcW w:w="174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房地产开发</w:t>
            </w:r>
          </w:p>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审批文件</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土地使用证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373"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立项批复文件</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38"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规划许可证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89"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4</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施工许可证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13"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5</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施工图审查证明文件</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51"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竣工验收文件</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15"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智慧小区</w:t>
            </w:r>
          </w:p>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申报单位文件</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7</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申报单位简介</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393"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8</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申报单位营业执照</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01"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申报单位资质证明</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19"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其他文件</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法定代表人证明书</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397"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11</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法定代表人身份证复印件</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03"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12</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法人授权委托书</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395"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heme="minorEastAsia" w:hAnsiTheme="minorEastAsia" w:eastAsiaTheme="minorEastAsia" w:cstheme="minorEastAsia"/>
                <w:color w:val="000000"/>
                <w:kern w:val="0"/>
                <w:sz w:val="24"/>
                <w:lang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13</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授权委托人身份证复印件</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01"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14</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申报声明</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29"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15</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深圳市深汕特别合作区智慧小区评级申请表</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458" w:hRule="atLeast"/>
        </w:trPr>
        <w:tc>
          <w:tcPr>
            <w:tcW w:w="13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255"/>
                <w:numId w:val="0"/>
              </w:numPr>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16</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255"/>
                <w:numId w:val="0"/>
              </w:numP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深圳市深汕特别合作区自评报告</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tc>
      </w:tr>
      <w:tr>
        <w:tblPrEx>
          <w:tblCellMar>
            <w:top w:w="0" w:type="dxa"/>
            <w:left w:w="0" w:type="dxa"/>
            <w:bottom w:w="0" w:type="dxa"/>
            <w:right w:w="0" w:type="dxa"/>
          </w:tblCellMar>
        </w:tblPrEx>
        <w:trPr>
          <w:trHeight w:val="409" w:hRule="atLeast"/>
        </w:trPr>
        <w:tc>
          <w:tcPr>
            <w:tcW w:w="1328"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17</w:t>
            </w:r>
          </w:p>
        </w:tc>
        <w:tc>
          <w:tcPr>
            <w:tcW w:w="3538"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物业服务合同</w:t>
            </w:r>
          </w:p>
        </w:tc>
        <w:tc>
          <w:tcPr>
            <w:tcW w:w="248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申报单位为物业单位的情况下需提交</w:t>
            </w:r>
          </w:p>
        </w:tc>
      </w:tr>
      <w:tr>
        <w:tblPrEx>
          <w:tblCellMar>
            <w:top w:w="0" w:type="dxa"/>
            <w:left w:w="0" w:type="dxa"/>
            <w:bottom w:w="0" w:type="dxa"/>
            <w:right w:w="0" w:type="dxa"/>
          </w:tblCellMar>
        </w:tblPrEx>
        <w:trPr>
          <w:trHeight w:val="474" w:hRule="atLeast"/>
        </w:trPr>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000000"/>
                <w:sz w:val="24"/>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智慧化建设</w:t>
            </w:r>
          </w:p>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文件</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18</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智慧化建设验收材料</w:t>
            </w:r>
          </w:p>
        </w:tc>
        <w:tc>
          <w:tcPr>
            <w:tcW w:w="248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智慧化专项建设相关的设计方案、图纸等满足项目验收需要的全套材料。</w:t>
            </w:r>
          </w:p>
        </w:tc>
      </w:tr>
      <w:tr>
        <w:tblPrEx>
          <w:tblCellMar>
            <w:top w:w="0" w:type="dxa"/>
            <w:left w:w="0" w:type="dxa"/>
            <w:bottom w:w="0" w:type="dxa"/>
            <w:right w:w="0" w:type="dxa"/>
          </w:tblCellMar>
        </w:tblPrEx>
        <w:trPr>
          <w:trHeight w:val="680" w:hRule="atLeast"/>
        </w:trPr>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 w:val="24"/>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仿宋_GB2312" w:hAnsi="仿宋_GB2312" w:cs="仿宋_GB2312"/>
                <w:color w:val="000000"/>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智慧化建设验收材料内容确认声明</w:t>
            </w:r>
          </w:p>
        </w:tc>
        <w:tc>
          <w:tcPr>
            <w:tcW w:w="2480"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_GB2312" w:hAnsi="仿宋_GB2312" w:cs="仿宋_GB2312"/>
                <w:color w:val="000000"/>
                <w:sz w:val="24"/>
              </w:rPr>
            </w:pPr>
            <w:r>
              <w:rPr>
                <w:rFonts w:asciiTheme="minorEastAsia" w:hAnsiTheme="minorEastAsia" w:eastAsiaTheme="minorEastAsia" w:cstheme="minorEastAsia"/>
                <w:color w:val="000000"/>
                <w:sz w:val="24"/>
              </w:rPr>
              <w:t>承诺所提供材料</w:t>
            </w:r>
            <w:r>
              <w:rPr>
                <w:rFonts w:hint="eastAsia" w:asciiTheme="minorEastAsia" w:hAnsiTheme="minorEastAsia" w:eastAsiaTheme="minorEastAsia" w:cstheme="minorEastAsia"/>
                <w:color w:val="000000"/>
                <w:sz w:val="24"/>
              </w:rPr>
              <w:t>与实际建设实施内容一致，</w:t>
            </w:r>
            <w:r>
              <w:rPr>
                <w:rFonts w:asciiTheme="minorEastAsia" w:hAnsiTheme="minorEastAsia" w:eastAsiaTheme="minorEastAsia" w:cstheme="minorEastAsia"/>
                <w:color w:val="000000"/>
                <w:sz w:val="24"/>
              </w:rPr>
              <w:t>真实</w:t>
            </w:r>
            <w:r>
              <w:rPr>
                <w:rFonts w:hint="eastAsia" w:asciiTheme="minorEastAsia" w:hAnsiTheme="minorEastAsia" w:eastAsiaTheme="minorEastAsia" w:cstheme="minorEastAsia"/>
                <w:color w:val="000000"/>
                <w:sz w:val="24"/>
              </w:rPr>
              <w:t>、</w:t>
            </w:r>
            <w:r>
              <w:rPr>
                <w:rFonts w:asciiTheme="minorEastAsia" w:hAnsiTheme="minorEastAsia" w:eastAsiaTheme="minorEastAsia" w:cstheme="minorEastAsia"/>
                <w:color w:val="000000"/>
                <w:sz w:val="24"/>
              </w:rPr>
              <w:t>可靠</w:t>
            </w:r>
            <w:r>
              <w:rPr>
                <w:rFonts w:hint="eastAsia" w:asciiTheme="minorEastAsia" w:hAnsiTheme="minorEastAsia" w:eastAsiaTheme="minorEastAsia" w:cstheme="minorEastAsia"/>
                <w:color w:val="000000"/>
                <w:sz w:val="24"/>
              </w:rPr>
              <w:t>。</w:t>
            </w:r>
          </w:p>
        </w:tc>
      </w:tr>
    </w:tbl>
    <w:p>
      <w:pPr>
        <w:spacing w:line="560" w:lineRule="exact"/>
        <w:rPr>
          <w:sz w:val="32"/>
          <w:szCs w:val="32"/>
        </w:rPr>
      </w:pPr>
      <w:r>
        <w:rPr>
          <w:rFonts w:hint="eastAsia" w:asciiTheme="minorEastAsia" w:hAnsiTheme="minorEastAsia" w:eastAsiaTheme="minorEastAsia" w:cstheme="minorEastAsia"/>
          <w:sz w:val="24"/>
        </w:rPr>
        <w:t>注：以上资料均</w:t>
      </w:r>
      <w:r>
        <w:rPr>
          <w:rFonts w:hint="eastAsia" w:asciiTheme="minorEastAsia" w:hAnsiTheme="minorEastAsia" w:eastAsiaTheme="minorEastAsia" w:cstheme="minorEastAsia"/>
          <w:color w:val="000000"/>
          <w:sz w:val="24"/>
          <w:shd w:val="clear" w:color="auto" w:fill="FFFFFF"/>
        </w:rPr>
        <w:t>收复印件并加盖申请单位公章。</w:t>
      </w:r>
    </w:p>
    <w:p>
      <w:pPr>
        <w:widowControl/>
        <w:rPr>
          <w:rFonts w:ascii="方正黑体_GBK" w:hAnsi="Times New Roman" w:eastAsia="黑体"/>
          <w:sz w:val="32"/>
          <w:szCs w:val="32"/>
        </w:rPr>
      </w:pPr>
      <w:r>
        <w:rPr>
          <w:rFonts w:hint="eastAsia" w:ascii="方正黑体_GBK" w:hAnsi="Times New Roman" w:eastAsia="方正黑体_GBK"/>
          <w:sz w:val="32"/>
          <w:szCs w:val="32"/>
        </w:rPr>
        <w:br w:type="page"/>
      </w:r>
    </w:p>
    <w:p>
      <w:pPr>
        <w:widowControl/>
        <w:spacing w:line="600" w:lineRule="exact"/>
        <w:contextualSpacing/>
        <w:jc w:val="center"/>
        <w:rPr>
          <w:rFonts w:ascii="Times New Roman" w:hAnsi="Times New Roman" w:eastAsia="方正仿宋_GBK"/>
          <w:sz w:val="32"/>
          <w:szCs w:val="32"/>
        </w:rPr>
      </w:pPr>
    </w:p>
    <w:p>
      <w:pPr>
        <w:widowControl/>
        <w:spacing w:line="600" w:lineRule="exact"/>
        <w:contextualSpacing/>
        <w:jc w:val="center"/>
        <w:outlineLvl w:val="0"/>
        <w:rPr>
          <w:rFonts w:ascii="Times New Roman" w:hAnsi="Times New Roman" w:eastAsia="方正小标宋_GBK"/>
          <w:kern w:val="0"/>
          <w:sz w:val="52"/>
          <w:szCs w:val="52"/>
        </w:rPr>
      </w:pPr>
      <w:bookmarkStart w:id="45" w:name="_Toc11518_WPSOffice_Level2"/>
      <w:r>
        <w:rPr>
          <w:rFonts w:hint="eastAsia" w:ascii="Times New Roman" w:hAnsi="Times New Roman" w:eastAsia="方正小标宋_GBK"/>
          <w:kern w:val="0"/>
          <w:sz w:val="52"/>
          <w:szCs w:val="52"/>
        </w:rPr>
        <w:t>深圳市深汕特别合作区</w:t>
      </w:r>
      <w:bookmarkEnd w:id="45"/>
    </w:p>
    <w:p>
      <w:pPr>
        <w:widowControl/>
        <w:spacing w:line="600" w:lineRule="exact"/>
        <w:contextualSpacing/>
        <w:jc w:val="center"/>
        <w:outlineLvl w:val="0"/>
        <w:rPr>
          <w:rFonts w:ascii="Times New Roman" w:hAnsi="Times New Roman" w:eastAsia="方正小标宋_GBK"/>
          <w:kern w:val="0"/>
          <w:sz w:val="44"/>
          <w:szCs w:val="44"/>
        </w:rPr>
      </w:pPr>
      <w:bookmarkStart w:id="46" w:name="_Toc18509_WPSOffice_Level2"/>
      <w:r>
        <w:rPr>
          <w:rFonts w:ascii="Times New Roman" w:hAnsi="Times New Roman" w:eastAsia="方正小标宋_GBK"/>
          <w:kern w:val="0"/>
          <w:sz w:val="52"/>
          <w:szCs w:val="52"/>
        </w:rPr>
        <w:t>智慧小区评</w:t>
      </w:r>
      <w:r>
        <w:rPr>
          <w:rFonts w:hint="eastAsia" w:ascii="Times New Roman" w:hAnsi="Times New Roman" w:eastAsia="方正小标宋_GBK"/>
          <w:kern w:val="0"/>
          <w:sz w:val="52"/>
          <w:szCs w:val="52"/>
        </w:rPr>
        <w:t>级</w:t>
      </w:r>
      <w:r>
        <w:rPr>
          <w:rFonts w:ascii="Times New Roman" w:hAnsi="Times New Roman" w:eastAsia="方正小标宋_GBK"/>
          <w:kern w:val="0"/>
          <w:sz w:val="52"/>
          <w:szCs w:val="52"/>
        </w:rPr>
        <w:t>申请表</w:t>
      </w:r>
      <w:bookmarkEnd w:id="46"/>
    </w:p>
    <w:p>
      <w:pPr>
        <w:tabs>
          <w:tab w:val="left" w:pos="6580"/>
          <w:tab w:val="left" w:pos="6780"/>
        </w:tabs>
        <w:spacing w:line="600" w:lineRule="exact"/>
        <w:contextualSpacing/>
        <w:rPr>
          <w:rFonts w:ascii="Times New Roman" w:hAnsi="Times New Roman"/>
          <w:b/>
          <w:sz w:val="32"/>
        </w:rPr>
      </w:pPr>
    </w:p>
    <w:p>
      <w:pPr>
        <w:tabs>
          <w:tab w:val="left" w:pos="6580"/>
          <w:tab w:val="left" w:pos="6780"/>
        </w:tabs>
        <w:spacing w:line="600" w:lineRule="exact"/>
        <w:contextualSpacing/>
        <w:rPr>
          <w:rFonts w:ascii="Times New Roman" w:hAnsi="Times New Roman"/>
          <w:b/>
          <w:sz w:val="32"/>
        </w:rPr>
      </w:pPr>
    </w:p>
    <w:p>
      <w:pPr>
        <w:tabs>
          <w:tab w:val="left" w:pos="6580"/>
          <w:tab w:val="left" w:pos="6780"/>
        </w:tabs>
        <w:spacing w:line="600" w:lineRule="exact"/>
        <w:ind w:firstLine="928" w:firstLineChars="200"/>
        <w:contextualSpacing/>
        <w:rPr>
          <w:rFonts w:ascii="Times New Roman" w:hAnsi="Times New Roman" w:eastAsia="方正黑体_GBK"/>
          <w:sz w:val="32"/>
          <w:u w:val="single"/>
        </w:rPr>
      </w:pPr>
      <w:r>
        <w:rPr>
          <w:rFonts w:ascii="Times New Roman" w:hAnsi="Times New Roman" w:eastAsia="方正黑体_GBK"/>
          <w:spacing w:val="72"/>
          <w:sz w:val="32"/>
        </w:rPr>
        <w:t>项目名称：</w:t>
      </w:r>
    </w:p>
    <w:p>
      <w:pPr>
        <w:tabs>
          <w:tab w:val="left" w:pos="6580"/>
          <w:tab w:val="left" w:pos="6780"/>
        </w:tabs>
        <w:spacing w:line="600" w:lineRule="exact"/>
        <w:contextualSpacing/>
        <w:rPr>
          <w:rFonts w:ascii="Times New Roman" w:hAnsi="Times New Roman" w:eastAsia="方正黑体_GBK"/>
          <w:sz w:val="32"/>
        </w:rPr>
      </w:pPr>
    </w:p>
    <w:p>
      <w:pPr>
        <w:tabs>
          <w:tab w:val="left" w:pos="6580"/>
          <w:tab w:val="left" w:pos="6780"/>
        </w:tabs>
        <w:spacing w:line="600" w:lineRule="exact"/>
        <w:ind w:firstLine="928" w:firstLineChars="200"/>
        <w:contextualSpacing/>
        <w:rPr>
          <w:rFonts w:ascii="Times New Roman" w:hAnsi="Times New Roman" w:eastAsia="方正黑体_GBK"/>
          <w:sz w:val="32"/>
          <w:u w:val="single"/>
        </w:rPr>
      </w:pPr>
      <w:r>
        <w:rPr>
          <w:rFonts w:ascii="Times New Roman" w:hAnsi="Times New Roman" w:eastAsia="方正黑体_GBK"/>
          <w:spacing w:val="72"/>
          <w:sz w:val="32"/>
        </w:rPr>
        <w:t>申报阶段：</w:t>
      </w:r>
    </w:p>
    <w:p>
      <w:pPr>
        <w:tabs>
          <w:tab w:val="left" w:pos="6580"/>
          <w:tab w:val="left" w:pos="6780"/>
        </w:tabs>
        <w:spacing w:line="600" w:lineRule="exact"/>
        <w:ind w:firstLine="1347" w:firstLineChars="421"/>
        <w:contextualSpacing/>
        <w:rPr>
          <w:rFonts w:ascii="Times New Roman" w:hAnsi="Times New Roman" w:eastAsia="方正黑体_GBK"/>
          <w:sz w:val="32"/>
        </w:rPr>
      </w:pPr>
    </w:p>
    <w:p>
      <w:pPr>
        <w:tabs>
          <w:tab w:val="left" w:pos="6580"/>
          <w:tab w:val="left" w:pos="6780"/>
        </w:tabs>
        <w:spacing w:line="600" w:lineRule="exact"/>
        <w:ind w:firstLine="928" w:firstLineChars="200"/>
        <w:contextualSpacing/>
        <w:rPr>
          <w:rFonts w:ascii="Times New Roman" w:hAnsi="Times New Roman" w:eastAsia="方正黑体_GBK"/>
          <w:sz w:val="32"/>
          <w:u w:val="single"/>
        </w:rPr>
      </w:pPr>
      <w:r>
        <w:rPr>
          <w:rFonts w:ascii="Times New Roman" w:hAnsi="Times New Roman" w:eastAsia="方正黑体_GBK"/>
          <w:spacing w:val="72"/>
          <w:sz w:val="32"/>
        </w:rPr>
        <w:t>申报单位</w:t>
      </w:r>
      <w:r>
        <w:rPr>
          <w:rFonts w:ascii="Times New Roman" w:hAnsi="Times New Roman" w:eastAsia="方正黑体_GBK"/>
          <w:sz w:val="32"/>
        </w:rPr>
        <w:t>（盖章）</w:t>
      </w:r>
      <w:r>
        <w:rPr>
          <w:rFonts w:ascii="Times New Roman" w:hAnsi="Times New Roman" w:eastAsia="方正黑体_GBK"/>
          <w:spacing w:val="72"/>
          <w:sz w:val="32"/>
        </w:rPr>
        <w:t>：</w:t>
      </w:r>
    </w:p>
    <w:p>
      <w:pPr>
        <w:tabs>
          <w:tab w:val="left" w:pos="6580"/>
          <w:tab w:val="left" w:pos="6780"/>
        </w:tabs>
        <w:spacing w:line="600" w:lineRule="exact"/>
        <w:contextualSpacing/>
        <w:rPr>
          <w:rFonts w:ascii="Times New Roman" w:hAnsi="Times New Roman" w:eastAsia="方正黑体_GBK"/>
          <w:sz w:val="32"/>
        </w:rPr>
      </w:pPr>
    </w:p>
    <w:p>
      <w:pPr>
        <w:tabs>
          <w:tab w:val="left" w:pos="6580"/>
          <w:tab w:val="left" w:pos="6780"/>
        </w:tabs>
        <w:spacing w:line="600" w:lineRule="exact"/>
        <w:ind w:firstLine="960" w:firstLineChars="300"/>
        <w:contextualSpacing/>
        <w:rPr>
          <w:rFonts w:ascii="Times New Roman" w:hAnsi="Times New Roman" w:eastAsia="方正黑体_GBK"/>
          <w:sz w:val="32"/>
          <w:u w:val="single"/>
        </w:rPr>
      </w:pPr>
      <w:r>
        <w:rPr>
          <w:rFonts w:ascii="Times New Roman" w:hAnsi="Times New Roman" w:eastAsia="方正黑体_GBK"/>
          <w:sz w:val="32"/>
        </w:rPr>
        <w:t>实施起止时间：</w:t>
      </w:r>
      <w:r>
        <w:rPr>
          <w:rFonts w:hint="eastAsia" w:ascii="Times New Roman" w:hAnsi="Times New Roman" w:eastAsia="方正黑体_GBK"/>
          <w:sz w:val="32"/>
          <w:u w:val="single"/>
        </w:rPr>
        <w:t xml:space="preserve">  </w:t>
      </w:r>
      <w:r>
        <w:rPr>
          <w:rFonts w:ascii="Times New Roman" w:hAnsi="Times New Roman" w:eastAsia="方正仿宋_GBK"/>
          <w:sz w:val="32"/>
          <w:u w:val="single"/>
        </w:rPr>
        <w:t>年</w:t>
      </w:r>
      <w:r>
        <w:rPr>
          <w:rFonts w:hint="eastAsia" w:ascii="Times New Roman" w:hAnsi="Times New Roman" w:eastAsia="方正仿宋_GBK"/>
          <w:sz w:val="32"/>
          <w:u w:val="single"/>
        </w:rPr>
        <w:t xml:space="preserve">  </w:t>
      </w:r>
      <w:r>
        <w:rPr>
          <w:rFonts w:ascii="Times New Roman" w:hAnsi="Times New Roman" w:eastAsia="方正仿宋_GBK"/>
          <w:sz w:val="32"/>
          <w:u w:val="single"/>
        </w:rPr>
        <w:t>月</w:t>
      </w:r>
      <w:r>
        <w:rPr>
          <w:rFonts w:hint="eastAsia" w:ascii="Times New Roman" w:hAnsi="Times New Roman" w:eastAsia="方正仿宋_GBK"/>
          <w:sz w:val="32"/>
          <w:u w:val="single"/>
        </w:rPr>
        <w:t xml:space="preserve">  </w:t>
      </w:r>
      <w:r>
        <w:rPr>
          <w:rFonts w:ascii="Times New Roman" w:hAnsi="Times New Roman" w:eastAsia="方正仿宋_GBK"/>
          <w:sz w:val="32"/>
          <w:u w:val="single"/>
        </w:rPr>
        <w:t>日</w:t>
      </w:r>
      <w:r>
        <w:rPr>
          <w:rFonts w:hint="eastAsia" w:ascii="Times New Roman" w:hAnsi="Times New Roman" w:eastAsia="方正仿宋_GBK"/>
          <w:sz w:val="32"/>
          <w:u w:val="single"/>
        </w:rPr>
        <w:t xml:space="preserve">——  </w:t>
      </w:r>
      <w:r>
        <w:rPr>
          <w:rFonts w:ascii="Times New Roman" w:hAnsi="Times New Roman" w:eastAsia="方正仿宋_GBK"/>
          <w:sz w:val="32"/>
          <w:u w:val="single"/>
        </w:rPr>
        <w:t>年</w:t>
      </w:r>
      <w:r>
        <w:rPr>
          <w:rFonts w:hint="eastAsia" w:ascii="Times New Roman" w:hAnsi="Times New Roman" w:eastAsia="方正仿宋_GBK"/>
          <w:sz w:val="32"/>
          <w:u w:val="single"/>
        </w:rPr>
        <w:t xml:space="preserve">  </w:t>
      </w:r>
      <w:r>
        <w:rPr>
          <w:rFonts w:ascii="Times New Roman" w:hAnsi="Times New Roman" w:eastAsia="方正仿宋_GBK"/>
          <w:sz w:val="32"/>
          <w:u w:val="single"/>
        </w:rPr>
        <w:t>月</w:t>
      </w:r>
      <w:r>
        <w:rPr>
          <w:rFonts w:hint="eastAsia" w:ascii="Times New Roman" w:hAnsi="Times New Roman" w:eastAsia="方正仿宋_GBK"/>
          <w:sz w:val="32"/>
          <w:u w:val="single"/>
        </w:rPr>
        <w:t xml:space="preserve">  </w:t>
      </w:r>
      <w:r>
        <w:rPr>
          <w:rFonts w:ascii="Times New Roman" w:hAnsi="Times New Roman" w:eastAsia="方正仿宋_GBK"/>
          <w:sz w:val="32"/>
          <w:u w:val="single"/>
        </w:rPr>
        <w:t>日</w:t>
      </w:r>
    </w:p>
    <w:p>
      <w:pPr>
        <w:tabs>
          <w:tab w:val="left" w:pos="6580"/>
          <w:tab w:val="left" w:pos="6780"/>
        </w:tabs>
        <w:spacing w:line="600" w:lineRule="exact"/>
        <w:contextualSpacing/>
        <w:rPr>
          <w:rFonts w:ascii="Times New Roman" w:hAnsi="Times New Roman" w:eastAsia="方正黑体_GBK"/>
          <w:sz w:val="32"/>
        </w:rPr>
      </w:pPr>
    </w:p>
    <w:p>
      <w:pPr>
        <w:tabs>
          <w:tab w:val="left" w:pos="6580"/>
          <w:tab w:val="left" w:pos="6780"/>
        </w:tabs>
        <w:spacing w:line="600" w:lineRule="exact"/>
        <w:ind w:firstLine="928" w:firstLineChars="200"/>
        <w:contextualSpacing/>
        <w:rPr>
          <w:rFonts w:ascii="Times New Roman" w:hAnsi="Times New Roman" w:eastAsia="方正黑体_GBK"/>
          <w:b/>
          <w:sz w:val="32"/>
          <w:u w:val="single"/>
        </w:rPr>
      </w:pPr>
      <w:r>
        <w:rPr>
          <w:rFonts w:ascii="Times New Roman" w:hAnsi="Times New Roman" w:eastAsia="方正黑体_GBK"/>
          <w:spacing w:val="72"/>
          <w:sz w:val="32"/>
        </w:rPr>
        <w:t>填报时间：</w:t>
      </w:r>
    </w:p>
    <w:p>
      <w:pPr>
        <w:tabs>
          <w:tab w:val="left" w:pos="6580"/>
          <w:tab w:val="left" w:pos="6780"/>
        </w:tabs>
        <w:spacing w:line="600" w:lineRule="exact"/>
        <w:ind w:firstLine="948" w:firstLineChars="296"/>
        <w:contextualSpacing/>
        <w:jc w:val="center"/>
        <w:rPr>
          <w:rFonts w:ascii="Times New Roman" w:hAnsi="Times New Roman" w:eastAsia="方正黑体_GBK"/>
          <w:b/>
          <w:sz w:val="32"/>
        </w:rPr>
      </w:pPr>
    </w:p>
    <w:p>
      <w:pPr>
        <w:tabs>
          <w:tab w:val="left" w:pos="6580"/>
          <w:tab w:val="left" w:pos="6780"/>
        </w:tabs>
        <w:spacing w:line="600" w:lineRule="exact"/>
        <w:ind w:firstLine="948" w:firstLineChars="296"/>
        <w:contextualSpacing/>
        <w:jc w:val="center"/>
        <w:rPr>
          <w:rFonts w:ascii="Times New Roman" w:hAnsi="Times New Roman" w:eastAsia="方正黑体_GBK"/>
          <w:b/>
          <w:sz w:val="32"/>
        </w:rPr>
      </w:pPr>
    </w:p>
    <w:p>
      <w:pPr>
        <w:tabs>
          <w:tab w:val="left" w:pos="6580"/>
          <w:tab w:val="left" w:pos="6780"/>
        </w:tabs>
        <w:spacing w:line="600" w:lineRule="exact"/>
        <w:ind w:firstLine="1374" w:firstLineChars="296"/>
        <w:contextualSpacing/>
        <w:jc w:val="center"/>
        <w:rPr>
          <w:rFonts w:ascii="Times New Roman" w:hAnsi="Times New Roman" w:eastAsia="方正黑体_GBK"/>
          <w:b/>
          <w:spacing w:val="72"/>
          <w:sz w:val="32"/>
        </w:rPr>
      </w:pPr>
    </w:p>
    <w:p>
      <w:pPr>
        <w:tabs>
          <w:tab w:val="left" w:pos="6580"/>
          <w:tab w:val="left" w:pos="6780"/>
        </w:tabs>
        <w:contextualSpacing/>
        <w:jc w:val="center"/>
        <w:outlineLvl w:val="0"/>
        <w:rPr>
          <w:rFonts w:ascii="Times New Roman" w:hAnsi="Times New Roman" w:eastAsia="方正黑体_GBK"/>
          <w:spacing w:val="72"/>
          <w:sz w:val="32"/>
        </w:rPr>
      </w:pPr>
      <w:bookmarkStart w:id="47" w:name="_Toc23085_WPSOffice_Level1"/>
      <w:bookmarkStart w:id="48" w:name="_Toc3283_WPSOffice_Level1"/>
      <w:bookmarkStart w:id="49" w:name="_Toc4571_WPSOffice_Level1"/>
      <w:r>
        <w:rPr>
          <w:rFonts w:hint="eastAsia" w:ascii="Times New Roman" w:hAnsi="Times New Roman" w:eastAsia="方正黑体_GBK"/>
          <w:spacing w:val="72"/>
          <w:sz w:val="32"/>
        </w:rPr>
        <w:t>深圳市深汕特别合作区</w:t>
      </w:r>
      <w:bookmarkEnd w:id="47"/>
      <w:bookmarkEnd w:id="48"/>
      <w:bookmarkEnd w:id="49"/>
    </w:p>
    <w:p>
      <w:pPr>
        <w:tabs>
          <w:tab w:val="left" w:pos="6580"/>
          <w:tab w:val="left" w:pos="6780"/>
        </w:tabs>
        <w:contextualSpacing/>
        <w:jc w:val="center"/>
        <w:outlineLvl w:val="0"/>
        <w:rPr>
          <w:rFonts w:ascii="Times New Roman" w:hAnsi="Times New Roman" w:eastAsia="方正黑体_GBK"/>
          <w:spacing w:val="72"/>
          <w:sz w:val="32"/>
        </w:rPr>
      </w:pPr>
      <w:bookmarkStart w:id="50" w:name="_Toc17692_WPSOffice_Level1"/>
      <w:bookmarkStart w:id="51" w:name="_Toc11113_WPSOffice_Level1"/>
      <w:bookmarkStart w:id="52" w:name="_Toc20843_WPSOffice_Level1"/>
      <w:r>
        <w:rPr>
          <w:rFonts w:ascii="Times New Roman" w:hAnsi="Times New Roman" w:eastAsia="方正黑体_GBK"/>
          <w:spacing w:val="72"/>
          <w:sz w:val="32"/>
        </w:rPr>
        <w:t>住房</w:t>
      </w:r>
      <w:r>
        <w:rPr>
          <w:rFonts w:hint="eastAsia" w:ascii="Times New Roman" w:hAnsi="Times New Roman" w:eastAsia="方正黑体_GBK"/>
          <w:spacing w:val="72"/>
          <w:sz w:val="32"/>
        </w:rPr>
        <w:t>建设</w:t>
      </w:r>
      <w:r>
        <w:rPr>
          <w:rFonts w:ascii="Times New Roman" w:hAnsi="Times New Roman" w:eastAsia="方正黑体_GBK"/>
          <w:spacing w:val="72"/>
          <w:sz w:val="32"/>
        </w:rPr>
        <w:t>和</w:t>
      </w:r>
      <w:r>
        <w:rPr>
          <w:rFonts w:hint="eastAsia" w:ascii="Times New Roman" w:hAnsi="Times New Roman" w:eastAsia="方正黑体_GBK"/>
          <w:spacing w:val="72"/>
          <w:sz w:val="32"/>
        </w:rPr>
        <w:t>水务局</w:t>
      </w:r>
      <w:bookmarkEnd w:id="50"/>
      <w:bookmarkEnd w:id="51"/>
      <w:bookmarkEnd w:id="52"/>
    </w:p>
    <w:p>
      <w:pPr>
        <w:tabs>
          <w:tab w:val="left" w:pos="6580"/>
          <w:tab w:val="left" w:pos="6780"/>
        </w:tabs>
        <w:spacing w:line="600" w:lineRule="exact"/>
        <w:ind w:firstLine="947" w:firstLineChars="296"/>
        <w:contextualSpacing/>
        <w:jc w:val="center"/>
        <w:rPr>
          <w:rFonts w:ascii="Times New Roman" w:hAnsi="Times New Roman" w:eastAsia="方正黑体_GBK"/>
          <w:sz w:val="32"/>
        </w:rPr>
      </w:pPr>
    </w:p>
    <w:p>
      <w:pPr>
        <w:tabs>
          <w:tab w:val="left" w:pos="6580"/>
          <w:tab w:val="left" w:pos="6780"/>
        </w:tabs>
        <w:spacing w:line="600" w:lineRule="exact"/>
        <w:contextualSpacing/>
        <w:jc w:val="center"/>
        <w:outlineLvl w:val="0"/>
        <w:rPr>
          <w:rFonts w:ascii="Times New Roman" w:hAnsi="Times New Roman" w:eastAsia="方正黑体_GBK"/>
          <w:sz w:val="32"/>
        </w:rPr>
      </w:pPr>
      <w:bookmarkStart w:id="53" w:name="_Toc22640_WPSOffice_Level1"/>
      <w:bookmarkStart w:id="54" w:name="_Toc23279_WPSOffice_Level1"/>
      <w:bookmarkStart w:id="55" w:name="_Toc30538_WPSOffice_Level1"/>
      <w:r>
        <w:rPr>
          <w:rFonts w:ascii="Times New Roman" w:hAnsi="Times New Roman" w:eastAsia="方正黑体_GBK"/>
          <w:sz w:val="32"/>
        </w:rPr>
        <w:t>二〇二</w:t>
      </w:r>
      <w:r>
        <w:rPr>
          <w:rFonts w:hint="eastAsia" w:ascii="Times New Roman" w:hAnsi="Times New Roman" w:eastAsia="方正黑体_GBK"/>
          <w:sz w:val="32"/>
        </w:rPr>
        <w:t>一</w:t>
      </w:r>
      <w:r>
        <w:rPr>
          <w:rFonts w:ascii="Times New Roman" w:hAnsi="Times New Roman" w:eastAsia="方正黑体_GBK"/>
          <w:sz w:val="32"/>
        </w:rPr>
        <w:t>年</w:t>
      </w:r>
      <w:r>
        <w:rPr>
          <w:rFonts w:hint="eastAsia" w:ascii="Times New Roman" w:hAnsi="Times New Roman" w:eastAsia="方正黑体_GBK"/>
          <w:sz w:val="32"/>
          <w:lang w:val="en-US" w:eastAsia="zh-CN"/>
        </w:rPr>
        <w:t>十二</w:t>
      </w:r>
      <w:r>
        <w:rPr>
          <w:rFonts w:ascii="Times New Roman" w:hAnsi="Times New Roman" w:eastAsia="方正黑体_GBK"/>
          <w:sz w:val="32"/>
        </w:rPr>
        <w:t>月制</w:t>
      </w:r>
      <w:bookmarkEnd w:id="53"/>
      <w:bookmarkEnd w:id="54"/>
      <w:bookmarkEnd w:id="55"/>
    </w:p>
    <w:p>
      <w:pPr>
        <w:tabs>
          <w:tab w:val="left" w:pos="6580"/>
          <w:tab w:val="left" w:pos="6780"/>
        </w:tabs>
        <w:spacing w:line="600" w:lineRule="exact"/>
        <w:contextualSpacing/>
        <w:rPr>
          <w:rFonts w:ascii="Times New Roman" w:hAnsi="Times New Roman" w:eastAsia="方正仿宋_GBK"/>
          <w:b/>
          <w:sz w:val="32"/>
        </w:rPr>
      </w:pPr>
    </w:p>
    <w:p>
      <w:pPr>
        <w:tabs>
          <w:tab w:val="left" w:pos="6580"/>
          <w:tab w:val="left" w:pos="6780"/>
        </w:tabs>
        <w:spacing w:line="600" w:lineRule="exact"/>
        <w:contextualSpacing/>
        <w:jc w:val="center"/>
        <w:rPr>
          <w:rFonts w:ascii="Times New Roman" w:hAnsi="Times New Roman" w:eastAsia="方正仿宋_GBK"/>
          <w:b/>
          <w:sz w:val="32"/>
        </w:rPr>
      </w:pPr>
    </w:p>
    <w:p>
      <w:pPr>
        <w:contextualSpacing/>
        <w:jc w:val="center"/>
        <w:outlineLvl w:val="0"/>
        <w:rPr>
          <w:rFonts w:ascii="Times New Roman" w:hAnsi="Times New Roman" w:eastAsia="方正小标宋_GBK"/>
          <w:kern w:val="0"/>
          <w:sz w:val="44"/>
          <w:szCs w:val="44"/>
        </w:rPr>
      </w:pPr>
      <w:bookmarkStart w:id="56" w:name="_Toc1062_WPSOffice_Level1"/>
      <w:bookmarkStart w:id="57" w:name="_Toc23833_WPSOffice_Level1"/>
      <w:bookmarkStart w:id="58" w:name="_Toc7772_WPSOffice_Level1"/>
      <w:r>
        <w:rPr>
          <w:rFonts w:ascii="Times New Roman" w:hAnsi="Times New Roman" w:eastAsia="方正小标宋_GBK"/>
          <w:kern w:val="0"/>
          <w:sz w:val="44"/>
          <w:szCs w:val="44"/>
        </w:rPr>
        <w:t>填报说明</w:t>
      </w:r>
      <w:bookmarkEnd w:id="56"/>
      <w:bookmarkEnd w:id="57"/>
      <w:bookmarkEnd w:id="58"/>
    </w:p>
    <w:p>
      <w:pPr>
        <w:contextualSpacing/>
        <w:jc w:val="center"/>
        <w:rPr>
          <w:rFonts w:ascii="Times New Roman" w:hAnsi="Times New Roman" w:eastAsia="方正仿宋_GBK"/>
          <w:bCs/>
          <w:sz w:val="32"/>
          <w:szCs w:val="32"/>
        </w:rPr>
      </w:pPr>
    </w:p>
    <w:p>
      <w:pPr>
        <w:wordWrap w:val="0"/>
        <w:spacing w:before="60" w:after="60"/>
        <w:ind w:firstLine="480" w:firstLineChars="150"/>
        <w:contextualSpacing/>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深圳市深汕特别合作区</w:t>
      </w:r>
      <w:r>
        <w:rPr>
          <w:rFonts w:ascii="Times New Roman" w:hAnsi="Times New Roman" w:eastAsia="方正仿宋_GBK"/>
          <w:sz w:val="32"/>
          <w:szCs w:val="32"/>
        </w:rPr>
        <w:t>智慧小区评</w:t>
      </w:r>
      <w:r>
        <w:rPr>
          <w:rFonts w:hint="eastAsia" w:ascii="Times New Roman" w:hAnsi="Times New Roman" w:eastAsia="方正仿宋_GBK"/>
          <w:sz w:val="32"/>
          <w:szCs w:val="32"/>
        </w:rPr>
        <w:t>级</w:t>
      </w:r>
      <w:r>
        <w:rPr>
          <w:rFonts w:ascii="Times New Roman" w:hAnsi="Times New Roman" w:eastAsia="方正仿宋_GBK"/>
          <w:sz w:val="32"/>
          <w:szCs w:val="32"/>
        </w:rPr>
        <w:t>申请表》一式五份，应采用A4纸双面打印、装订；</w:t>
      </w:r>
    </w:p>
    <w:p>
      <w:pPr>
        <w:wordWrap w:val="0"/>
        <w:spacing w:before="60" w:after="60"/>
        <w:ind w:firstLine="480" w:firstLineChars="150"/>
        <w:contextualSpacing/>
        <w:rPr>
          <w:rFonts w:ascii="Times New Roman" w:hAnsi="Times New Roman" w:eastAsia="方正仿宋_GBK"/>
          <w:sz w:val="32"/>
          <w:szCs w:val="32"/>
        </w:rPr>
      </w:pPr>
      <w:r>
        <w:rPr>
          <w:rFonts w:ascii="Times New Roman" w:hAnsi="Times New Roman" w:eastAsia="方正仿宋_GBK"/>
          <w:sz w:val="32"/>
          <w:szCs w:val="32"/>
        </w:rPr>
        <w:t>2.项目名称应与</w:t>
      </w:r>
      <w:r>
        <w:rPr>
          <w:rFonts w:ascii="Times New Roman" w:hAnsi="Times New Roman" w:eastAsia="方正仿宋_GBK"/>
          <w:color w:val="212121"/>
          <w:kern w:val="0"/>
          <w:sz w:val="32"/>
          <w:szCs w:val="32"/>
        </w:rPr>
        <w:t>建设工程规划许可证</w:t>
      </w:r>
      <w:r>
        <w:rPr>
          <w:rFonts w:hint="eastAsia" w:ascii="Times New Roman" w:hAnsi="Times New Roman" w:eastAsia="方正仿宋_GBK"/>
          <w:color w:val="212121"/>
          <w:kern w:val="0"/>
          <w:sz w:val="32"/>
          <w:szCs w:val="32"/>
        </w:rPr>
        <w:t>或</w:t>
      </w:r>
      <w:r>
        <w:rPr>
          <w:rFonts w:ascii="Times New Roman" w:hAnsi="Times New Roman" w:eastAsia="方正仿宋_GBK"/>
          <w:color w:val="212121"/>
          <w:kern w:val="0"/>
          <w:sz w:val="32"/>
          <w:szCs w:val="32"/>
        </w:rPr>
        <w:t>竣工备案证上保持一致；</w:t>
      </w:r>
    </w:p>
    <w:p>
      <w:pPr>
        <w:wordWrap w:val="0"/>
        <w:spacing w:before="60" w:after="60"/>
        <w:ind w:firstLine="480" w:firstLineChars="150"/>
        <w:contextualSpacing/>
        <w:rPr>
          <w:rFonts w:ascii="Times New Roman" w:hAnsi="Times New Roman" w:eastAsia="方正仿宋_GBK"/>
          <w:sz w:val="32"/>
          <w:szCs w:val="32"/>
        </w:rPr>
      </w:pPr>
      <w:r>
        <w:rPr>
          <w:rFonts w:ascii="Times New Roman" w:hAnsi="Times New Roman" w:eastAsia="方正仿宋_GBK"/>
          <w:sz w:val="32"/>
          <w:szCs w:val="32"/>
        </w:rPr>
        <w:t>3.申报阶段应为</w:t>
      </w:r>
      <w:r>
        <w:rPr>
          <w:rFonts w:hint="eastAsia" w:ascii="Times New Roman" w:hAnsi="Times New Roman" w:eastAsia="方正仿宋_GBK"/>
          <w:sz w:val="32"/>
          <w:szCs w:val="32"/>
        </w:rPr>
        <w:t>初验评级或</w:t>
      </w:r>
      <w:r>
        <w:rPr>
          <w:rFonts w:hint="eastAsia" w:ascii="Times New Roman" w:hAnsi="Times New Roman" w:eastAsia="方正仿宋_GBK"/>
          <w:sz w:val="32"/>
          <w:szCs w:val="32"/>
          <w:highlight w:val="none"/>
        </w:rPr>
        <w:t>终验</w:t>
      </w:r>
      <w:r>
        <w:rPr>
          <w:rFonts w:ascii="Times New Roman" w:hAnsi="Times New Roman" w:eastAsia="方正仿宋_GBK"/>
          <w:sz w:val="32"/>
          <w:szCs w:val="32"/>
        </w:rPr>
        <w:t>评</w:t>
      </w:r>
      <w:r>
        <w:rPr>
          <w:rFonts w:hint="eastAsia" w:ascii="Times New Roman" w:hAnsi="Times New Roman" w:eastAsia="方正仿宋_GBK"/>
          <w:sz w:val="32"/>
          <w:szCs w:val="32"/>
        </w:rPr>
        <w:t>级</w:t>
      </w:r>
      <w:r>
        <w:rPr>
          <w:rFonts w:ascii="Times New Roman" w:hAnsi="Times New Roman" w:eastAsia="方正仿宋_GBK"/>
          <w:sz w:val="32"/>
          <w:szCs w:val="32"/>
        </w:rPr>
        <w:t>；</w:t>
      </w:r>
    </w:p>
    <w:p>
      <w:pPr>
        <w:wordWrap w:val="0"/>
        <w:spacing w:before="60" w:after="60"/>
        <w:ind w:firstLine="480" w:firstLineChars="150"/>
        <w:contextualSpacing/>
        <w:rPr>
          <w:rFonts w:ascii="Times New Roman" w:hAnsi="Times New Roman" w:eastAsia="方正仿宋_GBK"/>
          <w:sz w:val="32"/>
          <w:szCs w:val="32"/>
        </w:rPr>
      </w:pPr>
      <w:r>
        <w:rPr>
          <w:rFonts w:ascii="Times New Roman" w:hAnsi="Times New Roman" w:eastAsia="方正仿宋_GBK"/>
          <w:sz w:val="32"/>
          <w:szCs w:val="32"/>
        </w:rPr>
        <w:t>4.实施起止时间应按照“年/月/日-年/月/日”的格式填写，例如：202</w:t>
      </w:r>
      <w:r>
        <w:rPr>
          <w:rFonts w:hint="eastAsia" w:ascii="Times New Roman" w:hAnsi="Times New Roman" w:eastAsia="方正仿宋_GBK"/>
          <w:sz w:val="32"/>
          <w:szCs w:val="32"/>
        </w:rPr>
        <w:t>1</w:t>
      </w:r>
      <w:r>
        <w:rPr>
          <w:rFonts w:ascii="Times New Roman" w:hAnsi="Times New Roman" w:eastAsia="方正仿宋_GBK"/>
          <w:sz w:val="32"/>
          <w:szCs w:val="32"/>
        </w:rPr>
        <w:t>年1月1日-202</w:t>
      </w:r>
      <w:r>
        <w:rPr>
          <w:rFonts w:hint="eastAsia" w:ascii="Times New Roman" w:hAnsi="Times New Roman" w:eastAsia="方正仿宋_GBK"/>
          <w:sz w:val="32"/>
          <w:szCs w:val="32"/>
        </w:rPr>
        <w:t>2</w:t>
      </w:r>
      <w:r>
        <w:rPr>
          <w:rFonts w:ascii="Times New Roman" w:hAnsi="Times New Roman" w:eastAsia="方正仿宋_GBK"/>
          <w:sz w:val="32"/>
          <w:szCs w:val="32"/>
        </w:rPr>
        <w:t>年12月31日；</w:t>
      </w:r>
    </w:p>
    <w:p>
      <w:pPr>
        <w:spacing w:before="60" w:after="60"/>
        <w:contextualSpacing/>
        <w:rPr>
          <w:rFonts w:ascii="Times New Roman" w:hAnsi="Times New Roman"/>
          <w:sz w:val="28"/>
          <w:szCs w:val="28"/>
        </w:rPr>
      </w:pPr>
      <w:r>
        <w:rPr>
          <w:rFonts w:ascii="Times New Roman" w:hAnsi="Times New Roman"/>
          <w:kern w:val="0"/>
          <w:sz w:val="28"/>
          <w:szCs w:val="28"/>
        </w:rPr>
        <w:br w:type="page"/>
      </w:r>
    </w:p>
    <w:tbl>
      <w:tblPr>
        <w:tblStyle w:val="12"/>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3431"/>
        <w:gridCol w:w="1224"/>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9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一、申报项目基本情况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项目地址</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项目申报单位</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560" w:lineRule="exac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智慧化建设设计单位</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560" w:lineRule="exac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智慧化建设咨询单位</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560" w:lineRule="exac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智慧化建设实施单位</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3431"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w:t>
            </w:r>
          </w:p>
        </w:tc>
        <w:tc>
          <w:tcPr>
            <w:tcW w:w="3431"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3431"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电子邮件</w:t>
            </w:r>
          </w:p>
        </w:tc>
        <w:tc>
          <w:tcPr>
            <w:tcW w:w="3431"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1826" w:type="dxa"/>
            <w:tcBorders>
              <w:top w:val="single" w:color="auto" w:sz="4" w:space="0"/>
              <w:left w:val="single" w:color="auto" w:sz="4" w:space="0"/>
              <w:bottom w:val="single" w:color="auto" w:sz="4" w:space="0"/>
              <w:right w:val="single" w:color="auto" w:sz="4" w:space="0"/>
            </w:tcBorders>
            <w:vAlign w:val="center"/>
          </w:tcPr>
          <w:p>
            <w:pPr>
              <w:spacing w:before="60" w:after="6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before="60" w:after="60"/>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项目基本情况</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p>
            <w:pPr>
              <w:spacing w:before="60" w:after="60"/>
              <w:contextualSpacing/>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95" w:type="dxa"/>
            <w:gridSpan w:val="4"/>
            <w:tcBorders>
              <w:top w:val="single" w:color="auto" w:sz="4" w:space="0"/>
              <w:left w:val="single" w:color="auto" w:sz="4" w:space="0"/>
              <w:bottom w:val="single" w:color="auto" w:sz="4" w:space="0"/>
              <w:right w:val="single" w:color="auto" w:sz="4" w:space="0"/>
            </w:tcBorders>
            <w:vAlign w:val="center"/>
          </w:tcPr>
          <w:p>
            <w:pPr>
              <w:spacing w:before="60" w:after="6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二、申报项目建设内容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jc w:val="center"/>
        </w:trPr>
        <w:tc>
          <w:tcPr>
            <w:tcW w:w="8895" w:type="dxa"/>
            <w:gridSpan w:val="4"/>
            <w:tcBorders>
              <w:top w:val="single" w:color="auto" w:sz="4" w:space="0"/>
              <w:left w:val="single" w:color="auto" w:sz="4" w:space="0"/>
              <w:bottom w:val="single" w:color="auto" w:sz="4" w:space="0"/>
              <w:right w:val="single" w:color="auto" w:sz="4" w:space="0"/>
            </w:tcBorders>
          </w:tcPr>
          <w:p>
            <w:pPr>
              <w:spacing w:before="60" w:after="6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（内容包括：智慧小区智能化设施、系统建设情况简介）</w:t>
            </w:r>
          </w:p>
        </w:tc>
      </w:tr>
    </w:tbl>
    <w:tbl>
      <w:tblPr>
        <w:tblStyle w:val="12"/>
        <w:tblpPr w:leftFromText="180" w:rightFromText="180" w:vertAnchor="text" w:horzAnchor="page" w:tblpX="1619" w:tblpY="-150"/>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895" w:type="dxa"/>
            <w:tcBorders>
              <w:top w:val="single" w:color="auto" w:sz="4" w:space="0"/>
              <w:left w:val="single" w:color="auto" w:sz="4" w:space="0"/>
              <w:bottom w:val="single" w:color="auto" w:sz="4" w:space="0"/>
              <w:right w:val="single" w:color="auto" w:sz="4" w:space="0"/>
            </w:tcBorders>
            <w:vAlign w:val="center"/>
          </w:tcPr>
          <w:p>
            <w:pPr>
              <w:spacing w:before="60" w:after="6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三、申报单位承诺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8895" w:type="dxa"/>
            <w:tcBorders>
              <w:top w:val="single" w:color="auto" w:sz="4" w:space="0"/>
              <w:left w:val="single" w:color="auto" w:sz="4" w:space="0"/>
              <w:bottom w:val="single" w:color="auto" w:sz="4" w:space="0"/>
              <w:right w:val="single" w:color="auto" w:sz="4" w:space="0"/>
            </w:tcBorders>
          </w:tcPr>
          <w:p>
            <w:pPr>
              <w:spacing w:before="60" w:after="60"/>
              <w:contextualSpacing/>
              <w:rPr>
                <w:rFonts w:asciiTheme="minorEastAsia" w:hAnsiTheme="minorEastAsia" w:eastAsiaTheme="minorEastAsia" w:cstheme="minorEastAsia"/>
                <w:sz w:val="28"/>
                <w:szCs w:val="28"/>
              </w:rPr>
            </w:pPr>
          </w:p>
          <w:p>
            <w:pPr>
              <w:spacing w:before="60" w:after="60"/>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本申报表和申报资料已经确认，情况属实，承诺已如期完成。</w:t>
            </w: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contextualSpacing/>
              <w:rPr>
                <w:rFonts w:asciiTheme="minorEastAsia" w:hAnsiTheme="minorEastAsia" w:eastAsiaTheme="minorEastAsia" w:cstheme="minorEastAsia"/>
                <w:sz w:val="24"/>
              </w:rPr>
            </w:pPr>
          </w:p>
          <w:p>
            <w:pPr>
              <w:ind w:right="840"/>
              <w:contextualSpacing/>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单位盖章</w:t>
            </w:r>
          </w:p>
          <w:p>
            <w:pPr>
              <w:wordWrap w:val="0"/>
              <w:spacing w:before="60" w:after="60"/>
              <w:contextualSpacing/>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895" w:type="dxa"/>
            <w:tcBorders>
              <w:top w:val="single" w:color="auto" w:sz="4" w:space="0"/>
              <w:left w:val="single" w:color="auto" w:sz="4" w:space="0"/>
              <w:bottom w:val="single" w:color="auto" w:sz="4" w:space="0"/>
              <w:right w:val="single" w:color="auto" w:sz="4" w:space="0"/>
            </w:tcBorders>
            <w:vAlign w:val="center"/>
          </w:tcPr>
          <w:p>
            <w:pPr>
              <w:spacing w:before="60" w:after="6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四、申报项目审查意见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trPr>
        <w:tc>
          <w:tcPr>
            <w:tcW w:w="8895" w:type="dxa"/>
            <w:tcBorders>
              <w:top w:val="single" w:color="auto" w:sz="4" w:space="0"/>
              <w:left w:val="single" w:color="auto" w:sz="4" w:space="0"/>
              <w:bottom w:val="single" w:color="auto" w:sz="4" w:space="0"/>
              <w:right w:val="single" w:color="auto" w:sz="4" w:space="0"/>
            </w:tcBorders>
          </w:tcPr>
          <w:p>
            <w:pPr>
              <w:spacing w:before="60" w:after="6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深圳市深汕特别合作区住房建设和水务局审查意见：</w:t>
            </w: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spacing w:before="60" w:after="60"/>
              <w:contextualSpacing/>
              <w:rPr>
                <w:rFonts w:asciiTheme="minorEastAsia" w:hAnsiTheme="minorEastAsia" w:eastAsiaTheme="minorEastAsia" w:cstheme="minorEastAsia"/>
                <w:sz w:val="24"/>
              </w:rPr>
            </w:pPr>
          </w:p>
          <w:p>
            <w:pPr>
              <w:tabs>
                <w:tab w:val="left" w:pos="6267"/>
                <w:tab w:val="left" w:pos="6537"/>
              </w:tabs>
              <w:spacing w:before="60" w:after="60"/>
              <w:ind w:right="840"/>
              <w:contextualSpacing/>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单位盖章</w:t>
            </w:r>
          </w:p>
          <w:p>
            <w:pPr>
              <w:wordWrap w:val="0"/>
              <w:spacing w:before="60" w:after="60"/>
              <w:contextualSpacing/>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 xml:space="preserve">年  月  日 </w:t>
            </w:r>
            <w:r>
              <w:rPr>
                <w:rFonts w:hint="eastAsia" w:asciiTheme="minorEastAsia" w:hAnsiTheme="minorEastAsia" w:eastAsiaTheme="minorEastAsia" w:cstheme="minorEastAsia"/>
                <w:sz w:val="28"/>
                <w:szCs w:val="28"/>
              </w:rPr>
              <w:t xml:space="preserve">   </w:t>
            </w:r>
          </w:p>
        </w:tc>
      </w:tr>
    </w:tbl>
    <w:p>
      <w:pPr>
        <w:tabs>
          <w:tab w:val="left" w:pos="6180"/>
        </w:tabs>
        <w:rPr>
          <w:rFonts w:ascii="黑体" w:hAnsi="仿宋" w:eastAsia="黑体"/>
          <w:sz w:val="32"/>
          <w:szCs w:val="32"/>
        </w:rPr>
      </w:pPr>
    </w:p>
    <w:p>
      <w:pPr>
        <w:tabs>
          <w:tab w:val="left" w:pos="6180"/>
        </w:tabs>
        <w:spacing w:line="560" w:lineRule="exact"/>
        <w:jc w:val="center"/>
        <w:outlineLvl w:val="0"/>
        <w:rPr>
          <w:rFonts w:ascii="方正小标宋简体" w:hAnsi="方正小标宋简体" w:eastAsia="方正小标宋简体" w:cs="方正小标宋简体"/>
          <w:sz w:val="44"/>
          <w:szCs w:val="44"/>
        </w:rPr>
      </w:pPr>
      <w:bookmarkStart w:id="59" w:name="_Toc30543_WPSOffice_Level1"/>
      <w:bookmarkStart w:id="60" w:name="_Toc29975_WPSOffice_Level1"/>
      <w:bookmarkStart w:id="61" w:name="_Toc5591_WPSOffice_Level1"/>
      <w:r>
        <w:rPr>
          <w:rFonts w:hint="eastAsia" w:ascii="方正小标宋简体" w:hAnsi="方正小标宋简体" w:eastAsia="方正小标宋简体" w:cs="方正小标宋简体"/>
          <w:sz w:val="44"/>
          <w:szCs w:val="44"/>
        </w:rPr>
        <w:t>深圳市深汕特别合作区智慧小区</w:t>
      </w:r>
      <w:bookmarkEnd w:id="59"/>
      <w:bookmarkEnd w:id="60"/>
      <w:bookmarkEnd w:id="61"/>
    </w:p>
    <w:p>
      <w:pPr>
        <w:tabs>
          <w:tab w:val="left" w:pos="6180"/>
        </w:tabs>
        <w:spacing w:line="560" w:lineRule="exact"/>
        <w:jc w:val="center"/>
        <w:outlineLvl w:val="0"/>
        <w:rPr>
          <w:rFonts w:ascii="方正小标宋简体" w:hAnsi="方正小标宋简体" w:eastAsia="方正小标宋简体" w:cs="方正小标宋简体"/>
          <w:sz w:val="44"/>
          <w:szCs w:val="44"/>
        </w:rPr>
      </w:pPr>
      <w:bookmarkStart w:id="62" w:name="_Toc8092_WPSOffice_Level1"/>
      <w:bookmarkStart w:id="63" w:name="_Toc11518_WPSOffice_Level1"/>
      <w:bookmarkStart w:id="64" w:name="_Toc23783_WPSOffice_Level1"/>
      <w:r>
        <w:rPr>
          <w:rFonts w:hint="eastAsia" w:ascii="方正小标宋简体" w:hAnsi="方正小标宋简体" w:eastAsia="方正小标宋简体" w:cs="方正小标宋简体"/>
          <w:sz w:val="44"/>
          <w:szCs w:val="44"/>
        </w:rPr>
        <w:t>专项补贴申报指南</w:t>
      </w:r>
      <w:bookmarkEnd w:id="62"/>
      <w:bookmarkEnd w:id="63"/>
      <w:bookmarkEnd w:id="64"/>
    </w:p>
    <w:p>
      <w:pPr>
        <w:tabs>
          <w:tab w:val="left" w:pos="6180"/>
        </w:tabs>
        <w:outlineLvl w:val="0"/>
        <w:rPr>
          <w:rFonts w:ascii="黑体" w:hAnsi="黑体" w:eastAsia="黑体" w:cs="黑体"/>
          <w:sz w:val="44"/>
          <w:szCs w:val="44"/>
        </w:rPr>
      </w:pPr>
    </w:p>
    <w:p>
      <w:pPr>
        <w:tabs>
          <w:tab w:val="left" w:pos="6180"/>
        </w:tabs>
        <w:jc w:val="center"/>
        <w:outlineLvl w:val="0"/>
        <w:rPr>
          <w:rFonts w:ascii="黑体" w:hAnsi="黑体" w:eastAsia="黑体" w:cs="黑体"/>
          <w:sz w:val="36"/>
          <w:szCs w:val="36"/>
        </w:rPr>
      </w:pPr>
      <w:bookmarkStart w:id="65" w:name="_Toc18509_WPSOffice_Level1"/>
      <w:bookmarkStart w:id="66" w:name="_Toc7869_WPSOffice_Level1"/>
      <w:bookmarkStart w:id="67" w:name="_Toc25726_WPSOffice_Level1"/>
      <w:r>
        <w:rPr>
          <w:rFonts w:hint="eastAsia" w:ascii="黑体" w:hAnsi="黑体" w:eastAsia="黑体" w:cs="黑体"/>
          <w:sz w:val="36"/>
          <w:szCs w:val="36"/>
        </w:rPr>
        <w:t>智慧小区专项补贴申报流程</w:t>
      </w:r>
      <w:bookmarkEnd w:id="65"/>
      <w:bookmarkEnd w:id="66"/>
      <w:bookmarkEnd w:id="67"/>
    </w:p>
    <w:p>
      <w:pPr>
        <w:tabs>
          <w:tab w:val="left" w:pos="6180"/>
        </w:tabs>
        <w:rPr>
          <w:rFonts w:ascii="仿宋_GB2312" w:hAnsi="仿宋_GB2312" w:cs="仿宋_GB2312"/>
          <w:sz w:val="32"/>
          <w:szCs w:val="32"/>
        </w:rPr>
      </w:pPr>
      <w:r>
        <w:rPr>
          <w:rFonts w:ascii="仿宋_GB2312" w:hAnsi="仿宋_GB2312" w:cs="仿宋_GB2312"/>
          <w:sz w:val="32"/>
          <w:szCs w:val="32"/>
        </w:rPr>
        <w:drawing>
          <wp:inline distT="0" distB="0" distL="0" distR="0">
            <wp:extent cx="5463540" cy="6391275"/>
            <wp:effectExtent l="0" t="0" r="3810" b="0"/>
            <wp:docPr id="10" name="图片 10" descr="C:\Users\jiang\AppData\Roaming\DingTalk\549373347_v2\ImageFiles\ca\lQLPDhrDgmv3RIrNAxjNAqawJO72IWrinEcvUWz_wkT89w_678_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jiang\AppData\Roaming\DingTalk\549373347_v2\ImageFiles\ca\lQLPDhrDgmv3RIrNAxjNAqawJO72IWrinEcvUWz_wkT89w_678_7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63834" cy="6391275"/>
                    </a:xfrm>
                    <a:prstGeom prst="rect">
                      <a:avLst/>
                    </a:prstGeom>
                    <a:noFill/>
                    <a:ln>
                      <a:noFill/>
                    </a:ln>
                  </pic:spPr>
                </pic:pic>
              </a:graphicData>
            </a:graphic>
          </wp:inline>
        </w:drawing>
      </w:r>
    </w:p>
    <w:p>
      <w:pPr>
        <w:spacing w:line="240" w:lineRule="auto"/>
        <w:jc w:val="left"/>
        <w:rPr>
          <w:rFonts w:ascii="黑体" w:hAnsi="黑体" w:eastAsia="黑体" w:cs="黑体"/>
          <w:sz w:val="36"/>
          <w:szCs w:val="36"/>
        </w:rPr>
      </w:pPr>
      <w:r>
        <w:rPr>
          <w:rFonts w:hint="eastAsia" w:ascii="仿宋_GB2312" w:hAnsi="仿宋_GB2312" w:cs="仿宋_GB2312"/>
          <w:sz w:val="32"/>
          <w:szCs w:val="32"/>
        </w:rPr>
        <w:br w:type="page"/>
      </w:r>
    </w:p>
    <w:p>
      <w:pPr>
        <w:spacing w:line="360" w:lineRule="exact"/>
        <w:jc w:val="center"/>
        <w:rPr>
          <w:rFonts w:ascii="黑体" w:hAnsi="黑体" w:eastAsia="黑体" w:cs="黑体"/>
          <w:sz w:val="36"/>
          <w:szCs w:val="36"/>
        </w:rPr>
      </w:pPr>
      <w:bookmarkStart w:id="68" w:name="_Toc25274_WPSOffice_Level1"/>
      <w:bookmarkStart w:id="69" w:name="_Toc976_WPSOffice_Level1"/>
      <w:bookmarkStart w:id="70" w:name="_Toc1916_WPSOffice_Level1"/>
      <w:r>
        <w:rPr>
          <w:rFonts w:hint="eastAsia" w:ascii="黑体" w:hAnsi="黑体" w:eastAsia="黑体" w:cs="黑体"/>
          <w:sz w:val="36"/>
          <w:szCs w:val="36"/>
        </w:rPr>
        <w:t>深圳市深汕特别合作区智慧小区</w:t>
      </w:r>
      <w:bookmarkEnd w:id="68"/>
      <w:bookmarkEnd w:id="69"/>
      <w:bookmarkEnd w:id="70"/>
    </w:p>
    <w:p>
      <w:pPr>
        <w:spacing w:line="360" w:lineRule="exact"/>
        <w:jc w:val="center"/>
        <w:rPr>
          <w:rFonts w:ascii="黑体" w:hAnsi="黑体" w:eastAsia="黑体" w:cs="黑体"/>
          <w:sz w:val="36"/>
          <w:szCs w:val="36"/>
        </w:rPr>
      </w:pPr>
      <w:bookmarkStart w:id="71" w:name="_Toc23129_WPSOffice_Level1"/>
      <w:bookmarkStart w:id="72" w:name="_Toc24133_WPSOffice_Level1"/>
      <w:bookmarkStart w:id="73" w:name="_Toc1032_WPSOffice_Level1"/>
      <w:r>
        <w:rPr>
          <w:rFonts w:hint="eastAsia" w:ascii="黑体" w:hAnsi="黑体" w:eastAsia="黑体" w:cs="黑体"/>
          <w:sz w:val="36"/>
          <w:szCs w:val="36"/>
        </w:rPr>
        <w:t>专项补贴申报材料一览表</w:t>
      </w:r>
      <w:bookmarkEnd w:id="71"/>
      <w:bookmarkEnd w:id="72"/>
      <w:bookmarkEnd w:id="73"/>
    </w:p>
    <w:tbl>
      <w:tblPr>
        <w:tblStyle w:val="13"/>
        <w:tblpPr w:leftFromText="180" w:rightFromText="180" w:vertAnchor="text" w:horzAnchor="page" w:tblpX="1343" w:tblpY="474"/>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793"/>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80" w:type="dxa"/>
            <w:vAlign w:val="center"/>
          </w:tcPr>
          <w:p>
            <w:pPr>
              <w:spacing w:line="0" w:lineRule="atLeas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3793" w:type="dxa"/>
            <w:vAlign w:val="center"/>
          </w:tcPr>
          <w:p>
            <w:pPr>
              <w:spacing w:line="0" w:lineRule="atLeas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材料名称</w:t>
            </w:r>
          </w:p>
        </w:tc>
        <w:tc>
          <w:tcPr>
            <w:tcW w:w="4396" w:type="dxa"/>
            <w:vAlign w:val="center"/>
          </w:tcPr>
          <w:p>
            <w:pPr>
              <w:spacing w:line="0" w:lineRule="atLeas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80" w:type="dxa"/>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1</w:t>
            </w:r>
          </w:p>
        </w:tc>
        <w:tc>
          <w:tcPr>
            <w:tcW w:w="3793" w:type="dxa"/>
            <w:vAlign w:val="center"/>
          </w:tcPr>
          <w:p>
            <w:pPr>
              <w:jc w:val="left"/>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sz w:val="24"/>
              </w:rPr>
              <w:t>专项补贴申请表</w:t>
            </w:r>
          </w:p>
        </w:tc>
        <w:tc>
          <w:tcPr>
            <w:tcW w:w="4396" w:type="dxa"/>
            <w:vAlign w:val="center"/>
          </w:tcPr>
          <w:p>
            <w:pPr>
              <w:jc w:val="left"/>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z w:val="24"/>
                <w:shd w:val="clear" w:color="auto" w:fill="FFFFFF"/>
              </w:rPr>
              <w:t>提交纸质件原件并加盖公章和法人签字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0" w:type="dxa"/>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2</w:t>
            </w:r>
          </w:p>
        </w:tc>
        <w:tc>
          <w:tcPr>
            <w:tcW w:w="3793" w:type="dxa"/>
            <w:vAlign w:val="center"/>
          </w:tcPr>
          <w:p>
            <w:pPr>
              <w:jc w:val="left"/>
              <w:rPr>
                <w:rFonts w:asciiTheme="minorEastAsia" w:hAnsiTheme="minorEastAsia" w:eastAsiaTheme="minorEastAsia" w:cstheme="minorEastAsia"/>
                <w:b/>
                <w:bCs/>
                <w:color w:val="000000"/>
                <w:spacing w:val="57"/>
                <w:sz w:val="24"/>
                <w:shd w:val="clear" w:color="auto" w:fill="FFFFFF"/>
              </w:rPr>
            </w:pPr>
            <w:r>
              <w:rPr>
                <w:rFonts w:hint="eastAsia" w:asciiTheme="minorEastAsia" w:hAnsiTheme="minorEastAsia" w:eastAsiaTheme="minorEastAsia" w:cstheme="minorEastAsia"/>
                <w:sz w:val="24"/>
              </w:rPr>
              <w:t>土地使用权出让合同书以及出让合同的补充协议书或有效的土地使用权证明文件</w:t>
            </w:r>
          </w:p>
        </w:tc>
        <w:tc>
          <w:tcPr>
            <w:tcW w:w="4396" w:type="dxa"/>
            <w:vAlign w:val="center"/>
          </w:tcPr>
          <w:p>
            <w:pPr>
              <w:jc w:val="left"/>
              <w:rPr>
                <w:rFonts w:asciiTheme="minorEastAsia" w:hAnsiTheme="minorEastAsia" w:eastAsiaTheme="minorEastAsia" w:cstheme="minorEastAsia"/>
                <w:b/>
                <w:bCs/>
                <w:color w:val="000000"/>
                <w:spacing w:val="57"/>
                <w:sz w:val="24"/>
                <w:shd w:val="clear" w:color="auto" w:fill="FFFFFF"/>
              </w:rPr>
            </w:pPr>
            <w:r>
              <w:rPr>
                <w:rFonts w:hint="eastAsia" w:asciiTheme="minorEastAsia" w:hAnsiTheme="minorEastAsia" w:eastAsiaTheme="minorEastAsia" w:cstheme="minorEastAsia"/>
                <w:color w:val="000000"/>
                <w:sz w:val="24"/>
                <w:shd w:val="clear" w:color="auto" w:fill="FFFFFF"/>
              </w:rPr>
              <w:t>收复印件并加盖申请单位公章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80" w:type="dxa"/>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3</w:t>
            </w:r>
          </w:p>
        </w:tc>
        <w:tc>
          <w:tcPr>
            <w:tcW w:w="3793" w:type="dxa"/>
            <w:vAlign w:val="center"/>
          </w:tcPr>
          <w:p>
            <w:pPr>
              <w:jc w:val="left"/>
              <w:rPr>
                <w:rFonts w:asciiTheme="minorEastAsia" w:hAnsiTheme="minorEastAsia" w:eastAsiaTheme="minorEastAsia" w:cstheme="minorEastAsia"/>
                <w:b/>
                <w:bCs/>
                <w:color w:val="000000"/>
                <w:spacing w:val="57"/>
                <w:sz w:val="24"/>
                <w:shd w:val="clear" w:color="auto" w:fill="FFFFFF"/>
              </w:rPr>
            </w:pPr>
            <w:r>
              <w:rPr>
                <w:rFonts w:hint="eastAsia" w:asciiTheme="minorEastAsia" w:hAnsiTheme="minorEastAsia" w:eastAsiaTheme="minorEastAsia" w:cstheme="minorEastAsia"/>
                <w:sz w:val="24"/>
              </w:rPr>
              <w:t>建筑面积证明材料</w:t>
            </w:r>
          </w:p>
        </w:tc>
        <w:tc>
          <w:tcPr>
            <w:tcW w:w="4396" w:type="dxa"/>
            <w:vAlign w:val="center"/>
          </w:tcPr>
          <w:p>
            <w:pPr>
              <w:jc w:val="left"/>
              <w:rPr>
                <w:rFonts w:asciiTheme="minorEastAsia" w:hAnsiTheme="minorEastAsia" w:eastAsiaTheme="minorEastAsia" w:cstheme="minorEastAsia"/>
                <w:b/>
                <w:bCs/>
                <w:color w:val="000000"/>
                <w:spacing w:val="57"/>
                <w:sz w:val="24"/>
                <w:shd w:val="clear" w:color="auto" w:fill="FFFFFF"/>
              </w:rPr>
            </w:pPr>
            <w:r>
              <w:rPr>
                <w:rFonts w:hint="eastAsia" w:asciiTheme="minorEastAsia" w:hAnsiTheme="minorEastAsia" w:eastAsiaTheme="minorEastAsia" w:cstheme="minorEastAsia"/>
                <w:sz w:val="24"/>
              </w:rPr>
              <w:t>收复印件并加盖申请单位公章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80" w:type="dxa"/>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4</w:t>
            </w:r>
          </w:p>
        </w:tc>
        <w:tc>
          <w:tcPr>
            <w:tcW w:w="3793" w:type="dxa"/>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竣工验收证书或竣工验收备案证书或竣工验收备案回执。</w:t>
            </w:r>
          </w:p>
        </w:tc>
        <w:tc>
          <w:tcPr>
            <w:tcW w:w="4396" w:type="dxa"/>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0" w:type="dxa"/>
            <w:tcBorders>
              <w:bottom w:val="single" w:color="auto" w:sz="4" w:space="0"/>
            </w:tcBorders>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5</w:t>
            </w:r>
          </w:p>
        </w:tc>
        <w:tc>
          <w:tcPr>
            <w:tcW w:w="3793" w:type="dxa"/>
            <w:tcBorders>
              <w:bottom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身份证明</w:t>
            </w:r>
          </w:p>
        </w:tc>
        <w:tc>
          <w:tcPr>
            <w:tcW w:w="4396" w:type="dxa"/>
            <w:tcBorders>
              <w:bottom w:val="single" w:color="auto" w:sz="4"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营业执照收复印件加盖申请单位公章、法人授权委托证明书收原件、法定代表人身份证收复印件加盖申请单位公章、受托人身份证核原件收复印件并加盖申请单位公章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6</w:t>
            </w:r>
          </w:p>
        </w:tc>
        <w:tc>
          <w:tcPr>
            <w:tcW w:w="379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建设工程规划验收合格证</w:t>
            </w:r>
          </w:p>
        </w:tc>
        <w:tc>
          <w:tcPr>
            <w:tcW w:w="439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pacing w:val="57"/>
                <w:sz w:val="24"/>
                <w:shd w:val="clear" w:color="auto" w:fill="FFFFFF"/>
              </w:rPr>
            </w:pPr>
            <w:r>
              <w:rPr>
                <w:rFonts w:asciiTheme="minorEastAsia" w:hAnsiTheme="minorEastAsia" w:eastAsiaTheme="minorEastAsia" w:cstheme="minorEastAsia"/>
                <w:color w:val="000000"/>
                <w:spacing w:val="57"/>
                <w:sz w:val="24"/>
                <w:shd w:val="clear" w:color="auto" w:fill="FFFFFF"/>
              </w:rPr>
              <w:t>7</w:t>
            </w:r>
          </w:p>
        </w:tc>
        <w:tc>
          <w:tcPr>
            <w:tcW w:w="379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物业备案合同及回执</w:t>
            </w:r>
          </w:p>
        </w:tc>
        <w:tc>
          <w:tcPr>
            <w:tcW w:w="4396"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收复印件并加盖申请单位公章（</w:t>
            </w:r>
            <w:r>
              <w:rPr>
                <w:rFonts w:hint="eastAsia" w:asciiTheme="minorEastAsia" w:hAnsiTheme="minorEastAsia" w:eastAsiaTheme="minorEastAsia" w:cstheme="minorEastAsia"/>
                <w:color w:val="000000"/>
                <w:sz w:val="24"/>
              </w:rPr>
              <w:t>申报单位为物业单位的情况下需提交</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000000"/>
                <w:spacing w:val="57"/>
                <w:sz w:val="24"/>
                <w:shd w:val="clear" w:color="auto" w:fill="FFFFFF"/>
              </w:rPr>
            </w:pPr>
            <w:r>
              <w:rPr>
                <w:rFonts w:hint="eastAsia" w:asciiTheme="minorEastAsia" w:hAnsiTheme="minorEastAsia" w:eastAsiaTheme="minorEastAsia" w:cstheme="minorEastAsia"/>
                <w:color w:val="000000"/>
                <w:spacing w:val="57"/>
                <w:sz w:val="24"/>
                <w:shd w:val="clear" w:color="auto" w:fill="FFFFFF"/>
              </w:rPr>
              <w:t>8</w:t>
            </w:r>
          </w:p>
        </w:tc>
        <w:tc>
          <w:tcPr>
            <w:tcW w:w="379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专项补贴申请声明（初验）</w:t>
            </w:r>
          </w:p>
        </w:tc>
        <w:tc>
          <w:tcPr>
            <w:tcW w:w="439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shd w:val="clear" w:color="auto" w:fill="FFFFFF"/>
              </w:rPr>
              <w:t>提交纸质件原件并加盖公章和法人签字。（</w:t>
            </w:r>
            <w:r>
              <w:rPr>
                <w:rFonts w:asciiTheme="minorEastAsia" w:hAnsiTheme="minorEastAsia" w:eastAsiaTheme="minorEastAsia" w:cstheme="minorEastAsia"/>
                <w:color w:val="000000"/>
                <w:sz w:val="24"/>
              </w:rPr>
              <w:t>声明应包含如下承诺</w:t>
            </w:r>
            <w:r>
              <w:rPr>
                <w:rFonts w:hint="eastAsia" w:asciiTheme="minorEastAsia" w:hAnsiTheme="minorEastAsia" w:eastAsiaTheme="minorEastAsia" w:cstheme="minorEastAsia"/>
                <w:color w:val="000000"/>
                <w:sz w:val="24"/>
              </w:rPr>
              <w:t>：1.</w:t>
            </w:r>
            <w:r>
              <w:rPr>
                <w:rFonts w:asciiTheme="minorEastAsia" w:hAnsiTheme="minorEastAsia" w:eastAsiaTheme="minorEastAsia" w:cstheme="minorEastAsia"/>
                <w:color w:val="000000"/>
                <w:sz w:val="24"/>
              </w:rPr>
              <w:t>所提供材料真实</w:t>
            </w:r>
            <w:r>
              <w:rPr>
                <w:rFonts w:hint="eastAsia" w:asciiTheme="minorEastAsia" w:hAnsiTheme="minorEastAsia" w:eastAsiaTheme="minorEastAsia" w:cstheme="minorEastAsia"/>
                <w:color w:val="000000"/>
                <w:sz w:val="24"/>
              </w:rPr>
              <w:t>、</w:t>
            </w:r>
            <w:r>
              <w:rPr>
                <w:rFonts w:asciiTheme="minorEastAsia" w:hAnsiTheme="minorEastAsia" w:eastAsiaTheme="minorEastAsia" w:cstheme="minorEastAsia"/>
                <w:color w:val="000000"/>
                <w:sz w:val="24"/>
              </w:rPr>
              <w:t>可靠</w:t>
            </w:r>
            <w:r>
              <w:rPr>
                <w:rFonts w:hint="eastAsia" w:asciiTheme="minorEastAsia" w:hAnsiTheme="minorEastAsia" w:eastAsiaTheme="minorEastAsia" w:cstheme="minorEastAsia"/>
                <w:color w:val="000000"/>
                <w:sz w:val="24"/>
              </w:rPr>
              <w:t>；2.若初验后3个月内未申请终验或终验未通过，退回已领取补贴。）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80" w:type="dxa"/>
            <w:vMerge w:val="continue"/>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000000"/>
                <w:spacing w:val="57"/>
                <w:sz w:val="24"/>
                <w:shd w:val="clear" w:color="auto" w:fill="FFFFFF"/>
              </w:rPr>
            </w:pPr>
          </w:p>
        </w:tc>
        <w:tc>
          <w:tcPr>
            <w:tcW w:w="379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专项补贴申请声明（终验）</w:t>
            </w:r>
          </w:p>
        </w:tc>
        <w:tc>
          <w:tcPr>
            <w:tcW w:w="439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color w:val="000000"/>
                <w:sz w:val="24"/>
                <w:shd w:val="clear" w:color="auto" w:fill="FFFFFF"/>
              </w:rPr>
              <w:t>提交纸质件原件并加盖公章和法人签字。（</w:t>
            </w:r>
            <w:r>
              <w:rPr>
                <w:rFonts w:asciiTheme="minorEastAsia" w:hAnsiTheme="minorEastAsia" w:eastAsiaTheme="minorEastAsia" w:cstheme="minorEastAsia"/>
                <w:color w:val="000000"/>
                <w:sz w:val="24"/>
              </w:rPr>
              <w:t>声明应包含如下承诺</w:t>
            </w:r>
            <w:r>
              <w:rPr>
                <w:rFonts w:hint="eastAsia" w:asciiTheme="minorEastAsia" w:hAnsiTheme="minorEastAsia" w:eastAsiaTheme="minorEastAsia" w:cstheme="minorEastAsia"/>
                <w:color w:val="000000"/>
                <w:sz w:val="24"/>
              </w:rPr>
              <w:t>：1.</w:t>
            </w:r>
            <w:r>
              <w:rPr>
                <w:rFonts w:asciiTheme="minorEastAsia" w:hAnsiTheme="minorEastAsia" w:eastAsiaTheme="minorEastAsia" w:cstheme="minorEastAsia"/>
                <w:color w:val="000000"/>
                <w:sz w:val="24"/>
              </w:rPr>
              <w:t>所提供材料真实</w:t>
            </w:r>
            <w:r>
              <w:rPr>
                <w:rFonts w:hint="eastAsia" w:asciiTheme="minorEastAsia" w:hAnsiTheme="minorEastAsia" w:eastAsiaTheme="minorEastAsia" w:cstheme="minorEastAsia"/>
                <w:color w:val="000000"/>
                <w:sz w:val="24"/>
              </w:rPr>
              <w:t>、</w:t>
            </w:r>
            <w:r>
              <w:rPr>
                <w:rFonts w:asciiTheme="minorEastAsia" w:hAnsiTheme="minorEastAsia" w:eastAsiaTheme="minorEastAsia" w:cstheme="minorEastAsia"/>
                <w:color w:val="000000"/>
                <w:sz w:val="24"/>
              </w:rPr>
              <w:t>可靠</w:t>
            </w:r>
            <w:r>
              <w:rPr>
                <w:rFonts w:hint="eastAsia" w:asciiTheme="minorEastAsia" w:hAnsiTheme="minorEastAsia" w:eastAsiaTheme="minorEastAsia" w:cstheme="minorEastAsia"/>
                <w:color w:val="000000"/>
                <w:sz w:val="24"/>
              </w:rPr>
              <w:t>；2.若终验后运营服务达不到评定等级要求，退回已领取的全部补贴）</w:t>
            </w:r>
          </w:p>
        </w:tc>
      </w:tr>
    </w:tbl>
    <w:p>
      <w:pPr>
        <w:spacing w:line="560" w:lineRule="exact"/>
        <w:rPr>
          <w:rFonts w:ascii="方正小标宋_GBK" w:hAnsi="方正小标宋_GBK" w:eastAsia="方正小标宋_GBK" w:cs="方正小标宋_GBK"/>
          <w:sz w:val="24"/>
        </w:rPr>
      </w:pPr>
      <w:r>
        <w:rPr>
          <w:rFonts w:hint="eastAsia" w:asciiTheme="minorEastAsia" w:hAnsiTheme="minorEastAsia" w:eastAsiaTheme="minorEastAsia" w:cstheme="minorEastAsia"/>
          <w:sz w:val="24"/>
        </w:rPr>
        <w:t>注：以上资料均</w:t>
      </w:r>
      <w:r>
        <w:rPr>
          <w:rFonts w:hint="eastAsia" w:asciiTheme="minorEastAsia" w:hAnsiTheme="minorEastAsia" w:eastAsiaTheme="minorEastAsia" w:cstheme="minorEastAsia"/>
          <w:color w:val="000000"/>
          <w:sz w:val="24"/>
          <w:shd w:val="clear" w:color="auto" w:fill="FFFFFF"/>
        </w:rPr>
        <w:t>收复印件并加盖申请单位公章。</w:t>
      </w:r>
    </w:p>
    <w:p>
      <w:pPr>
        <w:widowControl/>
        <w:jc w:val="left"/>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p>
    <w:p>
      <w:pPr>
        <w:spacing w:before="78" w:beforeLines="25" w:line="360" w:lineRule="exact"/>
        <w:ind w:right="-105" w:rightChars="-50"/>
        <w:jc w:val="center"/>
        <w:outlineLvl w:val="0"/>
        <w:rPr>
          <w:rFonts w:ascii="黑体" w:hAnsi="黑体" w:eastAsia="黑体" w:cs="黑体"/>
          <w:sz w:val="36"/>
          <w:szCs w:val="36"/>
        </w:rPr>
      </w:pPr>
      <w:bookmarkStart w:id="74" w:name="_Toc21910_WPSOffice_Level1"/>
      <w:bookmarkStart w:id="75" w:name="_Toc20905_WPSOffice_Level1"/>
      <w:bookmarkStart w:id="76" w:name="_Toc22471_WPSOffice_Level1"/>
      <w:r>
        <w:rPr>
          <w:rFonts w:hint="eastAsia" w:ascii="黑体" w:hAnsi="黑体" w:eastAsia="黑体" w:cs="黑体"/>
          <w:sz w:val="36"/>
          <w:szCs w:val="36"/>
        </w:rPr>
        <w:t>深圳市深汕特别合作区智慧小区</w:t>
      </w:r>
      <w:bookmarkEnd w:id="74"/>
      <w:bookmarkEnd w:id="75"/>
      <w:bookmarkEnd w:id="76"/>
    </w:p>
    <w:p>
      <w:pPr>
        <w:spacing w:before="78" w:beforeLines="25" w:line="360" w:lineRule="exact"/>
        <w:ind w:right="-105" w:rightChars="-50"/>
        <w:jc w:val="center"/>
        <w:outlineLvl w:val="0"/>
        <w:rPr>
          <w:rFonts w:ascii="仿宋_GB2312" w:hAnsi="仿宋_GB2312" w:cs="仿宋_GB2312"/>
          <w:sz w:val="36"/>
          <w:szCs w:val="36"/>
        </w:rPr>
      </w:pPr>
      <w:bookmarkStart w:id="77" w:name="_Toc22870_WPSOffice_Level1"/>
      <w:bookmarkStart w:id="78" w:name="_Toc3016_WPSOffice_Level1"/>
      <w:bookmarkStart w:id="79" w:name="_Toc5722_WPSOffice_Level1"/>
      <w:r>
        <w:rPr>
          <w:rFonts w:hint="eastAsia" w:ascii="黑体" w:hAnsi="黑体" w:eastAsia="黑体" w:cs="黑体"/>
          <w:sz w:val="36"/>
          <w:szCs w:val="36"/>
        </w:rPr>
        <w:t>专项补贴申请表</w:t>
      </w:r>
      <w:bookmarkEnd w:id="77"/>
      <w:bookmarkEnd w:id="78"/>
      <w:bookmarkEnd w:id="79"/>
    </w:p>
    <w:p>
      <w:pPr>
        <w:spacing w:line="500" w:lineRule="exact"/>
        <w:rPr>
          <w:sz w:val="24"/>
        </w:rPr>
      </w:pPr>
    </w:p>
    <w:tbl>
      <w:tblPr>
        <w:tblStyle w:val="12"/>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1920"/>
        <w:gridCol w:w="12"/>
        <w:gridCol w:w="2178"/>
        <w:gridCol w:w="3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申报单位名称</w:t>
            </w:r>
          </w:p>
        </w:tc>
        <w:tc>
          <w:tcPr>
            <w:tcW w:w="6038" w:type="dxa"/>
            <w:gridSpan w:val="5"/>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申报单位地址</w:t>
            </w:r>
          </w:p>
        </w:tc>
        <w:tc>
          <w:tcPr>
            <w:tcW w:w="6038" w:type="dxa"/>
            <w:gridSpan w:val="5"/>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申报单位统一社会信用代码</w:t>
            </w:r>
          </w:p>
        </w:tc>
        <w:tc>
          <w:tcPr>
            <w:tcW w:w="6038" w:type="dxa"/>
            <w:gridSpan w:val="5"/>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434"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申报单位开户银行及账号信息</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（请务必准确）</w:t>
            </w:r>
          </w:p>
        </w:tc>
        <w:tc>
          <w:tcPr>
            <w:tcW w:w="6038" w:type="dxa"/>
            <w:gridSpan w:val="5"/>
            <w:vAlign w:val="center"/>
          </w:tcPr>
          <w:p>
            <w:pPr>
              <w:spacing w:before="46" w:beforeLines="15" w:after="46" w:afterLines="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申报单位联系人</w:t>
            </w:r>
          </w:p>
        </w:tc>
        <w:tc>
          <w:tcPr>
            <w:tcW w:w="1932" w:type="dxa"/>
            <w:gridSpan w:val="2"/>
            <w:vAlign w:val="center"/>
          </w:tcPr>
          <w:p>
            <w:pPr>
              <w:rPr>
                <w:rFonts w:asciiTheme="minorEastAsia" w:hAnsiTheme="minorEastAsia" w:eastAsiaTheme="minorEastAsia" w:cstheme="minorEastAsia"/>
                <w:sz w:val="24"/>
              </w:rPr>
            </w:pPr>
          </w:p>
        </w:tc>
        <w:tc>
          <w:tcPr>
            <w:tcW w:w="2208" w:type="dxa"/>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1898" w:type="dxa"/>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申报单位法人代表</w:t>
            </w:r>
          </w:p>
        </w:tc>
        <w:tc>
          <w:tcPr>
            <w:tcW w:w="1932" w:type="dxa"/>
            <w:gridSpan w:val="2"/>
            <w:vAlign w:val="center"/>
          </w:tcPr>
          <w:p>
            <w:pPr>
              <w:rPr>
                <w:rFonts w:asciiTheme="minorEastAsia" w:hAnsiTheme="minorEastAsia" w:eastAsiaTheme="minorEastAsia" w:cstheme="minorEastAsia"/>
                <w:sz w:val="24"/>
              </w:rPr>
            </w:pPr>
          </w:p>
        </w:tc>
        <w:tc>
          <w:tcPr>
            <w:tcW w:w="2208" w:type="dxa"/>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1898" w:type="dxa"/>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智慧小区项目名称</w:t>
            </w:r>
          </w:p>
        </w:tc>
        <w:tc>
          <w:tcPr>
            <w:tcW w:w="6038" w:type="dxa"/>
            <w:gridSpan w:val="5"/>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智慧小区地址</w:t>
            </w:r>
          </w:p>
        </w:tc>
        <w:tc>
          <w:tcPr>
            <w:tcW w:w="6038" w:type="dxa"/>
            <w:gridSpan w:val="5"/>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评级阶段</w:t>
            </w:r>
          </w:p>
        </w:tc>
        <w:tc>
          <w:tcPr>
            <w:tcW w:w="1920" w:type="dxa"/>
            <w:vAlign w:val="center"/>
          </w:tcPr>
          <w:p>
            <w:pPr>
              <w:rPr>
                <w:rFonts w:asciiTheme="minorEastAsia" w:hAnsiTheme="minorEastAsia" w:eastAsiaTheme="minorEastAsia" w:cstheme="minorEastAsia"/>
                <w:sz w:val="24"/>
              </w:rPr>
            </w:pPr>
            <w:r>
              <w:rPr>
                <w:rFonts w:asciiTheme="minorEastAsia" w:hAnsiTheme="minorEastAsia" w:eastAsiaTheme="minorEastAsia" w:cstheme="minorEastAsia"/>
                <w:sz w:val="24"/>
                <w:highlight w:val="none"/>
              </w:rPr>
              <w:sym w:font="Wingdings 2" w:char="F0A3"/>
            </w:r>
            <w:r>
              <w:rPr>
                <w:rFonts w:asciiTheme="minorEastAsia" w:hAnsiTheme="minorEastAsia" w:eastAsiaTheme="minorEastAsia" w:cstheme="minorEastAsia"/>
                <w:sz w:val="24"/>
                <w:highlight w:val="none"/>
              </w:rPr>
              <w:t>初验</w:t>
            </w:r>
            <w:r>
              <w:rPr>
                <w:rFonts w:asciiTheme="minorEastAsia" w:hAnsiTheme="minorEastAsia" w:eastAsiaTheme="minorEastAsia" w:cstheme="minorEastAsia"/>
                <w:sz w:val="24"/>
                <w:highlight w:val="none"/>
              </w:rPr>
              <w:sym w:font="Wingdings 2" w:char="F0A3"/>
            </w:r>
            <w:r>
              <w:rPr>
                <w:rFonts w:asciiTheme="minorEastAsia" w:hAnsiTheme="minorEastAsia" w:eastAsiaTheme="minorEastAsia" w:cstheme="minorEastAsia"/>
                <w:sz w:val="24"/>
                <w:highlight w:val="none"/>
              </w:rPr>
              <w:t>终验</w:t>
            </w:r>
          </w:p>
        </w:tc>
        <w:tc>
          <w:tcPr>
            <w:tcW w:w="2190" w:type="dxa"/>
            <w:gridSpan w:val="2"/>
            <w:vAlign w:val="center"/>
          </w:tcPr>
          <w:p>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智慧小区等级</w:t>
            </w:r>
          </w:p>
        </w:tc>
        <w:tc>
          <w:tcPr>
            <w:tcW w:w="1928" w:type="dxa"/>
            <w:gridSpan w:val="2"/>
            <w:vAlign w:val="center"/>
          </w:tcPr>
          <w:p>
            <w:pPr>
              <w:rPr>
                <w:rFonts w:asciiTheme="minorEastAsia" w:hAnsiTheme="minorEastAsia" w:eastAsiaTheme="minorEastAsia" w:cs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评级通过时间</w:t>
            </w:r>
          </w:p>
        </w:tc>
        <w:tc>
          <w:tcPr>
            <w:tcW w:w="1932" w:type="dxa"/>
            <w:gridSpan w:val="2"/>
            <w:vAlign w:val="center"/>
          </w:tcPr>
          <w:p>
            <w:pPr>
              <w:rPr>
                <w:rFonts w:asciiTheme="minorEastAsia" w:hAnsiTheme="minorEastAsia" w:eastAsiaTheme="minorEastAsia" w:cstheme="minorEastAsia"/>
                <w:sz w:val="24"/>
              </w:rPr>
            </w:pPr>
          </w:p>
        </w:tc>
        <w:tc>
          <w:tcPr>
            <w:tcW w:w="2208" w:type="dxa"/>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证书有效期</w:t>
            </w:r>
          </w:p>
        </w:tc>
        <w:tc>
          <w:tcPr>
            <w:tcW w:w="1898" w:type="dxa"/>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智慧小区建筑面积（㎡）</w:t>
            </w:r>
          </w:p>
        </w:tc>
        <w:tc>
          <w:tcPr>
            <w:tcW w:w="6038" w:type="dxa"/>
            <w:gridSpan w:val="5"/>
            <w:vAlign w:val="center"/>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9472" w:type="dxa"/>
            <w:gridSpan w:val="6"/>
            <w:tcBorders>
              <w:top w:val="single" w:color="auto" w:sz="4" w:space="0"/>
              <w:bottom w:val="single" w:color="auto" w:sz="4" w:space="0"/>
            </w:tcBorders>
            <w:vAlign w:val="center"/>
          </w:tcPr>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声明：本申请表上填写的有关内容真实、有效、无涉密信息，本企业愿为此承担有关法律责任。</w:t>
            </w:r>
          </w:p>
          <w:p>
            <w:pPr>
              <w:spacing w:line="34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法定代表人（签名）：          申请企业（盖章）：</w:t>
            </w:r>
          </w:p>
          <w:p>
            <w:pPr>
              <w:spacing w:line="34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wordWrap w:val="0"/>
              <w:spacing w:line="34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9472" w:type="dxa"/>
            <w:gridSpan w:val="6"/>
            <w:tcBorders>
              <w:top w:val="single" w:color="auto" w:sz="4" w:space="0"/>
            </w:tcBorders>
            <w:vAlign w:val="center"/>
          </w:tcPr>
          <w:p>
            <w:pPr>
              <w:spacing w:line="3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经审核，已通过智慧小区___________评级，等级为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，智慧小区建筑面积整值为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根据《深圳市深汕特别合作区智慧小区建设管理暂行办法》相关规定，经计算核实，拟发放补贴金额为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340" w:lineRule="exact"/>
              <w:ind w:firstLine="480" w:firstLineChars="200"/>
              <w:jc w:val="left"/>
              <w:rPr>
                <w:rFonts w:asciiTheme="minorEastAsia" w:hAnsiTheme="minorEastAsia" w:eastAsiaTheme="minorEastAsia" w:cstheme="minorEastAsia"/>
                <w:sz w:val="24"/>
              </w:rPr>
            </w:pPr>
          </w:p>
          <w:p>
            <w:pPr>
              <w:spacing w:line="340" w:lineRule="exact"/>
              <w:ind w:firstLine="480" w:firstLineChars="200"/>
              <w:jc w:val="left"/>
              <w:rPr>
                <w:rFonts w:asciiTheme="minorEastAsia" w:hAnsiTheme="minorEastAsia" w:eastAsiaTheme="minorEastAsia" w:cstheme="minorEastAsia"/>
                <w:sz w:val="24"/>
              </w:rPr>
            </w:pPr>
          </w:p>
          <w:p>
            <w:pPr>
              <w:spacing w:line="340" w:lineRule="exact"/>
              <w:ind w:firstLine="480" w:firstLineChars="200"/>
              <w:jc w:val="left"/>
              <w:rPr>
                <w:rFonts w:asciiTheme="minorEastAsia" w:hAnsiTheme="minorEastAsia" w:eastAsiaTheme="minorEastAsia" w:cstheme="minorEastAsia"/>
                <w:sz w:val="24"/>
              </w:rPr>
            </w:pPr>
          </w:p>
          <w:p>
            <w:pPr>
              <w:spacing w:line="340" w:lineRule="exact"/>
              <w:jc w:val="left"/>
              <w:rPr>
                <w:rFonts w:asciiTheme="minorEastAsia" w:hAnsiTheme="minorEastAsia" w:eastAsiaTheme="minorEastAsia" w:cstheme="minorEastAsia"/>
                <w:sz w:val="24"/>
              </w:rPr>
            </w:pPr>
          </w:p>
          <w:p>
            <w:pPr>
              <w:spacing w:line="34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深圳市深汕特别合作区住房建设和水务局（盖章）</w:t>
            </w:r>
          </w:p>
          <w:p>
            <w:pPr>
              <w:wordWrap w:val="0"/>
              <w:spacing w:line="34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年    月    日      </w:t>
            </w:r>
          </w:p>
          <w:p>
            <w:pPr>
              <w:wordWrap w:val="0"/>
              <w:spacing w:line="340" w:lineRule="exact"/>
              <w:ind w:firstLine="480" w:firstLineChars="200"/>
              <w:jc w:val="right"/>
              <w:rPr>
                <w:rFonts w:asciiTheme="minorEastAsia" w:hAnsiTheme="minorEastAsia" w:eastAsiaTheme="minorEastAsia" w:cstheme="minorEastAsia"/>
                <w:sz w:val="24"/>
              </w:rPr>
            </w:pPr>
          </w:p>
          <w:p>
            <w:pPr>
              <w:wordWrap w:val="0"/>
              <w:spacing w:line="34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bl>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roman"/>
    <w:pitch w:val="default"/>
    <w:sig w:usb0="00000000" w:usb1="00000000" w:usb2="08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24DA7"/>
    <w:multiLevelType w:val="multilevel"/>
    <w:tmpl w:val="13624DA7"/>
    <w:lvl w:ilvl="0" w:tentative="0">
      <w:start w:val="1"/>
      <w:numFmt w:val="chineseCountingThousand"/>
      <w:pStyle w:val="2"/>
      <w:suff w:val="space"/>
      <w:lvlText w:val="%1"/>
      <w:lvlJc w:val="left"/>
      <w:pPr>
        <w:ind w:left="0" w:firstLine="0"/>
      </w:pPr>
      <w:rPr>
        <w:rFonts w:hint="default" w:ascii="Times New Roman" w:hAnsi="Times New Roman" w:eastAsia="宋体"/>
        <w:b/>
        <w:i w:val="0"/>
        <w:sz w:val="30"/>
      </w:rPr>
    </w:lvl>
    <w:lvl w:ilvl="1" w:tentative="0">
      <w:start w:val="1"/>
      <w:numFmt w:val="decimal"/>
      <w:pStyle w:val="3"/>
      <w:isLgl/>
      <w:suff w:val="space"/>
      <w:lvlText w:val="%1.%2"/>
      <w:lvlJc w:val="left"/>
      <w:pPr>
        <w:ind w:left="0" w:firstLine="0"/>
      </w:pPr>
      <w:rPr>
        <w:rFonts w:hint="default" w:ascii="Times New Roman" w:hAnsi="Times New Roman" w:eastAsia="宋体"/>
        <w:sz w:val="28"/>
      </w:rPr>
    </w:lvl>
    <w:lvl w:ilvl="2" w:tentative="0">
      <w:start w:val="1"/>
      <w:numFmt w:val="decimal"/>
      <w:isLgl/>
      <w:suff w:val="space"/>
      <w:lvlText w:val="%1.%2.%3"/>
      <w:lvlJc w:val="left"/>
      <w:pPr>
        <w:ind w:left="0" w:firstLine="0"/>
      </w:pPr>
      <w:rPr>
        <w:rFonts w:hint="default" w:ascii="Times New Roman" w:hAnsi="Times New Roman" w:eastAsia="宋体"/>
        <w:b/>
        <w:i w:val="0"/>
        <w:sz w:val="24"/>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TUzYjk4N2ViNDA5MzQxNjBlMjM0MWYxYjZhYWIifQ=="/>
  </w:docVars>
  <w:rsids>
    <w:rsidRoot w:val="08547B6E"/>
    <w:rsid w:val="000114A2"/>
    <w:rsid w:val="000152B0"/>
    <w:rsid w:val="00057B2C"/>
    <w:rsid w:val="00075DEA"/>
    <w:rsid w:val="000760C4"/>
    <w:rsid w:val="000A1A41"/>
    <w:rsid w:val="000B04C1"/>
    <w:rsid w:val="000D69AF"/>
    <w:rsid w:val="00104C05"/>
    <w:rsid w:val="00105856"/>
    <w:rsid w:val="001065AA"/>
    <w:rsid w:val="0013441E"/>
    <w:rsid w:val="001408BE"/>
    <w:rsid w:val="0014780E"/>
    <w:rsid w:val="0015436A"/>
    <w:rsid w:val="001651B7"/>
    <w:rsid w:val="00175A17"/>
    <w:rsid w:val="00177310"/>
    <w:rsid w:val="00187105"/>
    <w:rsid w:val="001B307A"/>
    <w:rsid w:val="001C4A95"/>
    <w:rsid w:val="001F7C12"/>
    <w:rsid w:val="0022291D"/>
    <w:rsid w:val="00227202"/>
    <w:rsid w:val="0023119B"/>
    <w:rsid w:val="00243C38"/>
    <w:rsid w:val="00253701"/>
    <w:rsid w:val="0025552E"/>
    <w:rsid w:val="00256574"/>
    <w:rsid w:val="0028454F"/>
    <w:rsid w:val="002931F3"/>
    <w:rsid w:val="002974CC"/>
    <w:rsid w:val="002C5AB6"/>
    <w:rsid w:val="002C68AF"/>
    <w:rsid w:val="002C79C8"/>
    <w:rsid w:val="002E72DF"/>
    <w:rsid w:val="00323255"/>
    <w:rsid w:val="00331140"/>
    <w:rsid w:val="00350D65"/>
    <w:rsid w:val="00370E7F"/>
    <w:rsid w:val="00372A14"/>
    <w:rsid w:val="00373F70"/>
    <w:rsid w:val="00396E15"/>
    <w:rsid w:val="0039756A"/>
    <w:rsid w:val="003A27A7"/>
    <w:rsid w:val="003B34EE"/>
    <w:rsid w:val="003E5CE8"/>
    <w:rsid w:val="003F78A0"/>
    <w:rsid w:val="003F7FAF"/>
    <w:rsid w:val="00401193"/>
    <w:rsid w:val="00405302"/>
    <w:rsid w:val="0040549A"/>
    <w:rsid w:val="00420A08"/>
    <w:rsid w:val="0043073B"/>
    <w:rsid w:val="0044398F"/>
    <w:rsid w:val="00444BF6"/>
    <w:rsid w:val="004511E4"/>
    <w:rsid w:val="00451500"/>
    <w:rsid w:val="00463072"/>
    <w:rsid w:val="00475313"/>
    <w:rsid w:val="00477F6E"/>
    <w:rsid w:val="004835E8"/>
    <w:rsid w:val="00485187"/>
    <w:rsid w:val="004A0350"/>
    <w:rsid w:val="004C4B0E"/>
    <w:rsid w:val="004D4199"/>
    <w:rsid w:val="004E6785"/>
    <w:rsid w:val="004F1EAA"/>
    <w:rsid w:val="004F4396"/>
    <w:rsid w:val="004F6029"/>
    <w:rsid w:val="00520DE8"/>
    <w:rsid w:val="00525DD7"/>
    <w:rsid w:val="00534C80"/>
    <w:rsid w:val="00547D71"/>
    <w:rsid w:val="00577240"/>
    <w:rsid w:val="005B5A48"/>
    <w:rsid w:val="005C45AC"/>
    <w:rsid w:val="005E7D51"/>
    <w:rsid w:val="005F6B9E"/>
    <w:rsid w:val="006058D7"/>
    <w:rsid w:val="006113EC"/>
    <w:rsid w:val="00623FB6"/>
    <w:rsid w:val="006412D3"/>
    <w:rsid w:val="00641410"/>
    <w:rsid w:val="00650CD6"/>
    <w:rsid w:val="006743FB"/>
    <w:rsid w:val="006833A6"/>
    <w:rsid w:val="006849F3"/>
    <w:rsid w:val="0069171D"/>
    <w:rsid w:val="00692524"/>
    <w:rsid w:val="00697A35"/>
    <w:rsid w:val="006B268D"/>
    <w:rsid w:val="006B36E0"/>
    <w:rsid w:val="006C2B4D"/>
    <w:rsid w:val="006D26AA"/>
    <w:rsid w:val="006D4ABC"/>
    <w:rsid w:val="006E0416"/>
    <w:rsid w:val="006E3902"/>
    <w:rsid w:val="00706D0C"/>
    <w:rsid w:val="00707ACA"/>
    <w:rsid w:val="007148D1"/>
    <w:rsid w:val="00720DF2"/>
    <w:rsid w:val="00725415"/>
    <w:rsid w:val="00727906"/>
    <w:rsid w:val="00735915"/>
    <w:rsid w:val="00743F34"/>
    <w:rsid w:val="00751D36"/>
    <w:rsid w:val="00765304"/>
    <w:rsid w:val="00780263"/>
    <w:rsid w:val="007B258C"/>
    <w:rsid w:val="007B58A5"/>
    <w:rsid w:val="007B62CE"/>
    <w:rsid w:val="007B633D"/>
    <w:rsid w:val="007B6BC4"/>
    <w:rsid w:val="007D350D"/>
    <w:rsid w:val="007F403B"/>
    <w:rsid w:val="007F6818"/>
    <w:rsid w:val="00811731"/>
    <w:rsid w:val="00827F2E"/>
    <w:rsid w:val="00840010"/>
    <w:rsid w:val="00845E69"/>
    <w:rsid w:val="00866E48"/>
    <w:rsid w:val="008734E9"/>
    <w:rsid w:val="00897C0D"/>
    <w:rsid w:val="008A26FC"/>
    <w:rsid w:val="008B0358"/>
    <w:rsid w:val="008C6A71"/>
    <w:rsid w:val="008C7A9E"/>
    <w:rsid w:val="008E0CA2"/>
    <w:rsid w:val="008E22F0"/>
    <w:rsid w:val="008E4637"/>
    <w:rsid w:val="00915338"/>
    <w:rsid w:val="00924F13"/>
    <w:rsid w:val="00927301"/>
    <w:rsid w:val="00954AC7"/>
    <w:rsid w:val="00956C18"/>
    <w:rsid w:val="00970698"/>
    <w:rsid w:val="00991EA8"/>
    <w:rsid w:val="009B5032"/>
    <w:rsid w:val="009C3261"/>
    <w:rsid w:val="009C72EE"/>
    <w:rsid w:val="009D1C0D"/>
    <w:rsid w:val="009D79CF"/>
    <w:rsid w:val="009D7EC0"/>
    <w:rsid w:val="009F5A18"/>
    <w:rsid w:val="00A00476"/>
    <w:rsid w:val="00A00F14"/>
    <w:rsid w:val="00A14CC1"/>
    <w:rsid w:val="00A33DD1"/>
    <w:rsid w:val="00A415C3"/>
    <w:rsid w:val="00A42D7F"/>
    <w:rsid w:val="00A43F1D"/>
    <w:rsid w:val="00A81A39"/>
    <w:rsid w:val="00A81ACE"/>
    <w:rsid w:val="00A92846"/>
    <w:rsid w:val="00A9659D"/>
    <w:rsid w:val="00AA5673"/>
    <w:rsid w:val="00AA760F"/>
    <w:rsid w:val="00AD1E35"/>
    <w:rsid w:val="00B0025D"/>
    <w:rsid w:val="00B02B97"/>
    <w:rsid w:val="00B2540D"/>
    <w:rsid w:val="00B55627"/>
    <w:rsid w:val="00B656DE"/>
    <w:rsid w:val="00B711AA"/>
    <w:rsid w:val="00B92D57"/>
    <w:rsid w:val="00B96747"/>
    <w:rsid w:val="00BB5E7E"/>
    <w:rsid w:val="00BC46CB"/>
    <w:rsid w:val="00BF7237"/>
    <w:rsid w:val="00C14547"/>
    <w:rsid w:val="00C20E3C"/>
    <w:rsid w:val="00C41330"/>
    <w:rsid w:val="00C46E33"/>
    <w:rsid w:val="00C578AF"/>
    <w:rsid w:val="00C75AAF"/>
    <w:rsid w:val="00C83840"/>
    <w:rsid w:val="00C844FD"/>
    <w:rsid w:val="00C90BB3"/>
    <w:rsid w:val="00CA0B9D"/>
    <w:rsid w:val="00CB4B7C"/>
    <w:rsid w:val="00CC59C2"/>
    <w:rsid w:val="00CD43EF"/>
    <w:rsid w:val="00D06A56"/>
    <w:rsid w:val="00D1002B"/>
    <w:rsid w:val="00D16C4D"/>
    <w:rsid w:val="00D552AC"/>
    <w:rsid w:val="00D61846"/>
    <w:rsid w:val="00D746DE"/>
    <w:rsid w:val="00D80BA8"/>
    <w:rsid w:val="00D87920"/>
    <w:rsid w:val="00D90BB8"/>
    <w:rsid w:val="00DD7B4D"/>
    <w:rsid w:val="00DE0B50"/>
    <w:rsid w:val="00DE2001"/>
    <w:rsid w:val="00DE7ED3"/>
    <w:rsid w:val="00E165FE"/>
    <w:rsid w:val="00E31C73"/>
    <w:rsid w:val="00E33968"/>
    <w:rsid w:val="00E419C1"/>
    <w:rsid w:val="00E430E8"/>
    <w:rsid w:val="00E763B3"/>
    <w:rsid w:val="00E823C7"/>
    <w:rsid w:val="00E82879"/>
    <w:rsid w:val="00E867D9"/>
    <w:rsid w:val="00EA13B6"/>
    <w:rsid w:val="00EB05DC"/>
    <w:rsid w:val="00EB6744"/>
    <w:rsid w:val="00EC014B"/>
    <w:rsid w:val="00EC1B07"/>
    <w:rsid w:val="00EC6073"/>
    <w:rsid w:val="00EE266E"/>
    <w:rsid w:val="00EF22D7"/>
    <w:rsid w:val="00F054D3"/>
    <w:rsid w:val="00F1041C"/>
    <w:rsid w:val="00F11AE9"/>
    <w:rsid w:val="00F6248E"/>
    <w:rsid w:val="00F7224F"/>
    <w:rsid w:val="00F733C6"/>
    <w:rsid w:val="00F74778"/>
    <w:rsid w:val="00F9291E"/>
    <w:rsid w:val="00FC1C2D"/>
    <w:rsid w:val="00FE0989"/>
    <w:rsid w:val="02C21295"/>
    <w:rsid w:val="04E94445"/>
    <w:rsid w:val="053262D0"/>
    <w:rsid w:val="05757CCF"/>
    <w:rsid w:val="05B92E24"/>
    <w:rsid w:val="082E6523"/>
    <w:rsid w:val="08547B6E"/>
    <w:rsid w:val="09DE091D"/>
    <w:rsid w:val="0A802ACC"/>
    <w:rsid w:val="0B170FC4"/>
    <w:rsid w:val="0D756E81"/>
    <w:rsid w:val="0D7F03FB"/>
    <w:rsid w:val="0F1621B5"/>
    <w:rsid w:val="109A0FC8"/>
    <w:rsid w:val="11AA63D5"/>
    <w:rsid w:val="122B7939"/>
    <w:rsid w:val="12FC61A6"/>
    <w:rsid w:val="13291F26"/>
    <w:rsid w:val="133961E6"/>
    <w:rsid w:val="137959E8"/>
    <w:rsid w:val="14000CCC"/>
    <w:rsid w:val="1450761C"/>
    <w:rsid w:val="16C70164"/>
    <w:rsid w:val="18416357"/>
    <w:rsid w:val="18847412"/>
    <w:rsid w:val="18D06D41"/>
    <w:rsid w:val="1A3A65DF"/>
    <w:rsid w:val="1B0D2D74"/>
    <w:rsid w:val="1CB26366"/>
    <w:rsid w:val="1F865C2F"/>
    <w:rsid w:val="1F9A284D"/>
    <w:rsid w:val="20775C82"/>
    <w:rsid w:val="212E065F"/>
    <w:rsid w:val="22A7378F"/>
    <w:rsid w:val="24385B18"/>
    <w:rsid w:val="24D01B06"/>
    <w:rsid w:val="25615AFD"/>
    <w:rsid w:val="26495CA1"/>
    <w:rsid w:val="26602EBC"/>
    <w:rsid w:val="29491846"/>
    <w:rsid w:val="298D6CF7"/>
    <w:rsid w:val="29E42055"/>
    <w:rsid w:val="2E5131B3"/>
    <w:rsid w:val="2EBE0DF9"/>
    <w:rsid w:val="30010FAD"/>
    <w:rsid w:val="31F86A4D"/>
    <w:rsid w:val="33B42EB3"/>
    <w:rsid w:val="346B0B28"/>
    <w:rsid w:val="347731BB"/>
    <w:rsid w:val="353E4220"/>
    <w:rsid w:val="360164B1"/>
    <w:rsid w:val="364E75FF"/>
    <w:rsid w:val="36913098"/>
    <w:rsid w:val="374F4477"/>
    <w:rsid w:val="37520C1D"/>
    <w:rsid w:val="3BB7640E"/>
    <w:rsid w:val="3BF11731"/>
    <w:rsid w:val="3DCF49F8"/>
    <w:rsid w:val="3DDC638D"/>
    <w:rsid w:val="3DF61508"/>
    <w:rsid w:val="3F1A6163"/>
    <w:rsid w:val="40065A08"/>
    <w:rsid w:val="40123B88"/>
    <w:rsid w:val="413C5B07"/>
    <w:rsid w:val="43B53A81"/>
    <w:rsid w:val="442E57F2"/>
    <w:rsid w:val="443C15EB"/>
    <w:rsid w:val="44617B27"/>
    <w:rsid w:val="45107351"/>
    <w:rsid w:val="46E91FDD"/>
    <w:rsid w:val="48026A17"/>
    <w:rsid w:val="493A7CBF"/>
    <w:rsid w:val="49914167"/>
    <w:rsid w:val="49F51B20"/>
    <w:rsid w:val="4A3E0AD1"/>
    <w:rsid w:val="4A510AA9"/>
    <w:rsid w:val="4A567D48"/>
    <w:rsid w:val="4A674258"/>
    <w:rsid w:val="4AE73135"/>
    <w:rsid w:val="4B98042D"/>
    <w:rsid w:val="4BAA23D5"/>
    <w:rsid w:val="4CAF6D75"/>
    <w:rsid w:val="4CFA01CD"/>
    <w:rsid w:val="4EE32960"/>
    <w:rsid w:val="4FA30290"/>
    <w:rsid w:val="51032542"/>
    <w:rsid w:val="5237240E"/>
    <w:rsid w:val="5361162A"/>
    <w:rsid w:val="554B27F3"/>
    <w:rsid w:val="5589221E"/>
    <w:rsid w:val="5692503E"/>
    <w:rsid w:val="58DA6EB4"/>
    <w:rsid w:val="58FD5964"/>
    <w:rsid w:val="592B268F"/>
    <w:rsid w:val="5AE66D28"/>
    <w:rsid w:val="5C9B31F0"/>
    <w:rsid w:val="5E37745C"/>
    <w:rsid w:val="5E646A1D"/>
    <w:rsid w:val="5F071A05"/>
    <w:rsid w:val="5F12646B"/>
    <w:rsid w:val="5F205B59"/>
    <w:rsid w:val="5FAD19CD"/>
    <w:rsid w:val="6086363F"/>
    <w:rsid w:val="61481B38"/>
    <w:rsid w:val="620E1990"/>
    <w:rsid w:val="626814D6"/>
    <w:rsid w:val="63583780"/>
    <w:rsid w:val="63B66AE7"/>
    <w:rsid w:val="6455620A"/>
    <w:rsid w:val="65B17EC4"/>
    <w:rsid w:val="65C07858"/>
    <w:rsid w:val="66B32CF0"/>
    <w:rsid w:val="680C69A2"/>
    <w:rsid w:val="68857E1E"/>
    <w:rsid w:val="69C808CB"/>
    <w:rsid w:val="69DE2D1B"/>
    <w:rsid w:val="6AA9543C"/>
    <w:rsid w:val="6AAF21B5"/>
    <w:rsid w:val="6AD47439"/>
    <w:rsid w:val="6C5B7F8C"/>
    <w:rsid w:val="6D627F69"/>
    <w:rsid w:val="6F8220BE"/>
    <w:rsid w:val="71B54E30"/>
    <w:rsid w:val="72B854B1"/>
    <w:rsid w:val="7353769C"/>
    <w:rsid w:val="74CE078E"/>
    <w:rsid w:val="75312596"/>
    <w:rsid w:val="75382F5F"/>
    <w:rsid w:val="77EF6FFC"/>
    <w:rsid w:val="789E2FAA"/>
    <w:rsid w:val="79B20598"/>
    <w:rsid w:val="7B974A97"/>
    <w:rsid w:val="7C8977DF"/>
    <w:rsid w:val="7FA7061C"/>
    <w:rsid w:val="7FD5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1"/>
      <w:szCs w:val="24"/>
      <w:lang w:val="en-US" w:eastAsia="zh-CN" w:bidi="ar-SA"/>
    </w:rPr>
  </w:style>
  <w:style w:type="paragraph" w:styleId="2">
    <w:name w:val="heading 1"/>
    <w:basedOn w:val="1"/>
    <w:next w:val="1"/>
    <w:qFormat/>
    <w:uiPriority w:val="9"/>
    <w:pPr>
      <w:keepNext/>
      <w:keepLines/>
      <w:numPr>
        <w:ilvl w:val="0"/>
        <w:numId w:val="1"/>
      </w:numPr>
      <w:adjustRightInd w:val="0"/>
      <w:outlineLvl w:val="0"/>
    </w:pPr>
    <w:rPr>
      <w:rFonts w:ascii="Times New Roman" w:hAnsi="Times New Roman" w:eastAsia="黑体"/>
      <w:b/>
      <w:bCs/>
      <w:kern w:val="44"/>
      <w:sz w:val="30"/>
      <w:szCs w:val="44"/>
    </w:rPr>
  </w:style>
  <w:style w:type="paragraph" w:styleId="3">
    <w:name w:val="heading 2"/>
    <w:basedOn w:val="1"/>
    <w:next w:val="4"/>
    <w:link w:val="19"/>
    <w:unhideWhenUsed/>
    <w:qFormat/>
    <w:uiPriority w:val="9"/>
    <w:pPr>
      <w:keepNext/>
      <w:keepLines/>
      <w:numPr>
        <w:ilvl w:val="1"/>
        <w:numId w:val="1"/>
      </w:numPr>
      <w:spacing w:line="360" w:lineRule="auto"/>
      <w:outlineLvl w:val="1"/>
    </w:pPr>
    <w:rPr>
      <w:rFonts w:ascii="宋体" w:hAnsi="宋体" w:eastAsia="黑体" w:cstheme="majorBidi"/>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left="720"/>
    </w:pPr>
  </w:style>
  <w:style w:type="paragraph" w:styleId="5">
    <w:name w:val="annotation text"/>
    <w:basedOn w:val="1"/>
    <w:link w:val="22"/>
    <w:uiPriority w:val="0"/>
    <w:pPr>
      <w:jc w:val="left"/>
    </w:pPr>
  </w:style>
  <w:style w:type="paragraph" w:styleId="6">
    <w:name w:val="Body Text"/>
    <w:basedOn w:val="1"/>
    <w:qFormat/>
    <w:uiPriority w:val="1"/>
    <w:rPr>
      <w:rFonts w:ascii="宋体" w:hAnsi="宋体" w:eastAsia="宋体" w:cs="宋体"/>
      <w:sz w:val="20"/>
      <w:szCs w:val="20"/>
      <w:lang w:eastAsia="en-US" w:bidi="en-US"/>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n-AU"/>
    </w:rPr>
  </w:style>
  <w:style w:type="paragraph" w:styleId="11">
    <w:name w:val="annotation subject"/>
    <w:basedOn w:val="5"/>
    <w:next w:val="5"/>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qFormat/>
    <w:uiPriority w:val="0"/>
    <w:rPr>
      <w:sz w:val="21"/>
      <w:szCs w:val="21"/>
    </w:rPr>
  </w:style>
  <w:style w:type="paragraph" w:customStyle="1" w:styleId="17">
    <w:name w:val="*正文"/>
    <w:basedOn w:val="1"/>
    <w:qFormat/>
    <w:uiPriority w:val="0"/>
    <w:pPr>
      <w:spacing w:line="360" w:lineRule="auto"/>
      <w:ind w:firstLine="200" w:firstLineChars="200"/>
    </w:pPr>
    <w:rPr>
      <w:rFonts w:ascii="MS Mincho" w:hAnsi="MS Mincho" w:eastAsia="仿宋" w:cs="MS Mincho"/>
      <w:sz w:val="24"/>
      <w:szCs w:val="21"/>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标题 2 Char"/>
    <w:basedOn w:val="14"/>
    <w:link w:val="3"/>
    <w:qFormat/>
    <w:uiPriority w:val="9"/>
    <w:rPr>
      <w:rFonts w:ascii="宋体" w:hAnsi="宋体" w:eastAsia="黑体" w:cstheme="majorBidi"/>
      <w:bCs/>
      <w:sz w:val="28"/>
      <w:szCs w:val="32"/>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批注框文本 Char"/>
    <w:basedOn w:val="14"/>
    <w:link w:val="7"/>
    <w:qFormat/>
    <w:uiPriority w:val="0"/>
    <w:rPr>
      <w:rFonts w:eastAsia="仿宋_GB2312"/>
      <w:kern w:val="2"/>
      <w:sz w:val="18"/>
      <w:szCs w:val="18"/>
    </w:rPr>
  </w:style>
  <w:style w:type="character" w:customStyle="1" w:styleId="22">
    <w:name w:val="批注文字 Char"/>
    <w:basedOn w:val="14"/>
    <w:link w:val="5"/>
    <w:qFormat/>
    <w:uiPriority w:val="0"/>
    <w:rPr>
      <w:rFonts w:eastAsia="仿宋_GB2312"/>
      <w:kern w:val="2"/>
      <w:sz w:val="21"/>
      <w:szCs w:val="24"/>
    </w:rPr>
  </w:style>
  <w:style w:type="character" w:customStyle="1" w:styleId="23">
    <w:name w:val="批注主题 Char"/>
    <w:basedOn w:val="22"/>
    <w:link w:val="11"/>
    <w:qFormat/>
    <w:uiPriority w:val="0"/>
    <w:rPr>
      <w:rFonts w:eastAsia="仿宋_GB2312"/>
      <w:b/>
      <w:bCs/>
      <w:kern w:val="2"/>
      <w:sz w:val="21"/>
      <w:szCs w:val="24"/>
    </w:rPr>
  </w:style>
  <w:style w:type="paragraph" w:customStyle="1" w:styleId="24">
    <w:name w:val="修订1"/>
    <w:hidden/>
    <w:unhideWhenUsed/>
    <w:qFormat/>
    <w:uiPriority w:val="99"/>
    <w:rPr>
      <w:rFonts w:eastAsia="仿宋_GB2312" w:asciiTheme="minorHAnsi" w:hAnsiTheme="minorHAnsi" w:cstheme="minorBidi"/>
      <w:kern w:val="2"/>
      <w:sz w:val="21"/>
      <w:szCs w:val="24"/>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85</Pages>
  <Words>6748</Words>
  <Characters>38464</Characters>
  <Lines>320</Lines>
  <Paragraphs>90</Paragraphs>
  <TotalTime>15</TotalTime>
  <ScaleCrop>false</ScaleCrop>
  <LinksUpToDate>false</LinksUpToDate>
  <CharactersWithSpaces>45122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2021-10-21T07:15:00Z</dcterms:created>
  <dc:creator>李星（老师）</dc:creator>
  <cp:lastModifiedBy>Administrator</cp:lastModifiedBy>
  <cp:lastPrinted>2021-10-20T06:47:00Z</cp:lastPrinted>
  <dcterms:modified xsi:type="dcterms:W3CDTF">2024-11-27T03:56:49Z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3FDEAB7F7A864D889D630DBF1E835FFE</vt:lpwstr>
  </property>
</Properties>
</file>