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D3DA3">
      <w:pPr>
        <w:pStyle w:val="2"/>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附件：相关法律条文</w:t>
      </w:r>
    </w:p>
    <w:p w14:paraId="309F8E6F">
      <w:pPr>
        <w:pStyle w:val="2"/>
        <w:ind w:left="0" w:leftChars="0" w:firstLine="0" w:firstLineChars="0"/>
        <w:rPr>
          <w:rFonts w:hint="eastAsia" w:ascii="黑体" w:hAnsi="黑体" w:eastAsia="黑体" w:cs="黑体"/>
          <w:sz w:val="32"/>
          <w:szCs w:val="32"/>
          <w:lang w:val="en-US" w:eastAsia="zh-CN"/>
        </w:rPr>
      </w:pPr>
    </w:p>
    <w:p w14:paraId="3DA667DD">
      <w:pPr>
        <w:pStyle w:val="2"/>
        <w:tabs>
          <w:tab w:val="left" w:pos="795"/>
        </w:tabs>
        <w:ind w:left="0" w:leftChars="0" w:firstLine="0" w:firstLineChars="0"/>
        <w:jc w:val="center"/>
        <w:rPr>
          <w:rFonts w:hint="eastAsia"/>
          <w:sz w:val="32"/>
          <w:szCs w:val="32"/>
          <w:lang w:val="en-US" w:eastAsia="zh-CN"/>
        </w:rPr>
      </w:pPr>
      <w:r>
        <w:rPr>
          <w:rFonts w:hint="eastAsia"/>
          <w:sz w:val="32"/>
          <w:szCs w:val="32"/>
          <w:lang w:val="en-US" w:eastAsia="zh-CN"/>
        </w:rPr>
        <w:t>《中华人民共和国城乡规划法》</w:t>
      </w:r>
    </w:p>
    <w:p w14:paraId="6A64B008">
      <w:pPr>
        <w:pStyle w:val="2"/>
        <w:tabs>
          <w:tab w:val="left" w:pos="795"/>
        </w:tabs>
        <w:ind w:left="0" w:leftChars="0" w:firstLine="0" w:firstLineChars="0"/>
        <w:rPr>
          <w:rFonts w:hint="eastAsia"/>
          <w:sz w:val="32"/>
          <w:szCs w:val="32"/>
          <w:lang w:val="en-US" w:eastAsia="zh-CN"/>
        </w:rPr>
      </w:pPr>
      <w:r>
        <w:rPr>
          <w:rFonts w:hint="eastAsia"/>
          <w:sz w:val="32"/>
          <w:szCs w:val="32"/>
          <w:lang w:val="en-US" w:eastAsia="zh-CN"/>
        </w:rPr>
        <w:tab/>
      </w:r>
      <w:r>
        <w:rPr>
          <w:rFonts w:hint="eastAsia"/>
          <w:sz w:val="32"/>
          <w:szCs w:val="32"/>
          <w:lang w:val="en-US" w:eastAsia="zh-CN"/>
        </w:rPr>
        <w:t>第四十条第一款 在城市、镇规划区内进行建筑物、构筑物、道路、管线和其他工程建设的，建设单位或者个人应当向城市、县人民政府城乡规划主管部门或者省、自治区、直辖市人民政府确定的镇人民政府申请办理建设工程规划许可证。</w:t>
      </w:r>
    </w:p>
    <w:p w14:paraId="39D0E81A">
      <w:pPr>
        <w:pStyle w:val="2"/>
        <w:tabs>
          <w:tab w:val="left" w:pos="795"/>
        </w:tabs>
        <w:ind w:left="0" w:leftChars="0" w:firstLine="0" w:firstLineChars="0"/>
        <w:rPr>
          <w:rFonts w:hint="eastAsia"/>
          <w:sz w:val="32"/>
          <w:szCs w:val="32"/>
          <w:lang w:val="en-US" w:eastAsia="zh-CN"/>
        </w:rPr>
      </w:pPr>
      <w:r>
        <w:rPr>
          <w:rFonts w:hint="eastAsia"/>
          <w:sz w:val="32"/>
          <w:szCs w:val="32"/>
          <w:lang w:val="en-US" w:eastAsia="zh-CN"/>
        </w:rPr>
        <w:tab/>
      </w:r>
      <w:r>
        <w:rPr>
          <w:rFonts w:hint="eastAsia"/>
          <w:sz w:val="32"/>
          <w:szCs w:val="32"/>
          <w:lang w:val="en-US" w:eastAsia="zh-CN"/>
        </w:rPr>
        <w:t>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14:paraId="6871290D">
      <w:pPr>
        <w:pStyle w:val="2"/>
        <w:tabs>
          <w:tab w:val="left" w:pos="795"/>
        </w:tabs>
        <w:ind w:left="0" w:leftChars="0" w:firstLine="0" w:firstLineChars="0"/>
        <w:rPr>
          <w:rFonts w:hint="default"/>
          <w:sz w:val="32"/>
          <w:szCs w:val="32"/>
          <w:lang w:val="en-US" w:eastAsia="zh-CN"/>
        </w:rPr>
      </w:pPr>
    </w:p>
    <w:p w14:paraId="7175F5C8">
      <w:pPr>
        <w:pStyle w:val="2"/>
        <w:ind w:left="0" w:leftChars="0" w:firstLine="0" w:firstLineChars="0"/>
        <w:jc w:val="center"/>
        <w:rPr>
          <w:rFonts w:hint="default"/>
          <w:sz w:val="32"/>
          <w:szCs w:val="32"/>
          <w:lang w:val="en-US" w:eastAsia="zh-CN"/>
        </w:rPr>
      </w:pPr>
      <w:r>
        <w:rPr>
          <w:rFonts w:hint="default"/>
          <w:sz w:val="32"/>
          <w:szCs w:val="32"/>
          <w:lang w:val="en-US" w:eastAsia="zh-CN"/>
        </w:rPr>
        <w:t>《广东省城乡规划条例》</w:t>
      </w:r>
    </w:p>
    <w:p w14:paraId="64AB9C04">
      <w:pPr>
        <w:pStyle w:val="2"/>
        <w:rPr>
          <w:rFonts w:hint="default"/>
          <w:sz w:val="32"/>
          <w:szCs w:val="32"/>
          <w:lang w:val="en-US" w:eastAsia="zh-CN"/>
        </w:rPr>
      </w:pPr>
      <w:r>
        <w:rPr>
          <w:rFonts w:hint="eastAsia" w:ascii="仿宋_GB2312" w:hAnsi="仿宋_GB2312" w:eastAsia="仿宋_GB2312" w:cs="仿宋_GB2312"/>
          <w:sz w:val="32"/>
          <w:szCs w:val="32"/>
          <w:u w:val="none"/>
          <w:lang w:val="en-US" w:eastAsia="zh-CN"/>
        </w:rPr>
        <w:t>第四十条第一款</w:t>
      </w:r>
      <w:r>
        <w:rPr>
          <w:rFonts w:hint="eastAsia" w:ascii="仿宋_GB2312" w:hAnsi="仿宋_GB2312" w:cs="仿宋_GB2312"/>
          <w:sz w:val="32"/>
          <w:szCs w:val="32"/>
          <w:u w:val="none"/>
          <w:lang w:val="en-US" w:eastAsia="zh-CN"/>
        </w:rPr>
        <w:t xml:space="preserve"> 在城市、镇规划区范围内进行建筑物、构筑物、道路、桥梁和管线等工程建设的，建设单位或者个人应当向城市、县人民政府城乡规划主管部门或者省人民政府指定的镇人民政府申请办理建设工程规划许可证。</w:t>
      </w:r>
    </w:p>
    <w:p w14:paraId="10261453">
      <w:pPr>
        <w:pStyle w:val="2"/>
        <w:rPr>
          <w:rFonts w:hint="default"/>
          <w:sz w:val="32"/>
          <w:szCs w:val="32"/>
          <w:lang w:val="en-US" w:eastAsia="zh-CN"/>
        </w:rPr>
      </w:pPr>
      <w:r>
        <w:rPr>
          <w:rFonts w:hint="default"/>
          <w:sz w:val="32"/>
          <w:szCs w:val="32"/>
          <w:lang w:val="en-US" w:eastAsia="zh-CN"/>
        </w:rPr>
        <w:t>第八十条第一款 建设单位或者个人违反本条例第四十条规定，未依法取得建设工程规划许可证或者未按照建设工程规划许可证的规定进行建设的，由当地城市、县人民政府城乡规划主管部门责令停止建设。尚可采取改正措施消除对规划实施的影响的，责令限期改正，并处建设工程造价百分之五以上百分之十以下的罚款。无法采取改正措施消除影响的，责令限期拆除；不能拆除的，没收实物或者违法收入，可以并处建设工程造价百分之十以下的罚款。</w:t>
      </w:r>
    </w:p>
    <w:p w14:paraId="3414F562">
      <w:pPr>
        <w:pStyle w:val="2"/>
        <w:rPr>
          <w:rFonts w:hint="default"/>
          <w:sz w:val="32"/>
          <w:szCs w:val="32"/>
          <w:lang w:val="en-US" w:eastAsia="zh-CN"/>
        </w:rPr>
      </w:pPr>
      <w:r>
        <w:rPr>
          <w:rFonts w:hint="default"/>
          <w:sz w:val="32"/>
          <w:szCs w:val="32"/>
          <w:lang w:val="en-US" w:eastAsia="zh-CN"/>
        </w:rPr>
        <w:t>第八十条第二款第七项 有下列行为之一的，应当认定为前款规定的无法采取改正措施消除影响的情形：</w:t>
      </w:r>
    </w:p>
    <w:p w14:paraId="1E85A7D9">
      <w:pPr>
        <w:pStyle w:val="2"/>
        <w:rPr>
          <w:rFonts w:hint="default"/>
          <w:sz w:val="32"/>
          <w:szCs w:val="32"/>
          <w:lang w:val="en-US" w:eastAsia="zh-CN"/>
        </w:rPr>
      </w:pPr>
      <w:r>
        <w:rPr>
          <w:rFonts w:hint="default"/>
          <w:sz w:val="32"/>
          <w:szCs w:val="32"/>
          <w:lang w:val="en-US" w:eastAsia="zh-CN"/>
        </w:rPr>
        <w:t>（七）其他无法采取改正措施消除影响的情形。</w:t>
      </w:r>
    </w:p>
    <w:p w14:paraId="5600DBA4">
      <w:pPr>
        <w:pStyle w:val="2"/>
        <w:rPr>
          <w:rFonts w:hint="default"/>
          <w:sz w:val="32"/>
          <w:szCs w:val="32"/>
          <w:lang w:val="en-US" w:eastAsia="zh-CN"/>
        </w:rPr>
      </w:pPr>
    </w:p>
    <w:p w14:paraId="5FD4D7AC">
      <w:pPr>
        <w:pStyle w:val="2"/>
        <w:ind w:left="0" w:leftChars="0" w:firstLine="0" w:firstLineChars="0"/>
        <w:jc w:val="center"/>
        <w:rPr>
          <w:rFonts w:hint="default"/>
          <w:sz w:val="32"/>
          <w:szCs w:val="32"/>
          <w:lang w:val="en-US" w:eastAsia="zh-CN"/>
        </w:rPr>
      </w:pPr>
      <w:r>
        <w:rPr>
          <w:rFonts w:hint="default"/>
          <w:sz w:val="32"/>
          <w:szCs w:val="32"/>
          <w:lang w:val="en-US" w:eastAsia="zh-CN"/>
        </w:rPr>
        <w:t>《中华人民共和国行政处罚法》</w:t>
      </w:r>
    </w:p>
    <w:p w14:paraId="16A7AA62">
      <w:pPr>
        <w:pStyle w:val="2"/>
        <w:rPr>
          <w:rFonts w:hint="default"/>
          <w:sz w:val="32"/>
          <w:szCs w:val="32"/>
          <w:lang w:val="en-US" w:eastAsia="zh-CN"/>
        </w:rPr>
      </w:pPr>
      <w:r>
        <w:rPr>
          <w:rFonts w:hint="default"/>
          <w:sz w:val="32"/>
          <w:szCs w:val="32"/>
          <w:lang w:val="en-US" w:eastAsia="zh-CN"/>
        </w:rPr>
        <w:t>第</w:t>
      </w:r>
      <w:r>
        <w:rPr>
          <w:rFonts w:hint="eastAsia"/>
          <w:sz w:val="32"/>
          <w:szCs w:val="32"/>
          <w:lang w:val="en-US" w:eastAsia="zh-CN"/>
        </w:rPr>
        <w:t>六十一</w:t>
      </w:r>
      <w:r>
        <w:rPr>
          <w:rFonts w:hint="default"/>
          <w:sz w:val="32"/>
          <w:szCs w:val="32"/>
          <w:lang w:val="en-US" w:eastAsia="zh-CN"/>
        </w:rPr>
        <w:t>条 行政处罚决定书应当在宣告后当场交付当事人；当事人不在场的，行政机关应当在七日内依照《中华人民共和国民事诉讼法》的有关规定，将行政处罚决定书送达当事人。</w:t>
      </w:r>
    </w:p>
    <w:p w14:paraId="75F97473">
      <w:pPr>
        <w:pStyle w:val="2"/>
        <w:rPr>
          <w:rFonts w:hint="default"/>
          <w:sz w:val="32"/>
          <w:szCs w:val="32"/>
          <w:lang w:val="en-US" w:eastAsia="zh-CN"/>
        </w:rPr>
      </w:pPr>
      <w:r>
        <w:rPr>
          <w:rFonts w:hint="default"/>
          <w:sz w:val="32"/>
          <w:szCs w:val="32"/>
          <w:lang w:val="en-US" w:eastAsia="zh-CN"/>
        </w:rPr>
        <w:t>当事人同意并签订确认书的，行政机关可以采用传真、电子邮件等方式，将行政处罚决定书等送达当事人。</w:t>
      </w:r>
    </w:p>
    <w:p w14:paraId="1007A65E">
      <w:pPr>
        <w:pStyle w:val="2"/>
        <w:numPr>
          <w:ilvl w:val="0"/>
          <w:numId w:val="0"/>
        </w:numPr>
        <w:rPr>
          <w:rFonts w:hint="default" w:ascii="仿宋_GB2312" w:hAnsi="仿宋_GB2312" w:eastAsia="仿宋_GB2312" w:cs="仿宋_GB2312"/>
          <w:sz w:val="32"/>
          <w:lang w:val="en-US" w:eastAsia="zh-CN"/>
        </w:rPr>
      </w:pPr>
    </w:p>
    <w:p w14:paraId="1979378B">
      <w:pPr>
        <w:pStyle w:val="2"/>
        <w:ind w:left="0" w:leftChars="0" w:firstLine="0" w:firstLineChars="0"/>
        <w:jc w:val="center"/>
        <w:rPr>
          <w:rFonts w:hint="default"/>
          <w:sz w:val="32"/>
          <w:szCs w:val="32"/>
          <w:lang w:val="en-US" w:eastAsia="zh-CN"/>
        </w:rPr>
      </w:pPr>
      <w:r>
        <w:rPr>
          <w:rFonts w:hint="default"/>
          <w:sz w:val="32"/>
          <w:szCs w:val="32"/>
          <w:lang w:val="en-US" w:eastAsia="zh-CN"/>
        </w:rPr>
        <w:t>《中华人民共和国民事诉讼法》</w:t>
      </w:r>
    </w:p>
    <w:p w14:paraId="7EE1D5DE">
      <w:pPr>
        <w:pStyle w:val="2"/>
        <w:rPr>
          <w:rFonts w:hint="eastAsia"/>
          <w:sz w:val="32"/>
          <w:szCs w:val="32"/>
          <w:lang w:val="en-US" w:eastAsia="zh-CN"/>
        </w:rPr>
      </w:pPr>
      <w:r>
        <w:rPr>
          <w:rFonts w:hint="default"/>
          <w:sz w:val="32"/>
          <w:szCs w:val="32"/>
          <w:lang w:val="en-US" w:eastAsia="zh-CN"/>
        </w:rPr>
        <w:t>第九十五条</w:t>
      </w:r>
      <w:r>
        <w:rPr>
          <w:rFonts w:hint="eastAsia"/>
          <w:sz w:val="32"/>
          <w:szCs w:val="32"/>
          <w:lang w:val="en-US" w:eastAsia="zh-CN"/>
        </w:rPr>
        <w:t>第一款 受送达人下落不明，或者用本节规定的其他方式无法送达的，公告送达。自发出公告之日起，经过三十日，即视为送达。</w:t>
      </w:r>
    </w:p>
    <w:p w14:paraId="743B3BEB">
      <w:pPr>
        <w:pStyle w:val="2"/>
        <w:rPr>
          <w:rFonts w:hint="eastAsia"/>
          <w:sz w:val="32"/>
          <w:szCs w:val="32"/>
          <w:lang w:val="en-US" w:eastAsia="zh-CN"/>
        </w:rPr>
      </w:pPr>
    </w:p>
    <w:p w14:paraId="25A7F039">
      <w:pPr>
        <w:pStyle w:val="2"/>
        <w:rPr>
          <w:rFonts w:hint="eastAsia"/>
          <w:sz w:val="32"/>
          <w:szCs w:val="32"/>
          <w:lang w:val="en-US" w:eastAsia="zh-CN"/>
        </w:rPr>
      </w:pPr>
    </w:p>
    <w:p w14:paraId="4F2AC1DA">
      <w:pPr>
        <w:pStyle w:val="2"/>
        <w:rPr>
          <w:rFonts w:hint="eastAsia"/>
          <w:sz w:val="32"/>
          <w:szCs w:val="32"/>
          <w:lang w:val="en-US" w:eastAsia="zh-CN"/>
        </w:rPr>
      </w:pPr>
    </w:p>
    <w:p w14:paraId="76888BBF">
      <w:pPr>
        <w:pStyle w:val="2"/>
        <w:rPr>
          <w:rFonts w:hint="eastAsia"/>
          <w:sz w:val="32"/>
          <w:szCs w:val="32"/>
          <w:lang w:val="en-US" w:eastAsia="zh-CN"/>
        </w:rPr>
      </w:pPr>
    </w:p>
    <w:p w14:paraId="5990C773">
      <w:pPr>
        <w:pStyle w:val="2"/>
        <w:rPr>
          <w:rFonts w:hint="eastAsia"/>
          <w:sz w:val="32"/>
          <w:szCs w:val="32"/>
          <w:lang w:val="en-US" w:eastAsia="zh-CN"/>
        </w:rPr>
      </w:pPr>
    </w:p>
    <w:p w14:paraId="2A9FB0DE">
      <w:pPr>
        <w:pStyle w:val="2"/>
        <w:ind w:left="0" w:leftChars="0" w:firstLine="0" w:firstLineChars="0"/>
        <w:rPr>
          <w:rFonts w:hint="eastAsia"/>
          <w:sz w:val="32"/>
          <w:szCs w:val="32"/>
          <w:lang w:val="en-US" w:eastAsia="zh-CN"/>
        </w:rPr>
      </w:pPr>
    </w:p>
    <w:p w14:paraId="0290457D">
      <w:pPr>
        <w:pStyle w:val="2"/>
        <w:ind w:left="0" w:leftChars="0" w:firstLine="0" w:firstLineChars="0"/>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附图：小漠镇（街道）旺官社区新春村126号后面的一栋11层建筑物（烂尾楼）</w:t>
      </w:r>
    </w:p>
    <w:p w14:paraId="2578DD9C">
      <w:pPr>
        <w:pStyle w:val="2"/>
        <w:ind w:left="0" w:leftChars="0" w:firstLine="0" w:firstLineChars="0"/>
        <w:rPr>
          <w:rFonts w:hint="default" w:ascii="仿宋_GB2312" w:hAnsi="仿宋_GB2312" w:cs="仿宋_GB2312"/>
          <w:color w:val="auto"/>
          <w:sz w:val="32"/>
          <w:szCs w:val="32"/>
          <w:lang w:val="en-US" w:eastAsia="zh-CN"/>
        </w:rPr>
      </w:pPr>
    </w:p>
    <w:p w14:paraId="2A3AD415">
      <w:pPr>
        <w:keepNext w:val="0"/>
        <w:keepLines w:val="0"/>
        <w:pageBreakBefore w:val="0"/>
        <w:tabs>
          <w:tab w:val="left" w:pos="4860"/>
        </w:tabs>
        <w:kinsoku/>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红色方框框出来的建筑为《行政处罚决定书》（</w:t>
      </w:r>
      <w:r>
        <w:rPr>
          <w:rFonts w:hint="eastAsia" w:ascii="仿宋_GB2312" w:hAnsi="仿宋_GB2312" w:eastAsia="仿宋_GB2312" w:cs="仿宋_GB2312"/>
          <w:bCs/>
          <w:color w:val="auto"/>
          <w:sz w:val="32"/>
          <w:szCs w:val="32"/>
        </w:rPr>
        <w:t>深汕城管土监〔2024〕第022号</w:t>
      </w:r>
      <w:r>
        <w:rPr>
          <w:rFonts w:hint="eastAsia" w:ascii="仿宋_GB2312" w:hAnsi="仿宋_GB2312" w:eastAsia="仿宋_GB2312" w:cs="仿宋_GB2312"/>
          <w:sz w:val="32"/>
          <w:szCs w:val="32"/>
          <w:lang w:val="en-US" w:eastAsia="zh-CN"/>
        </w:rPr>
        <w:t>）中小漠镇（街道）旺官社区新春村126号后面的一栋11层建筑物（烂尾楼）。</w:t>
      </w:r>
    </w:p>
    <w:tbl>
      <w:tblPr>
        <w:tblStyle w:val="5"/>
        <w:tblpPr w:leftFromText="180" w:rightFromText="180" w:vertAnchor="text" w:horzAnchor="page" w:tblpX="1619" w:tblpY="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5"/>
      </w:tblGrid>
      <w:tr w14:paraId="2D757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325" w:type="dxa"/>
            <w:noWrap w:val="0"/>
            <w:vAlign w:val="top"/>
          </w:tcPr>
          <w:p w14:paraId="18D518A5">
            <w:pPr>
              <w:keepNext w:val="0"/>
              <w:keepLines w:val="0"/>
              <w:pageBreakBefore w:val="0"/>
              <w:widowControl w:val="0"/>
              <w:numPr>
                <w:ilvl w:val="0"/>
                <w:numId w:val="0"/>
              </w:numPr>
              <w:tabs>
                <w:tab w:val="left" w:pos="4971"/>
              </w:tabs>
              <w:kinsoku/>
              <w:wordWrap/>
              <w:overflowPunct/>
              <w:topLinePunct w:val="0"/>
              <w:autoSpaceDE/>
              <w:autoSpaceDN/>
              <w:bidi w:val="0"/>
              <w:adjustRightInd/>
              <w:snapToGrid/>
              <w:spacing w:line="560" w:lineRule="exact"/>
              <w:jc w:val="center"/>
              <w:textAlignment w:val="auto"/>
              <w:rPr>
                <w:rFonts w:hint="default" w:ascii="宋体" w:hAnsi="宋体" w:cs="宋体"/>
                <w:sz w:val="24"/>
                <w:szCs w:val="24"/>
                <w:u w:val="none"/>
                <w:vertAlign w:val="baseline"/>
                <w:lang w:val="en-US" w:eastAsia="zh-CN"/>
              </w:rPr>
            </w:pPr>
            <w:r>
              <w:rPr>
                <w:rFonts w:hint="eastAsia" w:ascii="宋体" w:hAnsi="宋体" w:eastAsia="宋体" w:cs="宋体"/>
                <w:sz w:val="28"/>
                <w:szCs w:val="28"/>
                <w:u w:val="none"/>
                <w:vertAlign w:val="baseline"/>
                <w:lang w:val="en-US" w:eastAsia="zh-CN"/>
              </w:rPr>
              <w:t>航拍照片</w:t>
            </w:r>
          </w:p>
        </w:tc>
      </w:tr>
      <w:tr w14:paraId="0E9FA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trPr>
        <w:tc>
          <w:tcPr>
            <w:tcW w:w="8325" w:type="dxa"/>
            <w:noWrap w:val="0"/>
            <w:vAlign w:val="top"/>
          </w:tcPr>
          <w:p w14:paraId="20B70B92">
            <w:pPr>
              <w:keepNext w:val="0"/>
              <w:keepLines w:val="0"/>
              <w:pageBreakBefore w:val="0"/>
              <w:widowControl w:val="0"/>
              <w:numPr>
                <w:ilvl w:val="0"/>
                <w:numId w:val="0"/>
              </w:numPr>
              <w:tabs>
                <w:tab w:val="left" w:pos="4971"/>
              </w:tabs>
              <w:kinsoku/>
              <w:wordWrap/>
              <w:overflowPunct/>
              <w:topLinePunct w:val="0"/>
              <w:autoSpaceDE/>
              <w:autoSpaceDN/>
              <w:bidi w:val="0"/>
              <w:adjustRightInd/>
              <w:snapToGrid/>
              <w:spacing w:line="240" w:lineRule="auto"/>
              <w:jc w:val="center"/>
              <w:textAlignment w:val="auto"/>
              <w:rPr>
                <w:rFonts w:hint="default" w:ascii="宋体" w:hAnsi="宋体" w:cs="宋体"/>
                <w:sz w:val="24"/>
                <w:szCs w:val="24"/>
                <w:u w:val="none"/>
                <w:vertAlign w:val="baseline"/>
                <w:lang w:val="en-US" w:eastAsia="zh-CN"/>
              </w:rPr>
            </w:pPr>
            <w:r>
              <w:rPr>
                <w:rFonts w:hint="default" w:ascii="宋体" w:hAnsi="宋体" w:cs="宋体"/>
                <w:sz w:val="24"/>
                <w:szCs w:val="24"/>
                <w:u w:val="none"/>
                <w:vertAlign w:val="baseline"/>
                <w:lang w:val="en-US" w:eastAsia="zh-CN"/>
              </w:rPr>
              <w:drawing>
                <wp:inline distT="0" distB="0" distL="114300" distR="114300">
                  <wp:extent cx="4490085" cy="2526030"/>
                  <wp:effectExtent l="0" t="0" r="5715" b="7620"/>
                  <wp:docPr id="2" name="图片 1" descr="航拍照片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航拍照片1_副本"/>
                          <pic:cNvPicPr>
                            <a:picLocks noChangeAspect="1"/>
                          </pic:cNvPicPr>
                        </pic:nvPicPr>
                        <pic:blipFill>
                          <a:blip r:embed="rId5"/>
                          <a:stretch>
                            <a:fillRect/>
                          </a:stretch>
                        </pic:blipFill>
                        <pic:spPr>
                          <a:xfrm>
                            <a:off x="0" y="0"/>
                            <a:ext cx="4490085" cy="2526030"/>
                          </a:xfrm>
                          <a:prstGeom prst="rect">
                            <a:avLst/>
                          </a:prstGeom>
                          <a:noFill/>
                          <a:ln>
                            <a:noFill/>
                          </a:ln>
                        </pic:spPr>
                      </pic:pic>
                    </a:graphicData>
                  </a:graphic>
                </wp:inline>
              </w:drawing>
            </w:r>
          </w:p>
        </w:tc>
      </w:tr>
      <w:tr w14:paraId="5DC2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3" w:hRule="atLeast"/>
        </w:trPr>
        <w:tc>
          <w:tcPr>
            <w:tcW w:w="8325" w:type="dxa"/>
            <w:noWrap w:val="0"/>
            <w:vAlign w:val="top"/>
          </w:tcPr>
          <w:p w14:paraId="7EAD34CB">
            <w:pPr>
              <w:keepNext w:val="0"/>
              <w:keepLines w:val="0"/>
              <w:pageBreakBefore w:val="0"/>
              <w:widowControl w:val="0"/>
              <w:numPr>
                <w:ilvl w:val="0"/>
                <w:numId w:val="0"/>
              </w:numPr>
              <w:tabs>
                <w:tab w:val="left" w:pos="4971"/>
              </w:tabs>
              <w:kinsoku/>
              <w:wordWrap/>
              <w:overflowPunct/>
              <w:topLinePunct w:val="0"/>
              <w:autoSpaceDE/>
              <w:autoSpaceDN/>
              <w:bidi w:val="0"/>
              <w:adjustRightInd/>
              <w:snapToGrid/>
              <w:spacing w:line="240" w:lineRule="auto"/>
              <w:jc w:val="center"/>
              <w:textAlignment w:val="auto"/>
              <w:rPr>
                <w:rFonts w:hint="default" w:ascii="宋体" w:hAnsi="宋体" w:cs="宋体"/>
                <w:sz w:val="24"/>
                <w:szCs w:val="24"/>
                <w:u w:val="none"/>
                <w:vertAlign w:val="baseline"/>
                <w:lang w:val="en-US" w:eastAsia="zh-CN"/>
              </w:rPr>
            </w:pPr>
            <w:r>
              <w:rPr>
                <w:rFonts w:hint="default" w:ascii="宋体" w:hAnsi="宋体" w:cs="宋体"/>
                <w:sz w:val="24"/>
                <w:szCs w:val="24"/>
                <w:u w:val="none"/>
                <w:vertAlign w:val="baseline"/>
                <w:lang w:val="en-US" w:eastAsia="zh-CN"/>
              </w:rPr>
              <w:drawing>
                <wp:inline distT="0" distB="0" distL="114300" distR="114300">
                  <wp:extent cx="4476115" cy="2518410"/>
                  <wp:effectExtent l="0" t="0" r="635" b="15240"/>
                  <wp:docPr id="3" name="图片 2" descr="航拍照片2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航拍照片2_副本"/>
                          <pic:cNvPicPr>
                            <a:picLocks noChangeAspect="1"/>
                          </pic:cNvPicPr>
                        </pic:nvPicPr>
                        <pic:blipFill>
                          <a:blip r:embed="rId6"/>
                          <a:stretch>
                            <a:fillRect/>
                          </a:stretch>
                        </pic:blipFill>
                        <pic:spPr>
                          <a:xfrm>
                            <a:off x="0" y="0"/>
                            <a:ext cx="4476115" cy="2518410"/>
                          </a:xfrm>
                          <a:prstGeom prst="rect">
                            <a:avLst/>
                          </a:prstGeom>
                          <a:noFill/>
                          <a:ln>
                            <a:noFill/>
                          </a:ln>
                        </pic:spPr>
                      </pic:pic>
                    </a:graphicData>
                  </a:graphic>
                </wp:inline>
              </w:drawing>
            </w:r>
          </w:p>
        </w:tc>
      </w:tr>
    </w:tbl>
    <w:p w14:paraId="64E11F72">
      <w:pPr>
        <w:tabs>
          <w:tab w:val="left" w:pos="626"/>
        </w:tabs>
        <w:bidi w:val="0"/>
        <w:jc w:val="left"/>
        <w:rPr>
          <w:rFonts w:hint="default"/>
          <w:lang w:val="en-US" w:eastAsia="zh-CN"/>
        </w:rPr>
      </w:pPr>
    </w:p>
    <w:p w14:paraId="477F3AEE">
      <w:bookmarkStart w:id="0" w:name="_GoBack"/>
      <w:bookmarkEnd w:id="0"/>
    </w:p>
    <w:sectPr>
      <w:footerReference r:id="rId3" w:type="default"/>
      <w:pgSz w:w="11907" w:h="16840"/>
      <w:pgMar w:top="1701" w:right="1531" w:bottom="1701" w:left="1531"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FB7E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D15FDE">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D15FDE">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0E5830"/>
    <w:rsid w:val="0B385317"/>
    <w:rsid w:val="530E5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spacing w:line="540" w:lineRule="exact"/>
      <w:ind w:firstLine="630" w:firstLineChars="200"/>
    </w:pPr>
    <w:rPr>
      <w:rFonts w:eastAsia="仿宋_GB2312"/>
      <w:kern w:val="0"/>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3"/>
    <w:basedOn w:val="1"/>
    <w:qFormat/>
    <w:uiPriority w:val="0"/>
    <w:pPr>
      <w:widowControl/>
      <w:jc w:val="center"/>
    </w:pPr>
    <w:rPr>
      <w:rFonts w:hint="eastAsia" w:ascii="黑体" w:hAnsi="黑体" w:eastAsia="黑体" w:cs="黑体"/>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2025-01-23T02:56:00Z</dcterms:created>
  <dc:creator>海坤</dc:creator>
  <cp:lastModifiedBy>海坤</cp:lastModifiedBy>
  <dcterms:modified xsi:type="dcterms:W3CDTF">2025-01-23T02:56:53Z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10EB8852051043BB8F7B1688FDAFE00D_11</vt:lpwstr>
  </property>
  <property fmtid="{D5CDD505-2E9C-101B-9397-08002B2CF9AE}" pid="4" name="KSOTemplateDocerSaveRecord">
    <vt:lpwstr>eyJoZGlkIjoiMzk3NDViYTc3OWE3YmI1NGI0MTc1ZTRkMThkMDE3ZjQiLCJ1c2VySWQiOiI0MDU4MzkxMjgifQ==</vt:lpwstr>
  </property>
</Properties>
</file>