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7DED5">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sz w:val="32"/>
          <w:szCs w:val="28"/>
          <w:lang w:val="en-US" w:eastAsia="zh-CN"/>
        </w:rPr>
      </w:pPr>
      <w:r>
        <w:rPr>
          <w:rFonts w:hint="eastAsia" w:ascii="黑体" w:hAnsi="黑体" w:eastAsia="黑体"/>
          <w:sz w:val="32"/>
          <w:szCs w:val="28"/>
          <w:lang w:val="en-US" w:eastAsia="zh-CN"/>
        </w:rPr>
        <w:t>附件3</w:t>
      </w:r>
    </w:p>
    <w:p w14:paraId="7A2101C3">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简体"/>
          <w:sz w:val="44"/>
          <w:szCs w:val="52"/>
          <w:lang w:val="en-US" w:eastAsia="zh-CN"/>
        </w:rPr>
      </w:pPr>
    </w:p>
    <w:p w14:paraId="2E76060A">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简体"/>
          <w:b w:val="0"/>
          <w:bCs w:val="0"/>
          <w:sz w:val="44"/>
          <w:szCs w:val="52"/>
          <w:lang w:val="en-US" w:eastAsia="zh-CN"/>
        </w:rPr>
      </w:pPr>
      <w:r>
        <w:rPr>
          <w:rFonts w:hint="eastAsia" w:ascii="Times New Roman" w:hAnsi="Times New Roman" w:eastAsia="方正小标宋简体"/>
          <w:b w:val="0"/>
          <w:bCs w:val="0"/>
          <w:sz w:val="44"/>
          <w:szCs w:val="52"/>
          <w:lang w:val="en-US" w:eastAsia="zh-CN"/>
        </w:rPr>
        <w:t>《法律意见书》出具指引</w:t>
      </w:r>
    </w:p>
    <w:p w14:paraId="0299654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ascii="仿宋_GB2312" w:hAnsi="仿宋_GB2312" w:eastAsia="仿宋_GB2312"/>
          <w:sz w:val="32"/>
          <w:szCs w:val="28"/>
          <w:lang w:val="en-US" w:eastAsia="zh-CN"/>
        </w:rPr>
      </w:pPr>
    </w:p>
    <w:p w14:paraId="5FA476D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一、各单位外聘</w:t>
      </w:r>
      <w:r>
        <w:rPr>
          <w:rFonts w:ascii="仿宋_GB2312" w:hAnsi="仿宋_GB2312" w:eastAsia="仿宋_GB2312"/>
          <w:sz w:val="32"/>
          <w:szCs w:val="28"/>
          <w:lang w:val="en-US" w:eastAsia="zh-CN"/>
        </w:rPr>
        <w:t>法律顾问出具的法律意见书可参照适用</w:t>
      </w:r>
      <w:r>
        <w:rPr>
          <w:rFonts w:hint="eastAsia" w:ascii="仿宋_GB2312" w:hAnsi="仿宋_GB2312" w:eastAsia="仿宋_GB2312"/>
          <w:sz w:val="32"/>
          <w:szCs w:val="28"/>
          <w:lang w:val="en-US" w:eastAsia="zh-CN"/>
        </w:rPr>
        <w:t>。</w:t>
      </w:r>
    </w:p>
    <w:p w14:paraId="32DA113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ascii="仿宋_GB2312" w:hAnsi="仿宋_GB2312" w:eastAsia="仿宋_GB2312"/>
          <w:sz w:val="32"/>
          <w:szCs w:val="28"/>
          <w:lang w:val="en-US" w:eastAsia="zh-CN"/>
        </w:rPr>
      </w:pPr>
      <w:r>
        <w:rPr>
          <w:rFonts w:ascii="仿宋_GB2312" w:hAnsi="仿宋_GB2312" w:eastAsia="仿宋_GB2312"/>
          <w:sz w:val="32"/>
          <w:szCs w:val="28"/>
          <w:lang w:val="en-US" w:eastAsia="zh-CN"/>
        </w:rPr>
        <w:t>二、本意见所称“法律意见书”，是指</w:t>
      </w:r>
      <w:r>
        <w:rPr>
          <w:rFonts w:hint="eastAsia" w:ascii="仿宋_GB2312" w:hAnsi="仿宋_GB2312" w:eastAsia="仿宋_GB2312"/>
          <w:sz w:val="32"/>
          <w:szCs w:val="28"/>
          <w:lang w:val="en-US" w:eastAsia="zh-CN"/>
        </w:rPr>
        <w:t>外聘法律顾问在</w:t>
      </w:r>
      <w:r>
        <w:rPr>
          <w:rFonts w:ascii="仿宋_GB2312" w:hAnsi="仿宋_GB2312" w:eastAsia="仿宋_GB2312"/>
          <w:sz w:val="32"/>
          <w:szCs w:val="28"/>
          <w:lang w:val="en-US" w:eastAsia="zh-CN"/>
        </w:rPr>
        <w:t>合同履约期间，就有关问题以书面形式向政府机关、机构提供法律依据、</w:t>
      </w:r>
      <w:r>
        <w:rPr>
          <w:rFonts w:hint="eastAsia" w:ascii="仿宋_GB2312" w:hAnsi="仿宋_GB2312" w:eastAsia="仿宋_GB2312"/>
          <w:strike w:val="0"/>
          <w:sz w:val="32"/>
          <w:szCs w:val="28"/>
          <w:highlight w:val="none"/>
          <w:lang w:val="en-US" w:eastAsia="zh-CN"/>
        </w:rPr>
        <w:t>作</w:t>
      </w:r>
      <w:r>
        <w:rPr>
          <w:rFonts w:ascii="仿宋_GB2312" w:hAnsi="仿宋_GB2312" w:eastAsia="仿宋_GB2312"/>
          <w:strike w:val="0"/>
          <w:sz w:val="32"/>
          <w:szCs w:val="28"/>
          <w:lang w:val="en-US" w:eastAsia="zh-CN"/>
        </w:rPr>
        <w:t>出法律解释</w:t>
      </w:r>
      <w:r>
        <w:rPr>
          <w:rFonts w:ascii="仿宋_GB2312" w:hAnsi="仿宋_GB2312" w:eastAsia="仿宋_GB2312"/>
          <w:sz w:val="32"/>
          <w:szCs w:val="28"/>
          <w:lang w:val="en-US" w:eastAsia="zh-CN"/>
        </w:rPr>
        <w:t>、进行法律审查、分析法律风险、提出法律建议或解决方案的法律文书。</w:t>
      </w:r>
    </w:p>
    <w:p w14:paraId="405A467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ascii="仿宋_GB2312" w:hAnsi="仿宋_GB2312" w:eastAsia="仿宋_GB2312"/>
          <w:sz w:val="32"/>
          <w:szCs w:val="28"/>
          <w:lang w:val="en-US" w:eastAsia="zh-CN"/>
        </w:rPr>
      </w:pPr>
      <w:r>
        <w:rPr>
          <w:rFonts w:ascii="仿宋_GB2312" w:hAnsi="仿宋_GB2312" w:eastAsia="仿宋_GB2312"/>
          <w:sz w:val="32"/>
          <w:szCs w:val="28"/>
          <w:lang w:val="en-US" w:eastAsia="zh-CN"/>
        </w:rPr>
        <w:t>三、</w:t>
      </w:r>
      <w:r>
        <w:rPr>
          <w:rFonts w:hint="eastAsia" w:ascii="仿宋_GB2312" w:hAnsi="仿宋_GB2312" w:eastAsia="仿宋_GB2312"/>
          <w:sz w:val="32"/>
          <w:szCs w:val="28"/>
          <w:lang w:val="en-US" w:eastAsia="zh-CN"/>
        </w:rPr>
        <w:t>各单位</w:t>
      </w:r>
      <w:r>
        <w:rPr>
          <w:rFonts w:ascii="仿宋_GB2312" w:hAnsi="仿宋_GB2312" w:eastAsia="仿宋_GB2312"/>
          <w:sz w:val="32"/>
          <w:szCs w:val="28"/>
          <w:lang w:val="en-US" w:eastAsia="zh-CN"/>
        </w:rPr>
        <w:t>提交区党工委、管委会</w:t>
      </w:r>
      <w:r>
        <w:rPr>
          <w:rFonts w:hint="eastAsia" w:ascii="仿宋_GB2312" w:hAnsi="仿宋_GB2312" w:eastAsia="仿宋_GB2312"/>
          <w:sz w:val="32"/>
          <w:szCs w:val="28"/>
          <w:lang w:val="en-US" w:eastAsia="zh-CN"/>
        </w:rPr>
        <w:t>决策</w:t>
      </w:r>
      <w:r>
        <w:rPr>
          <w:rFonts w:ascii="仿宋_GB2312" w:hAnsi="仿宋_GB2312" w:eastAsia="仿宋_GB2312"/>
          <w:sz w:val="32"/>
          <w:szCs w:val="28"/>
          <w:lang w:val="en-US" w:eastAsia="zh-CN"/>
        </w:rPr>
        <w:t>事项，应一并报送本单位法制机构意见，未报送法律意见书或报送的法律意见书不符合要求的，经退回一次</w:t>
      </w:r>
      <w:r>
        <w:rPr>
          <w:rFonts w:hint="eastAsia" w:ascii="仿宋_GB2312" w:hAnsi="仿宋_GB2312" w:eastAsia="仿宋_GB2312"/>
          <w:sz w:val="32"/>
          <w:szCs w:val="28"/>
          <w:lang w:val="en-US" w:eastAsia="zh-CN"/>
        </w:rPr>
        <w:t>且</w:t>
      </w:r>
      <w:r>
        <w:rPr>
          <w:rFonts w:ascii="仿宋_GB2312" w:hAnsi="仿宋_GB2312" w:eastAsia="仿宋_GB2312"/>
          <w:sz w:val="32"/>
          <w:szCs w:val="28"/>
          <w:lang w:val="en-US" w:eastAsia="zh-CN"/>
        </w:rPr>
        <w:t>拒不改正的不予受理。</w:t>
      </w:r>
    </w:p>
    <w:p w14:paraId="02A0B56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ascii="仿宋_GB2312" w:hAnsi="仿宋_GB2312" w:eastAsia="仿宋_GB2312"/>
          <w:sz w:val="32"/>
          <w:szCs w:val="28"/>
          <w:lang w:val="en-US" w:eastAsia="zh-CN"/>
        </w:rPr>
      </w:pPr>
      <w:r>
        <w:rPr>
          <w:rFonts w:ascii="仿宋_GB2312" w:hAnsi="仿宋_GB2312" w:eastAsia="仿宋_GB2312"/>
          <w:sz w:val="32"/>
          <w:szCs w:val="28"/>
          <w:lang w:val="en-US" w:eastAsia="zh-CN"/>
        </w:rPr>
        <w:t>四、法律意见书要求一事一议，格式规范，依据充分，分析透彻，逻辑严密，表述准确，结论明确。一般包括：</w:t>
      </w:r>
    </w:p>
    <w:p w14:paraId="78F25F2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一</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标题；</w:t>
      </w:r>
    </w:p>
    <w:p w14:paraId="7E2CBF5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二</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主送对象；</w:t>
      </w:r>
    </w:p>
    <w:p w14:paraId="2378970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三</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正文；</w:t>
      </w:r>
    </w:p>
    <w:p w14:paraId="307076A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四</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附件；</w:t>
      </w:r>
    </w:p>
    <w:p w14:paraId="4263CFE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五</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落款</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含签字栏</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、出具日期、律所公章</w:t>
      </w:r>
      <w:r>
        <w:rPr>
          <w:rFonts w:hint="eastAsia" w:ascii="仿宋_GB2312" w:hAnsi="仿宋_GB2312" w:eastAsia="仿宋_GB2312"/>
          <w:sz w:val="32"/>
          <w:szCs w:val="28"/>
          <w:lang w:val="en-US" w:eastAsia="zh-CN"/>
        </w:rPr>
        <w:t>。</w:t>
      </w:r>
    </w:p>
    <w:p w14:paraId="19C362A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ascii="仿宋_GB2312" w:hAnsi="仿宋_GB2312" w:eastAsia="仿宋_GB2312"/>
          <w:sz w:val="32"/>
          <w:szCs w:val="28"/>
          <w:lang w:val="en-US" w:eastAsia="zh-CN"/>
        </w:rPr>
      </w:pPr>
      <w:r>
        <w:rPr>
          <w:rFonts w:ascii="仿宋_GB2312" w:hAnsi="仿宋_GB2312" w:eastAsia="仿宋_GB2312"/>
          <w:sz w:val="32"/>
          <w:szCs w:val="28"/>
          <w:lang w:val="en-US" w:eastAsia="zh-CN"/>
        </w:rPr>
        <w:t>五、法律意见书正文一般包括：</w:t>
      </w:r>
    </w:p>
    <w:p w14:paraId="3D697C2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一</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问题缘由，包括论证事项来源及所掌握信息、资料的声明；</w:t>
      </w:r>
    </w:p>
    <w:p w14:paraId="7CCE0DF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二</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基本事实，包括尽职调查的情况及相关证据资料</w:t>
      </w:r>
      <w:r>
        <w:rPr>
          <w:rFonts w:hint="eastAsia" w:ascii="仿宋_GB2312" w:hAnsi="仿宋_GB2312" w:eastAsia="仿宋_GB2312"/>
          <w:sz w:val="32"/>
          <w:szCs w:val="28"/>
          <w:lang w:val="en-US" w:eastAsia="zh-CN"/>
        </w:rPr>
        <w:t>；</w:t>
      </w:r>
    </w:p>
    <w:p w14:paraId="6AEE5D0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三</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法律依据，包括适用的法律法规、规章及有关文件；</w:t>
      </w:r>
    </w:p>
    <w:p w14:paraId="403B215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四</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法律论证，包括对重点问题法律分析、风险评估</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对明显违法的内容进行揭示及相关论证；</w:t>
      </w:r>
    </w:p>
    <w:p w14:paraId="185F814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五</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结论性意见或建议，包括审查结果、对现有状况及可能状况的判断、存在的风险、同意或否决意见、处理建议、注意事项等；</w:t>
      </w:r>
    </w:p>
    <w:p w14:paraId="29847D9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六</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相关事项的附带说明；</w:t>
      </w:r>
    </w:p>
    <w:p w14:paraId="2E51922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七</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其他认为必要的材料。</w:t>
      </w:r>
    </w:p>
    <w:p w14:paraId="4FE12B39">
      <w:pPr>
        <w:pStyle w:val="2"/>
        <w:keepNext w:val="0"/>
        <w:keepLines w:val="0"/>
        <w:pageBreakBefore w:val="0"/>
        <w:widowControl w:val="0"/>
        <w:kinsoku/>
        <w:wordWrap/>
        <w:overflowPunct/>
        <w:topLinePunct w:val="0"/>
        <w:autoSpaceDE/>
        <w:autoSpaceDN/>
        <w:bidi w:val="0"/>
        <w:adjustRightInd/>
        <w:snapToGrid/>
        <w:spacing w:line="579" w:lineRule="exact"/>
        <w:ind w:left="119" w:firstLine="640" w:firstLineChars="200"/>
        <w:textAlignment w:val="auto"/>
        <w:rPr>
          <w:rFonts w:ascii="仿宋_GB2312" w:hAnsi="仿宋_GB2312" w:eastAsia="仿宋_GB2312"/>
          <w:sz w:val="32"/>
          <w:szCs w:val="28"/>
          <w:lang w:val="en-US" w:eastAsia="zh-CN"/>
        </w:rPr>
      </w:pPr>
      <w:r>
        <w:rPr>
          <w:rFonts w:ascii="仿宋_GB2312" w:hAnsi="仿宋_GB2312" w:eastAsia="仿宋_GB2312"/>
          <w:sz w:val="32"/>
          <w:szCs w:val="28"/>
          <w:lang w:val="en-US" w:eastAsia="zh-CN"/>
        </w:rPr>
        <w:t>六、法律意见书的附件一般应包括相关证据资料、法律文书或规范性文件等为法律审核论证提供相应事实和法律依据的必要书面材料。法律意见书与重大事项同步报审时，若报审材料附件中已包括前述书面材料的，法律意见书可以只列明所审查材料的清单以及报审附件中未提供的书面材料。</w:t>
      </w:r>
    </w:p>
    <w:p w14:paraId="66426645">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A12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Calibri" w:hAnsi="Calibri" w:eastAsia="宋体" w:cs="Times New Roman"/>
      <w:color w:val="auto"/>
      <w:spacing w:val="0"/>
      <w:kern w:val="2"/>
      <w:position w:val="0"/>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pPr>
      <w:ind w:left="120"/>
    </w:pPr>
    <w:rPr>
      <w:rFonts w:ascii="仿宋_GB2312" w:hAnsi="仿宋_GB2312" w:eastAsia="仿宋_GB2312" w:cs="仿宋_GB2312"/>
      <w:sz w:val="32"/>
      <w:szCs w:val="32"/>
      <w:lang w:val="zh-CN" w:eastAsia="zh-CN" w:bidi="zh-CN"/>
    </w:rPr>
  </w:style>
  <w:style w:type="paragraph" w:styleId="3">
    <w:name w:val="Title"/>
    <w:basedOn w:val="1"/>
    <w:next w:val="1"/>
    <w:qFormat/>
    <w:uiPriority w:val="10"/>
    <w:pPr>
      <w:snapToGrid w:val="0"/>
      <w:spacing w:line="560" w:lineRule="exact"/>
      <w:jc w:val="center"/>
      <w:outlineLvl w:val="0"/>
    </w:pPr>
    <w:rPr>
      <w:rFonts w:ascii="Cambria" w:hAnsi="Cambria" w:eastAsia="方正小标宋简体"/>
      <w:bCs/>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许汉泽</cp:lastModifiedBy>
  <dcterms:modified xsi:type="dcterms:W3CDTF">2025-12-31T09:07:52Z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eyJoZGlkIjoiYTJlZTUzYjk4N2ViNDA5MzQxNjBlMjM0MWYxYjZhYWIiLCJ1c2VySWQiOiIxNzI5Njk1NTAwIn0=</vt:lpwstr>
  </property>
  <property fmtid="{D5CDD505-2E9C-101B-9397-08002B2CF9AE}" pid="4" name="ICV">
    <vt:lpwstr>ECD3A9061FE04354848606272849408C_12</vt:lpwstr>
  </property>
</Properties>
</file>