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pacing w:beforeLines="0" w:line="560" w:lineRule="exact"/>
        <w:jc w:val="left"/>
        <w:rPr>
          <w:rFonts w:hint="eastAsia" w:ascii="黑体" w:hAnsi="黑体" w:eastAsia="黑体" w:cs="黑体"/>
          <w:b w:val="0"/>
          <w:bCs w:val="0"/>
          <w:color w:val="auto"/>
          <w:sz w:val="32"/>
          <w:szCs w:val="32"/>
          <w:lang w:val="en-US" w:eastAsia="zh-CN" w:bidi="ar-SA"/>
        </w:rPr>
      </w:pPr>
      <w:r>
        <w:rPr>
          <w:rFonts w:hint="eastAsia" w:ascii="黑体" w:hAnsi="黑体" w:eastAsia="黑体" w:cs="黑体"/>
          <w:b w:val="0"/>
          <w:bCs w:val="0"/>
          <w:color w:val="auto"/>
          <w:sz w:val="32"/>
          <w:szCs w:val="32"/>
          <w:lang w:val="en-US" w:eastAsia="zh-CN" w:bidi="ar-SA"/>
        </w:rPr>
        <w:t>附件3</w:t>
      </w:r>
    </w:p>
    <w:p>
      <w:pPr>
        <w:pStyle w:val="2"/>
        <w:spacing w:beforeLines="0" w:line="560" w:lineRule="exact"/>
        <w:jc w:val="left"/>
        <w:rPr>
          <w:rFonts w:hint="eastAsia"/>
          <w:color w:val="auto"/>
          <w:lang w:val="en-US" w:eastAsia="zh-CN"/>
        </w:rPr>
      </w:pPr>
    </w:p>
    <w:p>
      <w:pPr>
        <w:keepNext w:val="0"/>
        <w:keepLines w:val="0"/>
        <w:pageBreakBefore w:val="0"/>
        <w:widowControl/>
        <w:snapToGrid/>
        <w:spacing w:before="0" w:beforeLines="0" w:line="560" w:lineRule="exact"/>
        <w:jc w:val="center"/>
        <w:rPr>
          <w:rFonts w:hint="eastAsia" w:ascii="方正小标宋简体" w:hAnsi="Times New Roman" w:eastAsia="方正小标宋简体" w:cs="Times New Roman"/>
          <w:color w:val="auto"/>
          <w:sz w:val="44"/>
          <w:szCs w:val="44"/>
          <w:lang w:val="en-US" w:eastAsia="zh-CN" w:bidi="ar-SA"/>
        </w:rPr>
      </w:pPr>
      <w:r>
        <w:rPr>
          <w:rFonts w:hint="eastAsia" w:ascii="方正小标宋简体" w:hAnsi="Times New Roman" w:eastAsia="方正小标宋简体" w:cs="Times New Roman"/>
          <w:color w:val="auto"/>
          <w:sz w:val="44"/>
          <w:szCs w:val="44"/>
          <w:lang w:val="en-US" w:eastAsia="zh-CN" w:bidi="ar-SA"/>
        </w:rPr>
        <w:t>深汕特别合作区应急管理局2026年度</w:t>
      </w:r>
    </w:p>
    <w:p>
      <w:pPr>
        <w:keepNext w:val="0"/>
        <w:keepLines w:val="0"/>
        <w:pageBreakBefore w:val="0"/>
        <w:widowControl/>
        <w:snapToGrid/>
        <w:spacing w:before="0" w:beforeLines="0" w:line="560" w:lineRule="exact"/>
        <w:jc w:val="center"/>
        <w:rPr>
          <w:rFonts w:hint="eastAsia" w:ascii="方正小标宋简体" w:hAnsi="Times New Roman" w:eastAsia="方正小标宋简体" w:cs="Times New Roman"/>
          <w:color w:val="auto"/>
          <w:sz w:val="44"/>
          <w:szCs w:val="44"/>
          <w:lang w:val="en-US" w:eastAsia="zh-CN" w:bidi="ar-SA"/>
        </w:rPr>
      </w:pPr>
      <w:r>
        <w:rPr>
          <w:rFonts w:hint="eastAsia" w:ascii="方正小标宋简体" w:hAnsi="Times New Roman" w:eastAsia="方正小标宋简体" w:cs="Times New Roman"/>
          <w:color w:val="auto"/>
          <w:sz w:val="44"/>
          <w:szCs w:val="44"/>
          <w:lang w:val="en-US" w:eastAsia="zh-CN" w:bidi="ar-SA"/>
        </w:rPr>
        <w:t>“双随机、一公开”抽查工作计划</w:t>
      </w:r>
    </w:p>
    <w:p>
      <w:pPr>
        <w:spacing w:line="560" w:lineRule="exact"/>
        <w:jc w:val="left"/>
        <w:rPr>
          <w:rFonts w:ascii="仿宋_GB2312" w:hAnsi="仿宋_GB2312" w:cs="仿宋_GB2312"/>
          <w:lang w:val="en"/>
        </w:rPr>
      </w:pPr>
    </w:p>
    <w:p>
      <w:pPr>
        <w:widowControl/>
        <w:shd w:val="clear" w:color="auto" w:fill="FFFFFF"/>
        <w:snapToGrid w:val="0"/>
        <w:spacing w:line="560" w:lineRule="exact"/>
        <w:ind w:firstLine="648"/>
        <w:jc w:val="left"/>
        <w:rPr>
          <w:rFonts w:hint="eastAsia" w:ascii="仿宋_GB2312" w:hAnsi="仿宋_GB2312" w:eastAsia="仿宋_GB2312" w:cs="仿宋_GB2312"/>
          <w:color w:val="auto"/>
          <w:kern w:val="0"/>
          <w:sz w:val="32"/>
          <w:szCs w:val="32"/>
          <w:lang w:val="zh-CN" w:bidi="ar"/>
        </w:rPr>
      </w:pPr>
      <w:r>
        <w:rPr>
          <w:rFonts w:hint="eastAsia" w:ascii="仿宋_GB2312" w:hAnsi="仿宋_GB2312" w:eastAsia="仿宋_GB2312" w:cs="仿宋_GB2312"/>
          <w:color w:val="auto"/>
          <w:kern w:val="0"/>
          <w:sz w:val="32"/>
          <w:szCs w:val="32"/>
          <w:lang w:val="zh-CN" w:bidi="ar"/>
        </w:rPr>
        <w:t>为贯彻落实</w:t>
      </w:r>
      <w:r>
        <w:rPr>
          <w:rFonts w:hint="eastAsia" w:ascii="仿宋_GB2312" w:hAnsi="仿宋_GB2312" w:cs="仿宋_GB2312"/>
          <w:color w:val="auto"/>
          <w:kern w:val="0"/>
          <w:sz w:val="32"/>
          <w:szCs w:val="32"/>
          <w:lang w:val="zh-CN" w:eastAsia="zh-CN" w:bidi="ar"/>
        </w:rPr>
        <w:t>省、市关于</w:t>
      </w:r>
      <w:r>
        <w:rPr>
          <w:rFonts w:hint="eastAsia" w:ascii="仿宋_GB2312" w:hAnsi="仿宋_GB2312" w:eastAsia="仿宋_GB2312" w:cs="仿宋_GB2312"/>
          <w:color w:val="auto"/>
          <w:kern w:val="0"/>
          <w:sz w:val="32"/>
          <w:szCs w:val="32"/>
          <w:lang w:val="zh-CN" w:eastAsia="zh-CN" w:bidi="ar"/>
        </w:rPr>
        <w:t>“双随机、一公开”</w:t>
      </w:r>
      <w:r>
        <w:rPr>
          <w:rFonts w:hint="eastAsia" w:ascii="仿宋_GB2312" w:hAnsi="仿宋_GB2312" w:cs="仿宋_GB2312"/>
          <w:color w:val="auto"/>
          <w:kern w:val="0"/>
          <w:sz w:val="32"/>
          <w:szCs w:val="32"/>
          <w:lang w:val="zh-CN" w:eastAsia="zh-CN" w:bidi="ar"/>
        </w:rPr>
        <w:t>实施工作的要求，</w:t>
      </w:r>
      <w:r>
        <w:rPr>
          <w:rFonts w:hint="eastAsia" w:ascii="仿宋_GB2312" w:hAnsi="仿宋_GB2312" w:eastAsia="仿宋_GB2312" w:cs="仿宋_GB2312"/>
          <w:color w:val="auto"/>
          <w:kern w:val="0"/>
          <w:sz w:val="32"/>
          <w:szCs w:val="32"/>
          <w:lang w:val="zh-CN" w:bidi="ar"/>
        </w:rPr>
        <w:t>确保本年度“双随机、一公开”计划有序开展，</w:t>
      </w:r>
      <w:r>
        <w:rPr>
          <w:rFonts w:hint="eastAsia" w:ascii="仿宋_GB2312" w:hAnsi="仿宋_GB2312" w:eastAsia="仿宋_GB2312" w:cs="仿宋_GB2312"/>
          <w:color w:val="auto"/>
          <w:kern w:val="0"/>
          <w:sz w:val="32"/>
          <w:szCs w:val="32"/>
        </w:rPr>
        <w:t>根据</w:t>
      </w:r>
      <w:r>
        <w:rPr>
          <w:rFonts w:hint="eastAsia" w:ascii="仿宋_GB2312" w:hAnsi="仿宋_GB2312" w:eastAsia="仿宋_GB2312" w:cs="仿宋_GB2312"/>
          <w:color w:val="auto"/>
          <w:sz w:val="32"/>
          <w:szCs w:val="32"/>
        </w:rPr>
        <w:t>《关于印发&lt;广东省安全生产监督管理局推进安全生产监督检查“双随机、一公开”实施方案&gt;的通知》（粤安监〔2016〕168号）</w:t>
      </w:r>
      <w:r>
        <w:rPr>
          <w:rFonts w:hint="eastAsia" w:ascii="仿宋_GB2312" w:hAnsi="仿宋_GB2312" w:eastAsia="仿宋_GB2312" w:cs="仿宋_GB2312"/>
          <w:color w:val="auto"/>
          <w:kern w:val="0"/>
          <w:sz w:val="32"/>
          <w:szCs w:val="32"/>
        </w:rPr>
        <w:t>等有关要求，</w:t>
      </w:r>
      <w:r>
        <w:rPr>
          <w:rFonts w:hint="eastAsia" w:ascii="仿宋_GB2312" w:hAnsi="仿宋_GB2312" w:cs="仿宋_GB2312"/>
          <w:color w:val="auto"/>
          <w:kern w:val="0"/>
          <w:sz w:val="32"/>
          <w:szCs w:val="32"/>
          <w:lang w:val="zh-CN" w:eastAsia="zh-CN" w:bidi="ar"/>
        </w:rPr>
        <w:t>结合</w:t>
      </w:r>
      <w:r>
        <w:rPr>
          <w:rFonts w:hint="eastAsia" w:ascii="仿宋_GB2312" w:hAnsi="仿宋_GB2312" w:eastAsia="仿宋_GB2312" w:cs="仿宋_GB2312"/>
          <w:color w:val="auto"/>
          <w:kern w:val="0"/>
          <w:sz w:val="32"/>
          <w:szCs w:val="32"/>
          <w:lang w:val="zh-CN" w:bidi="ar"/>
        </w:rPr>
        <w:t>《深圳市</w:t>
      </w:r>
      <w:r>
        <w:rPr>
          <w:rFonts w:hint="eastAsia" w:ascii="仿宋_GB2312" w:hAnsi="仿宋_GB2312" w:cs="仿宋_GB2312"/>
          <w:color w:val="auto"/>
          <w:kern w:val="0"/>
          <w:sz w:val="32"/>
          <w:szCs w:val="32"/>
          <w:lang w:val="zh-CN" w:eastAsia="zh-CN" w:bidi="ar"/>
        </w:rPr>
        <w:t>深汕特别合作区</w:t>
      </w:r>
      <w:r>
        <w:rPr>
          <w:rFonts w:hint="eastAsia" w:ascii="仿宋_GB2312" w:hAnsi="仿宋_GB2312" w:eastAsia="仿宋_GB2312" w:cs="仿宋_GB2312"/>
          <w:color w:val="auto"/>
          <w:kern w:val="0"/>
          <w:sz w:val="32"/>
          <w:szCs w:val="32"/>
          <w:lang w:val="zh-CN" w:bidi="ar"/>
        </w:rPr>
        <w:t>应急管理局20</w:t>
      </w:r>
      <w:r>
        <w:rPr>
          <w:rFonts w:hint="eastAsia" w:ascii="仿宋_GB2312" w:hAnsi="仿宋_GB2312" w:eastAsia="仿宋_GB2312" w:cs="仿宋_GB2312"/>
          <w:color w:val="auto"/>
          <w:kern w:val="0"/>
          <w:sz w:val="32"/>
          <w:szCs w:val="32"/>
          <w:lang w:val="zh-CN" w:eastAsia="zh-CN" w:bidi="ar"/>
        </w:rPr>
        <w:t>2</w:t>
      </w:r>
      <w:r>
        <w:rPr>
          <w:rFonts w:hint="eastAsia" w:ascii="仿宋_GB2312" w:hAnsi="仿宋_GB2312" w:cs="仿宋_GB2312"/>
          <w:color w:val="auto"/>
          <w:kern w:val="0"/>
          <w:sz w:val="32"/>
          <w:szCs w:val="32"/>
          <w:lang w:val="en-US" w:eastAsia="zh-CN" w:bidi="ar"/>
        </w:rPr>
        <w:t>6</w:t>
      </w:r>
      <w:r>
        <w:rPr>
          <w:rFonts w:hint="eastAsia" w:ascii="仿宋_GB2312" w:hAnsi="仿宋_GB2312" w:eastAsia="仿宋_GB2312" w:cs="仿宋_GB2312"/>
          <w:color w:val="auto"/>
          <w:kern w:val="0"/>
          <w:sz w:val="32"/>
          <w:szCs w:val="32"/>
          <w:lang w:val="zh-CN" w:bidi="ar"/>
        </w:rPr>
        <w:t>年度应急管理领域监督检查计划》（以下简称《年度监督检查计划》）</w:t>
      </w:r>
      <w:r>
        <w:rPr>
          <w:rFonts w:hint="eastAsia" w:ascii="仿宋_GB2312" w:hAnsi="仿宋_GB2312" w:cs="仿宋_GB2312"/>
          <w:color w:val="auto"/>
          <w:kern w:val="0"/>
          <w:sz w:val="32"/>
          <w:szCs w:val="32"/>
          <w:lang w:val="zh-CN" w:eastAsia="zh-CN" w:bidi="ar"/>
        </w:rPr>
        <w:t>，</w:t>
      </w:r>
      <w:r>
        <w:rPr>
          <w:rFonts w:hint="eastAsia" w:ascii="仿宋_GB2312" w:hAnsi="仿宋_GB2312" w:eastAsia="仿宋_GB2312" w:cs="仿宋_GB2312"/>
          <w:color w:val="auto"/>
          <w:kern w:val="0"/>
          <w:sz w:val="32"/>
          <w:szCs w:val="32"/>
          <w:lang w:val="zh-CN" w:bidi="ar"/>
        </w:rPr>
        <w:t>特制定本</w:t>
      </w:r>
      <w:r>
        <w:rPr>
          <w:rFonts w:hint="eastAsia" w:ascii="仿宋_GB2312" w:hAnsi="仿宋_GB2312" w:eastAsia="仿宋_GB2312" w:cs="仿宋_GB2312"/>
          <w:color w:val="auto"/>
          <w:kern w:val="0"/>
          <w:sz w:val="32"/>
          <w:szCs w:val="32"/>
          <w:lang w:val="zh-CN" w:eastAsia="zh-CN" w:bidi="ar"/>
        </w:rPr>
        <w:t>计划</w:t>
      </w:r>
      <w:r>
        <w:rPr>
          <w:rFonts w:hint="eastAsia" w:ascii="仿宋_GB2312" w:hAnsi="仿宋_GB2312" w:eastAsia="仿宋_GB2312" w:cs="仿宋_GB2312"/>
          <w:color w:val="auto"/>
          <w:kern w:val="0"/>
          <w:sz w:val="32"/>
          <w:szCs w:val="32"/>
          <w:lang w:val="zh-CN" w:bidi="ar"/>
        </w:rPr>
        <w:t>。</w:t>
      </w:r>
    </w:p>
    <w:p>
      <w:pPr>
        <w:spacing w:line="560" w:lineRule="exact"/>
        <w:ind w:firstLine="640" w:firstLineChars="200"/>
        <w:jc w:val="left"/>
        <w:rPr>
          <w:rFonts w:ascii="黑体" w:hAnsi="黑体" w:eastAsia="黑体" w:cs="黑体"/>
          <w:color w:val="auto"/>
          <w:sz w:val="32"/>
          <w:szCs w:val="32"/>
        </w:rPr>
      </w:pPr>
      <w:r>
        <w:rPr>
          <w:rFonts w:hint="eastAsia" w:ascii="黑体" w:hAnsi="黑体" w:eastAsia="黑体" w:cs="黑体"/>
          <w:color w:val="auto"/>
          <w:sz w:val="32"/>
          <w:szCs w:val="32"/>
        </w:rPr>
        <w:t>一、总体要求</w:t>
      </w:r>
    </w:p>
    <w:p>
      <w:pPr>
        <w:pStyle w:val="3"/>
        <w:widowControl/>
        <w:spacing w:line="560" w:lineRule="exact"/>
        <w:ind w:firstLine="640" w:firstLineChars="200"/>
        <w:jc w:val="left"/>
        <w:rPr>
          <w:rFonts w:hint="default" w:ascii="楷体_GB2312" w:hAnsi="楷体_GB2312" w:eastAsia="楷体_GB2312" w:cs="楷体_GB2312"/>
          <w:color w:val="auto"/>
          <w:sz w:val="32"/>
          <w:szCs w:val="32"/>
        </w:rPr>
      </w:pPr>
      <w:r>
        <w:rPr>
          <w:rFonts w:ascii="楷体_GB2312" w:hAnsi="楷体_GB2312" w:eastAsia="楷体_GB2312" w:cs="楷体_GB2312"/>
          <w:color w:val="auto"/>
          <w:sz w:val="32"/>
          <w:szCs w:val="32"/>
        </w:rPr>
        <w:t>（一）指导思想和工作目标</w:t>
      </w:r>
    </w:p>
    <w:p>
      <w:pPr>
        <w:pStyle w:val="3"/>
        <w:widowControl/>
        <w:spacing w:line="560" w:lineRule="exact"/>
        <w:ind w:firstLine="640" w:firstLineChars="200"/>
        <w:jc w:val="left"/>
        <w:rPr>
          <w:rFonts w:hint="default" w:ascii="仿宋_GB2312" w:hAnsi="仿宋_GB2312" w:eastAsia="仿宋_GB2312" w:cs="仿宋_GB2312"/>
          <w:color w:val="auto"/>
          <w:sz w:val="32"/>
          <w:szCs w:val="32"/>
        </w:rPr>
      </w:pPr>
      <w:r>
        <w:rPr>
          <w:rFonts w:ascii="仿宋_GB2312" w:hAnsi="仿宋_GB2312" w:eastAsia="仿宋_GB2312" w:cs="仿宋_GB2312"/>
          <w:color w:val="auto"/>
          <w:sz w:val="32"/>
          <w:szCs w:val="32"/>
        </w:rPr>
        <w:t>以习近平新时代中国特色社会主义思想为指导，树牢安全发展理念，全面贯彻落实“放管服”相关改革要求，坚持依法监管、公正高效、公开透明、协同推进，</w:t>
      </w:r>
      <w:r>
        <w:rPr>
          <w:rFonts w:hint="eastAsia" w:ascii="仿宋_GB2312" w:hAnsi="仿宋_GB2312" w:eastAsia="仿宋_GB2312" w:cs="仿宋_GB2312"/>
          <w:b w:val="0"/>
          <w:bCs w:val="0"/>
          <w:color w:val="auto"/>
          <w:sz w:val="32"/>
          <w:szCs w:val="32"/>
          <w:lang w:val="zh-CN" w:eastAsia="zh-CN"/>
        </w:rPr>
        <w:t>持续推动双随机监管与信用监管、“互联网+”监管、综合监管深度结合，提升事中事后监管效能</w:t>
      </w:r>
      <w:r>
        <w:rPr>
          <w:rFonts w:ascii="仿宋_GB2312" w:hAnsi="仿宋_GB2312" w:eastAsia="仿宋_GB2312" w:cs="仿宋_GB2312"/>
          <w:color w:val="auto"/>
          <w:sz w:val="32"/>
          <w:szCs w:val="32"/>
        </w:rPr>
        <w:t>，逐步使“双随机、一公开”成为实施年度监管执法工作计划以及开展安全生产大检查、专项治理、暗查暗访等监管执法活动的主要方式，有效防止选择性执法、执法不透明、执法不公等现象，助力提升我</w:t>
      </w:r>
      <w:r>
        <w:rPr>
          <w:rFonts w:hint="eastAsia" w:ascii="仿宋_GB2312" w:hAnsi="仿宋_GB2312" w:eastAsia="仿宋_GB2312" w:cs="仿宋_GB2312"/>
          <w:color w:val="auto"/>
          <w:sz w:val="32"/>
          <w:szCs w:val="32"/>
          <w:lang w:eastAsia="zh-CN"/>
        </w:rPr>
        <w:t>区</w:t>
      </w:r>
      <w:r>
        <w:rPr>
          <w:rFonts w:ascii="仿宋_GB2312" w:hAnsi="仿宋_GB2312" w:eastAsia="仿宋_GB2312" w:cs="仿宋_GB2312"/>
          <w:color w:val="auto"/>
          <w:sz w:val="32"/>
          <w:szCs w:val="32"/>
        </w:rPr>
        <w:t>安全生产领域治理体系和治理能力现代化水平。</w:t>
      </w:r>
    </w:p>
    <w:p>
      <w:pPr>
        <w:widowControl/>
        <w:spacing w:line="560" w:lineRule="exact"/>
        <w:ind w:firstLine="640" w:firstLineChars="200"/>
        <w:jc w:val="left"/>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（二）基本原则</w:t>
      </w:r>
    </w:p>
    <w:p>
      <w:pPr>
        <w:widowControl/>
        <w:spacing w:line="560" w:lineRule="exact"/>
        <w:ind w:firstLine="642"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1.坚持依法实施。</w:t>
      </w:r>
      <w:r>
        <w:rPr>
          <w:rFonts w:hint="eastAsia" w:ascii="仿宋_GB2312" w:hAnsi="仿宋_GB2312" w:eastAsia="仿宋_GB2312" w:cs="仿宋_GB2312"/>
          <w:color w:val="auto"/>
          <w:sz w:val="32"/>
          <w:szCs w:val="32"/>
        </w:rPr>
        <w:t>严格执行相关法律、法规、规章，坚持规范公正文明执法，严格遵循执法程序，落实执法责任，确保“双随机、一公开”执法工作依法顺利推进，实现“双随机、一公开”执法活动常态化、制度化、规范化。</w:t>
      </w:r>
    </w:p>
    <w:p>
      <w:pPr>
        <w:widowControl/>
        <w:spacing w:line="560" w:lineRule="exact"/>
        <w:ind w:firstLine="642"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2.坚持公开透明。</w:t>
      </w:r>
      <w:r>
        <w:rPr>
          <w:rFonts w:hint="eastAsia" w:ascii="仿宋_GB2312" w:hAnsi="仿宋_GB2312" w:eastAsia="仿宋_GB2312" w:cs="仿宋_GB2312"/>
          <w:color w:val="auto"/>
          <w:sz w:val="32"/>
          <w:szCs w:val="32"/>
        </w:rPr>
        <w:t>及时、主动、规范公开安全生产监管执法随机抽查对象、执法依据、执法程序、执法结果等信息，畅通举报投诉渠道，强化社会监督，切实保障社会公众的知情权和监督权，维护当事人的合法权益。</w:t>
      </w:r>
    </w:p>
    <w:p>
      <w:pPr>
        <w:spacing w:line="560" w:lineRule="exact"/>
        <w:ind w:firstLine="642" w:firstLineChars="200"/>
        <w:jc w:val="left"/>
        <w:rPr>
          <w:rFonts w:hint="eastAsia" w:ascii="仿宋_GB2312" w:hAnsi="宋体" w:eastAsia="仿宋_GB2312" w:cs="Times New Roman"/>
          <w:color w:val="auto"/>
          <w:sz w:val="32"/>
          <w:szCs w:val="32"/>
          <w:lang w:eastAsia="zh-CN"/>
        </w:rPr>
      </w:pPr>
      <w:r>
        <w:rPr>
          <w:rFonts w:hint="eastAsia" w:ascii="仿宋_GB2312" w:hAnsi="仿宋_GB2312" w:eastAsia="仿宋_GB2312" w:cs="仿宋_GB2312"/>
          <w:b/>
          <w:bCs/>
          <w:color w:val="auto"/>
          <w:sz w:val="32"/>
          <w:szCs w:val="32"/>
        </w:rPr>
        <w:t>3.坚持协同推进。</w:t>
      </w:r>
      <w:r>
        <w:rPr>
          <w:rFonts w:hint="eastAsia" w:ascii="仿宋_GB2312" w:hAnsi="仿宋_GB2312" w:eastAsia="仿宋_GB2312" w:cs="仿宋_GB2312"/>
          <w:color w:val="auto"/>
          <w:sz w:val="32"/>
          <w:szCs w:val="32"/>
        </w:rPr>
        <w:t>依托深圳市安全生产执法信息系统</w:t>
      </w:r>
      <w:r>
        <w:rPr>
          <w:rFonts w:hint="eastAsia" w:ascii="仿宋_GB2312" w:hAnsi="仿宋_GB2312" w:eastAsia="仿宋_GB2312" w:cs="仿宋_GB2312"/>
          <w:color w:val="auto"/>
          <w:sz w:val="32"/>
          <w:szCs w:val="32"/>
          <w:lang w:eastAsia="zh-CN"/>
        </w:rPr>
        <w:t>（以下简称“市执法信息系统”）</w:t>
      </w:r>
      <w:r>
        <w:rPr>
          <w:rFonts w:hint="eastAsia" w:ascii="仿宋_GB2312" w:hAnsi="仿宋_GB2312" w:eastAsia="仿宋_GB2312" w:cs="仿宋_GB2312"/>
          <w:color w:val="auto"/>
          <w:sz w:val="32"/>
          <w:szCs w:val="32"/>
        </w:rPr>
        <w:t>，充分利用现有安全生产监管信息数据，与市场监管部门“双随机、一公开”监管工作平台及信用信息平台相衔接，突出重点，有序推进，务求实效</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并强化</w:t>
      </w:r>
      <w:r>
        <w:rPr>
          <w:rFonts w:hint="eastAsia" w:ascii="仿宋_GB2312" w:hAnsi="仿宋_GB2312" w:eastAsia="仿宋_GB2312" w:cs="仿宋_GB2312"/>
          <w:b w:val="0"/>
          <w:bCs w:val="0"/>
          <w:color w:val="auto"/>
          <w:sz w:val="32"/>
          <w:szCs w:val="32"/>
          <w:lang w:val="zh-CN" w:eastAsia="zh-CN"/>
        </w:rPr>
        <w:t>部门联合监管，</w:t>
      </w:r>
      <w:r>
        <w:rPr>
          <w:rFonts w:hint="eastAsia" w:ascii="仿宋_GB2312" w:hAnsi="宋体" w:eastAsia="仿宋_GB2312" w:cs="Times New Roman"/>
          <w:color w:val="auto"/>
          <w:sz w:val="32"/>
          <w:szCs w:val="32"/>
          <w:lang w:val="en-US" w:eastAsia="zh-CN"/>
        </w:rPr>
        <w:t>鼓励</w:t>
      </w:r>
      <w:r>
        <w:rPr>
          <w:rFonts w:hint="eastAsia" w:ascii="仿宋_GB2312" w:hAnsi="宋体" w:eastAsia="仿宋_GB2312" w:cs="Times New Roman"/>
          <w:color w:val="auto"/>
          <w:sz w:val="32"/>
          <w:szCs w:val="32"/>
          <w:lang w:eastAsia="zh-CN"/>
        </w:rPr>
        <w:t>将更多抽查纳入跨部门联合检查，积极响应其他部门的联合检查计划。</w:t>
      </w:r>
    </w:p>
    <w:p>
      <w:pPr>
        <w:widowControl/>
        <w:shd w:val="clear" w:color="auto" w:fill="FFFFFF"/>
        <w:snapToGrid w:val="0"/>
        <w:spacing w:line="560" w:lineRule="exact"/>
        <w:ind w:firstLine="648"/>
        <w:jc w:val="left"/>
        <w:rPr>
          <w:rFonts w:ascii="黑体" w:hAnsi="黑体" w:eastAsia="黑体" w:cs="黑体"/>
          <w:color w:val="auto"/>
          <w:kern w:val="0"/>
          <w:sz w:val="32"/>
          <w:szCs w:val="32"/>
        </w:rPr>
      </w:pPr>
      <w:r>
        <w:rPr>
          <w:rFonts w:hint="eastAsia" w:ascii="黑体" w:hAnsi="黑体" w:eastAsia="黑体" w:cs="黑体"/>
          <w:color w:val="auto"/>
          <w:kern w:val="0"/>
          <w:sz w:val="32"/>
          <w:szCs w:val="32"/>
        </w:rPr>
        <w:t>二、</w:t>
      </w:r>
      <w:r>
        <w:rPr>
          <w:rFonts w:hint="eastAsia" w:ascii="黑体" w:hAnsi="黑体" w:eastAsia="黑体" w:cs="黑体"/>
          <w:color w:val="auto"/>
          <w:kern w:val="0"/>
          <w:sz w:val="32"/>
          <w:szCs w:val="32"/>
          <w:lang w:eastAsia="zh-CN"/>
        </w:rPr>
        <w:t>抽查</w:t>
      </w:r>
      <w:r>
        <w:rPr>
          <w:rFonts w:hint="eastAsia" w:ascii="黑体" w:hAnsi="黑体" w:eastAsia="黑体" w:cs="黑体"/>
          <w:color w:val="auto"/>
          <w:kern w:val="0"/>
          <w:sz w:val="32"/>
          <w:szCs w:val="32"/>
        </w:rPr>
        <w:t>工作</w:t>
      </w:r>
      <w:r>
        <w:rPr>
          <w:rFonts w:hint="eastAsia" w:ascii="黑体" w:hAnsi="黑体" w:eastAsia="黑体" w:cs="黑体"/>
          <w:color w:val="auto"/>
          <w:kern w:val="0"/>
          <w:sz w:val="32"/>
          <w:szCs w:val="32"/>
          <w:lang w:eastAsia="zh-CN"/>
        </w:rPr>
        <w:t>计划</w:t>
      </w:r>
      <w:r>
        <w:rPr>
          <w:rFonts w:hint="eastAsia" w:ascii="黑体" w:hAnsi="黑体" w:eastAsia="黑体" w:cs="黑体"/>
          <w:color w:val="auto"/>
          <w:kern w:val="0"/>
          <w:sz w:val="32"/>
          <w:szCs w:val="32"/>
        </w:rPr>
        <w:t>安排</w:t>
      </w:r>
    </w:p>
    <w:p>
      <w:pPr>
        <w:keepNext w:val="0"/>
        <w:keepLines w:val="0"/>
        <w:pageBreakBefore w:val="0"/>
        <w:widowControl/>
        <w:shd w:val="clear" w:fill="auto"/>
        <w:snapToGrid/>
        <w:spacing w:line="560" w:lineRule="exact"/>
        <w:ind w:left="0" w:leftChars="0" w:firstLine="640" w:firstLineChars="200"/>
        <w:jc w:val="left"/>
        <w:rPr>
          <w:rFonts w:hint="eastAsia" w:ascii="仿宋_GB2312" w:hAnsi="黑体" w:eastAsia="仿宋_GB2312" w:cs="宋体"/>
          <w:color w:val="auto"/>
          <w:kern w:val="0"/>
          <w:sz w:val="32"/>
          <w:szCs w:val="32"/>
        </w:rPr>
      </w:pPr>
      <w:r>
        <w:rPr>
          <w:rFonts w:hint="eastAsia" w:ascii="仿宋_GB2312" w:hAnsi="黑体" w:eastAsia="仿宋_GB2312" w:cs="宋体"/>
          <w:color w:val="auto"/>
          <w:kern w:val="0"/>
          <w:sz w:val="32"/>
          <w:szCs w:val="32"/>
          <w:lang w:eastAsia="zh-CN"/>
        </w:rPr>
        <w:t>根据</w:t>
      </w:r>
      <w:r>
        <w:rPr>
          <w:rFonts w:hint="eastAsia" w:ascii="仿宋_GB2312" w:hAnsi="黑体" w:eastAsia="仿宋_GB2312" w:cs="宋体"/>
          <w:color w:val="auto"/>
          <w:kern w:val="0"/>
          <w:sz w:val="32"/>
          <w:szCs w:val="32"/>
        </w:rPr>
        <w:t>《年度监督检查计划》</w:t>
      </w:r>
      <w:r>
        <w:rPr>
          <w:rFonts w:hint="eastAsia" w:ascii="仿宋_GB2312" w:hAnsi="黑体" w:eastAsia="仿宋_GB2312" w:cs="宋体"/>
          <w:color w:val="auto"/>
          <w:kern w:val="0"/>
          <w:sz w:val="32"/>
          <w:szCs w:val="32"/>
          <w:lang w:eastAsia="zh-CN"/>
        </w:rPr>
        <w:t>，</w:t>
      </w:r>
      <w:r>
        <w:rPr>
          <w:rFonts w:hint="eastAsia" w:ascii="仿宋_GB2312" w:hAnsi="仿宋" w:eastAsia="仿宋_GB2312" w:cs="Times New Roman"/>
          <w:color w:val="auto"/>
          <w:sz w:val="32"/>
          <w:szCs w:val="32"/>
          <w:lang w:val="en-US" w:eastAsia="zh-CN" w:bidi="ar-SA"/>
        </w:rPr>
        <w:t>采用双随机抽查方式在危险化学品和化工企业、工贸企业等</w:t>
      </w:r>
      <w:r>
        <w:rPr>
          <w:rFonts w:hint="eastAsia" w:ascii="仿宋_GB2312" w:eastAsia="仿宋_GB2312"/>
          <w:color w:val="auto"/>
          <w:sz w:val="32"/>
          <w:szCs w:val="32"/>
          <w:lang w:val="en-US" w:eastAsia="zh-CN"/>
        </w:rPr>
        <w:t>监管领域共抽取</w:t>
      </w:r>
      <w:r>
        <w:rPr>
          <w:rFonts w:hint="eastAsia" w:ascii="仿宋_GB2312"/>
          <w:color w:val="auto"/>
          <w:sz w:val="32"/>
          <w:szCs w:val="32"/>
          <w:lang w:val="en-US" w:eastAsia="zh-CN"/>
        </w:rPr>
        <w:t>6</w:t>
      </w:r>
      <w:r>
        <w:rPr>
          <w:rFonts w:hint="eastAsia" w:ascii="仿宋_GB2312" w:hAnsi="仿宋" w:eastAsia="仿宋_GB2312" w:cs="Times New Roman"/>
          <w:color w:val="auto"/>
          <w:sz w:val="32"/>
          <w:szCs w:val="32"/>
          <w:lang w:val="en-US" w:eastAsia="zh-CN" w:bidi="ar-SA"/>
        </w:rPr>
        <w:t>家检查对象。</w:t>
      </w:r>
      <w:r>
        <w:rPr>
          <w:rFonts w:hint="eastAsia" w:ascii="仿宋_GB2312" w:hAnsi="黑体" w:eastAsia="仿宋_GB2312" w:cs="宋体"/>
          <w:b/>
          <w:bCs/>
          <w:color w:val="auto"/>
          <w:kern w:val="0"/>
          <w:sz w:val="32"/>
          <w:szCs w:val="32"/>
        </w:rPr>
        <w:t>自20</w:t>
      </w:r>
      <w:r>
        <w:rPr>
          <w:rFonts w:hint="eastAsia" w:ascii="仿宋_GB2312" w:hAnsi="黑体" w:eastAsia="仿宋_GB2312" w:cs="宋体"/>
          <w:b/>
          <w:bCs/>
          <w:color w:val="auto"/>
          <w:kern w:val="0"/>
          <w:sz w:val="32"/>
          <w:szCs w:val="32"/>
          <w:lang w:val="en-US" w:eastAsia="zh-CN"/>
        </w:rPr>
        <w:t>2</w:t>
      </w:r>
      <w:r>
        <w:rPr>
          <w:rFonts w:hint="eastAsia" w:ascii="仿宋_GB2312" w:hAnsi="黑体" w:cs="宋体"/>
          <w:b/>
          <w:bCs/>
          <w:color w:val="auto"/>
          <w:kern w:val="0"/>
          <w:sz w:val="32"/>
          <w:szCs w:val="32"/>
          <w:lang w:val="en-US" w:eastAsia="zh-CN"/>
        </w:rPr>
        <w:t>6</w:t>
      </w:r>
      <w:r>
        <w:rPr>
          <w:rFonts w:hint="eastAsia" w:ascii="仿宋_GB2312" w:hAnsi="黑体" w:eastAsia="仿宋_GB2312" w:cs="宋体"/>
          <w:b/>
          <w:bCs/>
          <w:color w:val="auto"/>
          <w:kern w:val="0"/>
          <w:sz w:val="32"/>
          <w:szCs w:val="32"/>
        </w:rPr>
        <w:t>年</w:t>
      </w:r>
      <w:r>
        <w:rPr>
          <w:rFonts w:hint="eastAsia" w:ascii="仿宋_GB2312" w:hAnsi="黑体" w:cs="宋体"/>
          <w:b/>
          <w:bCs/>
          <w:color w:val="auto"/>
          <w:kern w:val="0"/>
          <w:sz w:val="32"/>
          <w:szCs w:val="32"/>
          <w:lang w:val="en-US" w:eastAsia="zh-CN"/>
        </w:rPr>
        <w:t>4</w:t>
      </w:r>
      <w:r>
        <w:rPr>
          <w:rFonts w:hint="eastAsia" w:ascii="仿宋_GB2312" w:hAnsi="黑体" w:eastAsia="仿宋_GB2312" w:cs="宋体"/>
          <w:b/>
          <w:bCs/>
          <w:color w:val="auto"/>
          <w:kern w:val="0"/>
          <w:sz w:val="32"/>
          <w:szCs w:val="32"/>
        </w:rPr>
        <w:t>月</w:t>
      </w:r>
      <w:r>
        <w:rPr>
          <w:rFonts w:hint="eastAsia" w:ascii="仿宋_GB2312" w:hAnsi="黑体" w:eastAsia="仿宋_GB2312" w:cs="宋体"/>
          <w:b/>
          <w:bCs/>
          <w:color w:val="auto"/>
          <w:kern w:val="0"/>
          <w:sz w:val="32"/>
          <w:szCs w:val="32"/>
          <w:lang w:eastAsia="zh-CN"/>
        </w:rPr>
        <w:t>至</w:t>
      </w:r>
      <w:r>
        <w:rPr>
          <w:rFonts w:hint="eastAsia" w:ascii="仿宋_GB2312" w:hAnsi="黑体" w:cs="宋体"/>
          <w:b/>
          <w:bCs/>
          <w:color w:val="auto"/>
          <w:kern w:val="0"/>
          <w:sz w:val="32"/>
          <w:szCs w:val="32"/>
          <w:lang w:val="en-US" w:eastAsia="zh-CN"/>
        </w:rPr>
        <w:t>11</w:t>
      </w:r>
      <w:r>
        <w:rPr>
          <w:rFonts w:hint="eastAsia" w:ascii="仿宋_GB2312" w:hAnsi="黑体" w:eastAsia="仿宋_GB2312" w:cs="宋体"/>
          <w:b/>
          <w:bCs/>
          <w:color w:val="auto"/>
          <w:kern w:val="0"/>
          <w:sz w:val="32"/>
          <w:szCs w:val="32"/>
          <w:lang w:val="en-US" w:eastAsia="zh-CN"/>
        </w:rPr>
        <w:t>月</w:t>
      </w:r>
      <w:r>
        <w:rPr>
          <w:rFonts w:hint="eastAsia" w:ascii="仿宋_GB2312" w:hAnsi="黑体" w:eastAsia="仿宋_GB2312" w:cs="宋体"/>
          <w:color w:val="auto"/>
          <w:kern w:val="0"/>
          <w:sz w:val="32"/>
          <w:szCs w:val="32"/>
        </w:rPr>
        <w:t>，由</w:t>
      </w:r>
      <w:r>
        <w:rPr>
          <w:rFonts w:hint="eastAsia" w:ascii="仿宋_GB2312" w:hAnsi="楷体_GB2312" w:cs="楷体_GB2312"/>
          <w:color w:val="auto"/>
        </w:rPr>
        <w:t>安全生产综合监管</w:t>
      </w:r>
      <w:r>
        <w:rPr>
          <w:rFonts w:hint="eastAsia" w:ascii="仿宋_GB2312" w:hAnsi="楷体_GB2312" w:cs="楷体_GB2312"/>
          <w:color w:val="auto"/>
          <w:lang w:eastAsia="zh-CN"/>
        </w:rPr>
        <w:t>执法</w:t>
      </w:r>
      <w:r>
        <w:rPr>
          <w:rFonts w:hint="eastAsia" w:ascii="仿宋_GB2312" w:hAnsi="楷体_GB2312" w:cs="楷体_GB2312"/>
          <w:color w:val="auto"/>
        </w:rPr>
        <w:t>科</w:t>
      </w:r>
      <w:r>
        <w:rPr>
          <w:rFonts w:hint="eastAsia" w:ascii="仿宋_GB2312" w:hAnsi="黑体" w:eastAsia="仿宋_GB2312" w:cs="宋体"/>
          <w:color w:val="auto"/>
          <w:kern w:val="0"/>
          <w:sz w:val="32"/>
          <w:szCs w:val="32"/>
        </w:rPr>
        <w:t>于每</w:t>
      </w:r>
      <w:r>
        <w:rPr>
          <w:rFonts w:hint="eastAsia" w:ascii="仿宋_GB2312" w:eastAsia="仿宋_GB2312"/>
          <w:color w:val="auto"/>
          <w:sz w:val="32"/>
          <w:szCs w:val="32"/>
          <w:lang w:val="en-US" w:eastAsia="zh-CN"/>
        </w:rPr>
        <w:t>月初</w:t>
      </w:r>
      <w:r>
        <w:rPr>
          <w:rFonts w:hint="eastAsia" w:ascii="仿宋_GB2312" w:hAnsi="黑体" w:eastAsia="仿宋_GB2312" w:cs="宋体"/>
          <w:color w:val="auto"/>
          <w:kern w:val="0"/>
          <w:sz w:val="32"/>
          <w:szCs w:val="32"/>
        </w:rPr>
        <w:t>通过市执法信息系统</w:t>
      </w:r>
      <w:r>
        <w:rPr>
          <w:rFonts w:hint="eastAsia" w:ascii="仿宋_GB2312" w:hAnsi="新宋体" w:eastAsia="仿宋_GB2312" w:cs="Times New Roman"/>
          <w:color w:val="auto"/>
          <w:sz w:val="32"/>
          <w:szCs w:val="32"/>
          <w:lang w:val="en-US" w:eastAsia="zh-CN" w:bidi="ar-SA"/>
        </w:rPr>
        <w:t>“计划管理——随机计划”功能模块</w:t>
      </w:r>
      <w:r>
        <w:rPr>
          <w:rFonts w:hint="eastAsia" w:ascii="仿宋_GB2312" w:hAnsi="黑体" w:eastAsia="仿宋_GB2312" w:cs="宋体"/>
          <w:color w:val="auto"/>
          <w:kern w:val="0"/>
          <w:sz w:val="32"/>
          <w:szCs w:val="32"/>
        </w:rPr>
        <w:t>，</w:t>
      </w:r>
      <w:r>
        <w:rPr>
          <w:rFonts w:hint="eastAsia" w:ascii="仿宋_GB2312" w:eastAsia="仿宋_GB2312"/>
          <w:color w:val="auto"/>
          <w:sz w:val="32"/>
          <w:szCs w:val="32"/>
        </w:rPr>
        <w:t>在</w:t>
      </w:r>
      <w:r>
        <w:rPr>
          <w:rFonts w:hint="eastAsia" w:ascii="仿宋_GB2312" w:eastAsia="仿宋_GB2312"/>
          <w:b w:val="0"/>
          <w:bCs w:val="0"/>
          <w:color w:val="auto"/>
          <w:sz w:val="32"/>
          <w:szCs w:val="32"/>
          <w:lang w:eastAsia="zh-CN"/>
        </w:rPr>
        <w:t>企业库</w:t>
      </w:r>
      <w:r>
        <w:rPr>
          <w:rFonts w:hint="eastAsia" w:ascii="仿宋_GB2312" w:eastAsia="仿宋_GB2312"/>
          <w:color w:val="auto"/>
          <w:sz w:val="32"/>
          <w:szCs w:val="32"/>
        </w:rPr>
        <w:t>中随机抽取检查对象</w:t>
      </w:r>
      <w:r>
        <w:rPr>
          <w:rFonts w:hint="eastAsia" w:ascii="仿宋_GB2312" w:eastAsia="仿宋_GB2312"/>
          <w:color w:val="auto"/>
          <w:sz w:val="32"/>
          <w:szCs w:val="32"/>
          <w:lang w:eastAsia="zh-CN"/>
        </w:rPr>
        <w:t>，在</w:t>
      </w:r>
      <w:r>
        <w:rPr>
          <w:rFonts w:hint="eastAsia" w:ascii="仿宋_GB2312" w:eastAsia="仿宋_GB2312"/>
          <w:color w:val="auto"/>
          <w:sz w:val="32"/>
          <w:szCs w:val="32"/>
        </w:rPr>
        <w:t>全局执法人员名录库（不包含</w:t>
      </w:r>
      <w:r>
        <w:rPr>
          <w:rFonts w:hint="eastAsia" w:ascii="仿宋_GB2312" w:hAnsi="楷体" w:eastAsia="仿宋_GB2312"/>
          <w:color w:val="auto"/>
          <w:sz w:val="32"/>
          <w:szCs w:val="32"/>
        </w:rPr>
        <w:t>法规和宣传</w:t>
      </w:r>
      <w:r>
        <w:rPr>
          <w:rFonts w:hint="eastAsia" w:ascii="仿宋_GB2312" w:hAnsi="楷体"/>
          <w:color w:val="auto"/>
          <w:sz w:val="32"/>
          <w:szCs w:val="32"/>
          <w:lang w:eastAsia="zh-CN"/>
        </w:rPr>
        <w:t>科</w:t>
      </w:r>
      <w:r>
        <w:rPr>
          <w:rFonts w:hint="eastAsia" w:ascii="仿宋_GB2312" w:eastAsia="仿宋_GB2312"/>
          <w:color w:val="auto"/>
          <w:sz w:val="32"/>
          <w:szCs w:val="32"/>
        </w:rPr>
        <w:t>承担行政执法案件法制审核任务的执法人员）中随机抽取</w:t>
      </w:r>
      <w:r>
        <w:rPr>
          <w:rFonts w:hint="eastAsia" w:ascii="仿宋_GB2312" w:eastAsia="仿宋_GB2312"/>
          <w:color w:val="auto"/>
          <w:sz w:val="32"/>
          <w:szCs w:val="32"/>
          <w:lang w:val="en-US" w:eastAsia="zh-CN"/>
        </w:rPr>
        <w:t>执法人员（每个检查对象至少对应抽取2名执法人员）</w:t>
      </w:r>
      <w:r>
        <w:rPr>
          <w:rFonts w:hint="eastAsia" w:ascii="仿宋_GB2312" w:eastAsia="仿宋_GB2312"/>
          <w:color w:val="auto"/>
          <w:sz w:val="32"/>
          <w:szCs w:val="32"/>
        </w:rPr>
        <w:t>，并统一发布该月度“双随机抽查”任务，选定的执法人员</w:t>
      </w:r>
      <w:r>
        <w:rPr>
          <w:rFonts w:hint="eastAsia" w:ascii="仿宋_GB2312" w:eastAsia="仿宋_GB2312"/>
          <w:color w:val="auto"/>
          <w:sz w:val="32"/>
          <w:szCs w:val="32"/>
          <w:lang w:eastAsia="zh-CN"/>
        </w:rPr>
        <w:t>原则上应于</w:t>
      </w:r>
      <w:r>
        <w:rPr>
          <w:rFonts w:hint="eastAsia" w:ascii="仿宋_GB2312" w:eastAsia="仿宋_GB2312"/>
          <w:b w:val="0"/>
          <w:bCs w:val="0"/>
          <w:i w:val="0"/>
          <w:iCs w:val="0"/>
          <w:color w:val="auto"/>
          <w:sz w:val="32"/>
          <w:szCs w:val="32"/>
        </w:rPr>
        <w:t>当月内完成</w:t>
      </w:r>
      <w:r>
        <w:rPr>
          <w:rFonts w:hint="eastAsia" w:ascii="仿宋_GB2312" w:eastAsia="仿宋_GB2312"/>
          <w:color w:val="auto"/>
          <w:sz w:val="32"/>
          <w:szCs w:val="32"/>
        </w:rPr>
        <w:t>相关</w:t>
      </w:r>
      <w:r>
        <w:rPr>
          <w:rFonts w:hint="eastAsia" w:ascii="仿宋_GB2312" w:eastAsia="仿宋_GB2312"/>
          <w:color w:val="auto"/>
          <w:sz w:val="32"/>
          <w:szCs w:val="32"/>
          <w:lang w:eastAsia="zh-CN"/>
        </w:rPr>
        <w:t>双随机</w:t>
      </w:r>
      <w:r>
        <w:rPr>
          <w:rFonts w:hint="eastAsia" w:ascii="仿宋_GB2312" w:eastAsia="仿宋_GB2312"/>
          <w:color w:val="auto"/>
          <w:sz w:val="32"/>
          <w:szCs w:val="32"/>
        </w:rPr>
        <w:t>执法任务</w:t>
      </w:r>
      <w:r>
        <w:rPr>
          <w:rFonts w:hint="eastAsia" w:ascii="仿宋_GB2312" w:eastAsia="仿宋_GB2312"/>
          <w:color w:val="auto"/>
          <w:sz w:val="32"/>
          <w:szCs w:val="32"/>
          <w:lang w:eastAsia="zh-CN"/>
        </w:rPr>
        <w:t>，确有困难无法于当月内完成任务的应提前向</w:t>
      </w:r>
      <w:r>
        <w:rPr>
          <w:rFonts w:hint="eastAsia" w:ascii="仿宋_GB2312" w:hAnsi="楷体_GB2312" w:cs="楷体_GB2312"/>
          <w:color w:val="auto"/>
        </w:rPr>
        <w:t>安全生产综合监管</w:t>
      </w:r>
      <w:r>
        <w:rPr>
          <w:rFonts w:hint="eastAsia" w:ascii="仿宋_GB2312" w:hAnsi="楷体_GB2312" w:cs="楷体_GB2312"/>
          <w:color w:val="auto"/>
          <w:lang w:eastAsia="zh-CN"/>
        </w:rPr>
        <w:t>执法</w:t>
      </w:r>
      <w:r>
        <w:rPr>
          <w:rFonts w:hint="eastAsia" w:ascii="仿宋_GB2312" w:hAnsi="楷体_GB2312" w:cs="楷体_GB2312"/>
          <w:color w:val="auto"/>
        </w:rPr>
        <w:t>科</w:t>
      </w:r>
      <w:r>
        <w:rPr>
          <w:rFonts w:hint="eastAsia" w:ascii="仿宋_GB2312" w:eastAsia="仿宋_GB2312"/>
          <w:color w:val="auto"/>
          <w:sz w:val="32"/>
          <w:szCs w:val="32"/>
          <w:lang w:eastAsia="zh-CN"/>
        </w:rPr>
        <w:t>说明理由</w:t>
      </w:r>
      <w:r>
        <w:rPr>
          <w:rFonts w:hint="eastAsia" w:ascii="仿宋_GB2312" w:hAnsi="黑体" w:eastAsia="仿宋_GB2312" w:cs="宋体"/>
          <w:color w:val="auto"/>
          <w:kern w:val="0"/>
          <w:sz w:val="32"/>
          <w:szCs w:val="32"/>
        </w:rPr>
        <w:t>。</w:t>
      </w:r>
    </w:p>
    <w:p>
      <w:pPr>
        <w:keepNext w:val="0"/>
        <w:keepLines w:val="0"/>
        <w:pageBreakBefore w:val="0"/>
        <w:widowControl/>
        <w:shd w:val="clear" w:color="auto" w:fill="FFFFFF"/>
        <w:snapToGrid w:val="0"/>
        <w:spacing w:line="560" w:lineRule="exact"/>
        <w:ind w:left="0" w:leftChars="0" w:firstLine="640" w:firstLineChars="200"/>
        <w:jc w:val="left"/>
        <w:rPr>
          <w:rFonts w:hint="eastAsia" w:ascii="仿宋_GB2312" w:eastAsia="仿宋_GB2312"/>
          <w:color w:val="auto"/>
          <w:sz w:val="32"/>
          <w:szCs w:val="32"/>
          <w:lang w:val="en-US" w:eastAsia="zh-CN"/>
        </w:rPr>
      </w:pPr>
      <w:r>
        <w:rPr>
          <w:rFonts w:hint="eastAsia" w:ascii="仿宋_GB2312" w:eastAsia="仿宋_GB2312"/>
          <w:color w:val="auto"/>
          <w:sz w:val="32"/>
          <w:szCs w:val="32"/>
          <w:lang w:eastAsia="zh-CN"/>
        </w:rPr>
        <w:t>“跨部门”</w:t>
      </w:r>
      <w:r>
        <w:rPr>
          <w:rFonts w:hint="eastAsia" w:ascii="仿宋_GB2312" w:eastAsia="仿宋_GB2312"/>
          <w:color w:val="auto"/>
          <w:sz w:val="32"/>
          <w:szCs w:val="32"/>
          <w:lang w:val="en-US" w:eastAsia="zh-CN"/>
        </w:rPr>
        <w:t>联合检查任务根据</w:t>
      </w:r>
      <w:r>
        <w:rPr>
          <w:rFonts w:hint="eastAsia" w:ascii="仿宋_GB2312" w:eastAsia="仿宋_GB2312"/>
          <w:color w:val="auto"/>
          <w:sz w:val="32"/>
          <w:szCs w:val="32"/>
          <w:lang w:val="zh-CN" w:eastAsia="zh-CN"/>
        </w:rPr>
        <w:t>市“双随机、一公开”监管平台的抽查任务响应情况及其他监管部门来函联合检查情况，结合工作实际开展。原则上，</w:t>
      </w:r>
      <w:r>
        <w:rPr>
          <w:rFonts w:hint="eastAsia" w:ascii="仿宋_GB2312" w:eastAsia="仿宋_GB2312"/>
          <w:color w:val="auto"/>
          <w:sz w:val="32"/>
          <w:szCs w:val="32"/>
          <w:lang w:eastAsia="zh-CN"/>
        </w:rPr>
        <w:t>联合任务数占比不低于当年度“双随机抽查”总任务数的</w:t>
      </w:r>
      <w:r>
        <w:rPr>
          <w:rFonts w:hint="eastAsia" w:ascii="仿宋_GB2312"/>
          <w:color w:val="auto"/>
          <w:sz w:val="32"/>
          <w:szCs w:val="32"/>
          <w:lang w:val="en-US" w:eastAsia="zh-CN"/>
        </w:rPr>
        <w:t>20</w:t>
      </w:r>
      <w:r>
        <w:rPr>
          <w:rFonts w:hint="eastAsia" w:ascii="仿宋_GB2312" w:eastAsia="仿宋_GB2312"/>
          <w:color w:val="auto"/>
          <w:sz w:val="32"/>
          <w:szCs w:val="32"/>
          <w:lang w:val="en-US" w:eastAsia="zh-CN"/>
        </w:rPr>
        <w:t>%</w:t>
      </w:r>
      <w:r>
        <w:rPr>
          <w:rFonts w:hint="eastAsia" w:ascii="仿宋_GB2312" w:eastAsia="仿宋_GB2312"/>
          <w:color w:val="auto"/>
          <w:sz w:val="32"/>
          <w:szCs w:val="32"/>
          <w:lang w:eastAsia="zh-CN"/>
        </w:rPr>
        <w:t>。</w:t>
      </w:r>
    </w:p>
    <w:p>
      <w:pPr>
        <w:numPr>
          <w:ilvl w:val="0"/>
          <w:numId w:val="1"/>
        </w:numPr>
        <w:spacing w:line="560" w:lineRule="exact"/>
        <w:jc w:val="left"/>
        <w:rPr>
          <w:rFonts w:ascii="黑体" w:hAnsi="黑体" w:eastAsia="黑体" w:cs="黑体"/>
          <w:color w:val="auto"/>
          <w:sz w:val="32"/>
          <w:szCs w:val="32"/>
        </w:rPr>
      </w:pPr>
      <w:r>
        <w:rPr>
          <w:rFonts w:hint="eastAsia" w:ascii="黑体" w:hAnsi="黑体" w:eastAsia="黑体" w:cs="黑体"/>
          <w:color w:val="auto"/>
          <w:sz w:val="32"/>
          <w:szCs w:val="32"/>
        </w:rPr>
        <w:t>工作要求</w:t>
      </w:r>
    </w:p>
    <w:p>
      <w:pPr>
        <w:widowControl/>
        <w:spacing w:line="560" w:lineRule="exact"/>
        <w:ind w:firstLine="640" w:firstLineChars="200"/>
        <w:jc w:val="left"/>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（一）严格落实行政执法公示要求。</w:t>
      </w:r>
      <w:r>
        <w:rPr>
          <w:rFonts w:hint="eastAsia" w:ascii="仿宋_GB2312" w:hAnsi="仿宋_GB2312" w:eastAsia="仿宋_GB2312" w:cs="仿宋_GB2312"/>
          <w:color w:val="auto"/>
          <w:sz w:val="32"/>
          <w:szCs w:val="32"/>
        </w:rPr>
        <w:t>各相关</w:t>
      </w:r>
      <w:r>
        <w:rPr>
          <w:rFonts w:hint="eastAsia" w:ascii="仿宋_GB2312" w:hAnsi="仿宋_GB2312" w:cs="仿宋_GB2312"/>
          <w:color w:val="auto"/>
          <w:sz w:val="32"/>
          <w:szCs w:val="32"/>
          <w:lang w:eastAsia="zh-CN"/>
        </w:rPr>
        <w:t>科室</w:t>
      </w:r>
      <w:r>
        <w:rPr>
          <w:rFonts w:hint="eastAsia" w:ascii="仿宋_GB2312" w:hAnsi="仿宋_GB2312" w:eastAsia="仿宋_GB2312" w:cs="仿宋_GB2312"/>
          <w:color w:val="auto"/>
          <w:sz w:val="32"/>
          <w:szCs w:val="32"/>
        </w:rPr>
        <w:t>和全体执法人员要严格</w:t>
      </w:r>
      <w:r>
        <w:rPr>
          <w:rFonts w:hint="eastAsia" w:ascii="仿宋_GB2312" w:hAnsi="仿宋_GB2312" w:eastAsia="仿宋_GB2312" w:cs="仿宋_GB2312"/>
          <w:color w:val="auto"/>
          <w:kern w:val="0"/>
          <w:sz w:val="32"/>
          <w:szCs w:val="32"/>
          <w:lang w:val="zh-CN"/>
        </w:rPr>
        <w:t>按照“谁执法、谁录入、谁负责”原则，及时</w:t>
      </w:r>
      <w:r>
        <w:rPr>
          <w:rFonts w:hint="eastAsia" w:ascii="仿宋_GB2312" w:hAnsi="仿宋_GB2312" w:eastAsia="仿宋_GB2312" w:cs="仿宋_GB2312"/>
          <w:color w:val="auto"/>
          <w:sz w:val="32"/>
          <w:szCs w:val="32"/>
        </w:rPr>
        <w:t>通过广东省行政执法信息公示平台数据采集系统做好执法结果填报工作</w:t>
      </w:r>
      <w:r>
        <w:rPr>
          <w:rFonts w:hint="eastAsia" w:ascii="仿宋_GB2312" w:hAnsi="仿宋_GB2312" w:eastAsia="仿宋_GB2312" w:cs="仿宋_GB2312"/>
          <w:b/>
          <w:bCs/>
          <w:color w:val="auto"/>
          <w:sz w:val="32"/>
          <w:szCs w:val="32"/>
        </w:rPr>
        <w:t>（行政处罚的执法结果信息应在决定作出之日起7个工作日内填报</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执法检查、采取强制措施等其他执法信息在20个工作日内填报）</w:t>
      </w:r>
      <w:r>
        <w:rPr>
          <w:rFonts w:hint="eastAsia" w:ascii="仿宋_GB2312" w:hAnsi="仿宋_GB2312" w:eastAsia="仿宋_GB2312" w:cs="仿宋_GB2312"/>
          <w:color w:val="auto"/>
          <w:sz w:val="32"/>
          <w:szCs w:val="32"/>
        </w:rPr>
        <w:t>。</w:t>
      </w:r>
    </w:p>
    <w:p>
      <w:pPr>
        <w:shd w:val="clear" w:color="auto" w:fill="FFFFFF"/>
        <w:snapToGrid w:val="0"/>
        <w:spacing w:line="560" w:lineRule="exact"/>
        <w:ind w:firstLine="640" w:firstLineChars="200"/>
        <w:jc w:val="left"/>
        <w:rPr>
          <w:rFonts w:ascii="仿宋_GB2312" w:hAnsi="新宋体" w:eastAsia="仿宋_GB2312"/>
          <w:color w:val="auto"/>
          <w:sz w:val="32"/>
          <w:szCs w:val="32"/>
        </w:rPr>
      </w:pPr>
      <w:r>
        <w:rPr>
          <w:rFonts w:hint="eastAsia" w:ascii="楷体_GB2312" w:hAnsi="楷体_GB2312" w:eastAsia="楷体_GB2312" w:cs="楷体_GB2312"/>
          <w:color w:val="auto"/>
          <w:sz w:val="32"/>
          <w:szCs w:val="32"/>
        </w:rPr>
        <w:t>（二）严格执行行政执法全过程记录。</w:t>
      </w:r>
      <w:r>
        <w:rPr>
          <w:rFonts w:hint="eastAsia" w:ascii="仿宋_GB2312" w:hAnsi="仿宋_GB2312" w:eastAsia="仿宋_GB2312" w:cs="仿宋_GB2312"/>
          <w:color w:val="auto"/>
          <w:sz w:val="32"/>
          <w:szCs w:val="32"/>
        </w:rPr>
        <w:t>各相关</w:t>
      </w:r>
      <w:r>
        <w:rPr>
          <w:rFonts w:hint="eastAsia" w:ascii="仿宋_GB2312" w:hAnsi="仿宋_GB2312" w:cs="仿宋_GB2312"/>
          <w:color w:val="auto"/>
          <w:sz w:val="32"/>
          <w:szCs w:val="32"/>
          <w:lang w:eastAsia="zh-CN"/>
        </w:rPr>
        <w:t>科室</w:t>
      </w:r>
      <w:r>
        <w:rPr>
          <w:rFonts w:hint="eastAsia" w:ascii="仿宋_GB2312" w:hAnsi="仿宋_GB2312" w:eastAsia="仿宋_GB2312" w:cs="仿宋_GB2312"/>
          <w:color w:val="auto"/>
          <w:sz w:val="32"/>
          <w:szCs w:val="32"/>
        </w:rPr>
        <w:t>和全体执法人员</w:t>
      </w:r>
      <w:r>
        <w:rPr>
          <w:rFonts w:hint="eastAsia" w:ascii="仿宋_GB2312" w:hAnsi="新宋体" w:eastAsia="仿宋_GB2312"/>
          <w:color w:val="auto"/>
          <w:sz w:val="32"/>
          <w:szCs w:val="32"/>
        </w:rPr>
        <w:t>要严格</w:t>
      </w:r>
      <w:r>
        <w:rPr>
          <w:rFonts w:hint="eastAsia" w:ascii="仿宋_GB2312" w:hAnsi="新宋体" w:eastAsia="仿宋_GB2312"/>
          <w:color w:val="auto"/>
          <w:sz w:val="32"/>
          <w:szCs w:val="32"/>
          <w:lang w:eastAsia="zh-CN"/>
        </w:rPr>
        <w:t>履行</w:t>
      </w:r>
      <w:r>
        <w:rPr>
          <w:rFonts w:hint="eastAsia" w:ascii="仿宋_GB2312" w:hAnsi="新宋体" w:eastAsia="仿宋_GB2312"/>
          <w:color w:val="auto"/>
          <w:sz w:val="32"/>
          <w:szCs w:val="32"/>
        </w:rPr>
        <w:t>《深圳市应急管理局行政执法全过程记录管理办法》相关规定，利用现场执法记录仪、执法终端、照相机等设备，通过文字、音像等方式记录监督检查行为，实现全过程留痕和可追溯管理。</w:t>
      </w:r>
      <w:r>
        <w:rPr>
          <w:rFonts w:hint="eastAsia" w:ascii="仿宋_GB2312" w:hAnsi="新宋体" w:eastAsia="仿宋_GB2312" w:cs="Times New Roman"/>
          <w:color w:val="auto"/>
          <w:sz w:val="32"/>
          <w:szCs w:val="32"/>
          <w:lang w:val="en-US" w:eastAsia="zh-CN" w:bidi="ar-SA"/>
        </w:rPr>
        <w:t>特别是要根据要求，</w:t>
      </w:r>
      <w:r>
        <w:rPr>
          <w:rFonts w:hint="eastAsia" w:ascii="仿宋_GB2312" w:hAnsi="新宋体" w:cs="Times New Roman"/>
          <w:b w:val="0"/>
          <w:bCs w:val="0"/>
          <w:color w:val="auto"/>
          <w:sz w:val="32"/>
          <w:szCs w:val="32"/>
          <w:lang w:val="en-US" w:eastAsia="zh-CN" w:bidi="ar-SA"/>
        </w:rPr>
        <w:t>对</w:t>
      </w:r>
      <w:r>
        <w:rPr>
          <w:rFonts w:hint="eastAsia" w:ascii="仿宋_GB2312" w:hAnsi="新宋体" w:eastAsia="仿宋_GB2312" w:cs="Times New Roman"/>
          <w:b w:val="0"/>
          <w:bCs w:val="0"/>
          <w:color w:val="auto"/>
          <w:sz w:val="32"/>
          <w:szCs w:val="32"/>
          <w:lang w:val="en-US" w:eastAsia="zh-CN" w:bidi="ar-SA"/>
        </w:rPr>
        <w:t>查封扣押财产、</w:t>
      </w:r>
      <w:r>
        <w:rPr>
          <w:rFonts w:hint="eastAsia" w:ascii="仿宋_GB2312" w:hAnsi="新宋体" w:cs="Times New Roman"/>
          <w:b w:val="0"/>
          <w:bCs w:val="0"/>
          <w:color w:val="auto"/>
          <w:sz w:val="32"/>
          <w:szCs w:val="32"/>
          <w:lang w:val="en-US" w:eastAsia="zh-CN" w:bidi="ar-SA"/>
        </w:rPr>
        <w:t>强制拆除、</w:t>
      </w:r>
      <w:r>
        <w:rPr>
          <w:rFonts w:hint="eastAsia" w:ascii="仿宋_GB2312" w:hAnsi="新宋体" w:eastAsia="仿宋_GB2312" w:cs="Times New Roman"/>
          <w:b w:val="0"/>
          <w:bCs w:val="0"/>
          <w:color w:val="auto"/>
          <w:sz w:val="32"/>
          <w:szCs w:val="32"/>
          <w:lang w:val="en-US" w:eastAsia="zh-CN" w:bidi="ar-SA"/>
        </w:rPr>
        <w:t>举行听证、留置送达和公告送达等</w:t>
      </w:r>
      <w:r>
        <w:rPr>
          <w:rFonts w:hint="eastAsia" w:ascii="仿宋_GB2312" w:hAnsi="新宋体" w:cs="Times New Roman"/>
          <w:b w:val="0"/>
          <w:bCs w:val="0"/>
          <w:color w:val="auto"/>
          <w:sz w:val="32"/>
          <w:szCs w:val="32"/>
          <w:lang w:val="en-US" w:eastAsia="zh-CN" w:bidi="ar-SA"/>
        </w:rPr>
        <w:t>涉及重大财产权益、</w:t>
      </w:r>
      <w:r>
        <w:rPr>
          <w:rFonts w:hint="eastAsia" w:ascii="仿宋_GB2312" w:hAnsi="新宋体" w:eastAsia="仿宋_GB2312" w:cs="Times New Roman"/>
          <w:b w:val="0"/>
          <w:bCs w:val="0"/>
          <w:color w:val="auto"/>
          <w:sz w:val="32"/>
          <w:szCs w:val="32"/>
          <w:lang w:val="en-US" w:eastAsia="zh-CN" w:bidi="ar-SA"/>
        </w:rPr>
        <w:t>容易引发争议的</w:t>
      </w:r>
      <w:r>
        <w:rPr>
          <w:rFonts w:hint="eastAsia" w:ascii="仿宋_GB2312" w:hAnsi="新宋体" w:cs="Times New Roman"/>
          <w:b w:val="0"/>
          <w:bCs w:val="0"/>
          <w:color w:val="auto"/>
          <w:sz w:val="32"/>
          <w:szCs w:val="32"/>
          <w:lang w:val="en-US" w:eastAsia="zh-CN" w:bidi="ar-SA"/>
        </w:rPr>
        <w:t>现场</w:t>
      </w:r>
      <w:r>
        <w:rPr>
          <w:rFonts w:hint="eastAsia" w:ascii="仿宋_GB2312" w:hAnsi="新宋体" w:eastAsia="仿宋_GB2312" w:cs="Times New Roman"/>
          <w:b w:val="0"/>
          <w:bCs w:val="0"/>
          <w:color w:val="auto"/>
          <w:sz w:val="32"/>
          <w:szCs w:val="32"/>
          <w:lang w:val="en-US" w:eastAsia="zh-CN" w:bidi="ar-SA"/>
        </w:rPr>
        <w:t>执法</w:t>
      </w:r>
      <w:r>
        <w:rPr>
          <w:rFonts w:hint="eastAsia" w:ascii="仿宋_GB2312" w:hAnsi="新宋体" w:cs="Times New Roman"/>
          <w:b w:val="0"/>
          <w:bCs w:val="0"/>
          <w:color w:val="auto"/>
          <w:sz w:val="32"/>
          <w:szCs w:val="32"/>
          <w:lang w:val="en-US" w:eastAsia="zh-CN" w:bidi="ar-SA"/>
        </w:rPr>
        <w:t>活动和执法办案场所</w:t>
      </w:r>
      <w:r>
        <w:rPr>
          <w:rFonts w:hint="eastAsia" w:ascii="仿宋_GB2312" w:hAnsi="新宋体" w:eastAsia="仿宋_GB2312" w:cs="Times New Roman"/>
          <w:b w:val="0"/>
          <w:bCs w:val="0"/>
          <w:color w:val="auto"/>
          <w:sz w:val="32"/>
          <w:szCs w:val="32"/>
          <w:lang w:val="en-US" w:eastAsia="zh-CN" w:bidi="ar-SA"/>
        </w:rPr>
        <w:t>，应进行</w:t>
      </w:r>
      <w:r>
        <w:rPr>
          <w:rFonts w:hint="eastAsia" w:ascii="仿宋_GB2312" w:hAnsi="新宋体" w:cs="Times New Roman"/>
          <w:b w:val="0"/>
          <w:bCs w:val="0"/>
          <w:color w:val="auto"/>
          <w:sz w:val="32"/>
          <w:szCs w:val="32"/>
          <w:lang w:val="en-US" w:eastAsia="zh-CN" w:bidi="ar-SA"/>
        </w:rPr>
        <w:t>全过程无间断</w:t>
      </w:r>
      <w:r>
        <w:rPr>
          <w:rFonts w:hint="eastAsia" w:ascii="仿宋_GB2312" w:hAnsi="新宋体" w:eastAsia="仿宋_GB2312" w:cs="Times New Roman"/>
          <w:b w:val="0"/>
          <w:bCs w:val="0"/>
          <w:color w:val="auto"/>
          <w:sz w:val="32"/>
          <w:szCs w:val="32"/>
          <w:lang w:val="en-US" w:eastAsia="zh-CN" w:bidi="ar-SA"/>
        </w:rPr>
        <w:t>音像记录</w:t>
      </w:r>
      <w:r>
        <w:rPr>
          <w:rFonts w:hint="eastAsia" w:ascii="仿宋_GB2312" w:hAnsi="新宋体" w:cs="Times New Roman"/>
          <w:b w:val="0"/>
          <w:bCs w:val="0"/>
          <w:color w:val="auto"/>
          <w:sz w:val="32"/>
          <w:szCs w:val="32"/>
          <w:lang w:val="en-US" w:eastAsia="zh-CN" w:bidi="ar-SA"/>
        </w:rPr>
        <w:t>，</w:t>
      </w:r>
      <w:r>
        <w:rPr>
          <w:rFonts w:hint="eastAsia" w:ascii="仿宋_GB2312" w:hAnsi="新宋体" w:eastAsia="仿宋_GB2312"/>
          <w:color w:val="auto"/>
          <w:sz w:val="32"/>
          <w:szCs w:val="32"/>
        </w:rPr>
        <w:t>并</w:t>
      </w:r>
      <w:r>
        <w:rPr>
          <w:rFonts w:hint="eastAsia" w:ascii="仿宋_GB2312" w:hAnsi="新宋体" w:eastAsia="仿宋_GB2312"/>
          <w:color w:val="auto"/>
          <w:sz w:val="32"/>
          <w:szCs w:val="32"/>
          <w:lang w:eastAsia="zh-CN"/>
        </w:rPr>
        <w:t>由执法人员协商</w:t>
      </w:r>
      <w:r>
        <w:rPr>
          <w:rFonts w:hint="eastAsia" w:ascii="仿宋_GB2312" w:hAnsi="新宋体" w:eastAsia="仿宋_GB2312"/>
          <w:color w:val="auto"/>
          <w:sz w:val="32"/>
          <w:szCs w:val="32"/>
        </w:rPr>
        <w:t>明确专人对全过程记录的音像资料</w:t>
      </w:r>
      <w:r>
        <w:rPr>
          <w:rFonts w:hint="eastAsia" w:ascii="仿宋_GB2312" w:hAnsi="新宋体" w:eastAsia="仿宋_GB2312"/>
          <w:color w:val="auto"/>
          <w:sz w:val="32"/>
          <w:szCs w:val="32"/>
          <w:lang w:eastAsia="zh-CN"/>
        </w:rPr>
        <w:t>及检查文书资料</w:t>
      </w:r>
      <w:r>
        <w:rPr>
          <w:rFonts w:hint="eastAsia" w:ascii="仿宋_GB2312" w:hAnsi="新宋体" w:eastAsia="仿宋_GB2312"/>
          <w:color w:val="auto"/>
          <w:sz w:val="32"/>
          <w:szCs w:val="32"/>
        </w:rPr>
        <w:t>进行归档与保存。</w:t>
      </w:r>
    </w:p>
    <w:p>
      <w:pPr>
        <w:shd w:val="clear" w:color="auto" w:fill="FFFFFF"/>
        <w:snapToGrid w:val="0"/>
        <w:spacing w:line="560" w:lineRule="exact"/>
        <w:ind w:firstLine="640" w:firstLineChars="200"/>
        <w:jc w:val="left"/>
        <w:rPr>
          <w:rFonts w:hint="eastAsia" w:ascii="黑体" w:hAnsi="黑体" w:eastAsia="黑体" w:cs="黑体"/>
          <w:color w:val="auto"/>
          <w:kern w:val="0"/>
          <w:sz w:val="32"/>
          <w:szCs w:val="32"/>
          <w:lang w:val="en-US" w:eastAsia="zh-CN" w:bidi="ar-SA"/>
        </w:rPr>
      </w:pPr>
      <w:r>
        <w:rPr>
          <w:rFonts w:hint="eastAsia" w:ascii="楷体_GB2312" w:hAnsi="楷体_GB2312" w:eastAsia="楷体_GB2312" w:cs="楷体_GB2312"/>
          <w:color w:val="auto"/>
          <w:sz w:val="32"/>
          <w:szCs w:val="32"/>
        </w:rPr>
        <w:t>（三）规范开展监督检查和执法办案。</w:t>
      </w:r>
      <w:r>
        <w:rPr>
          <w:rFonts w:hint="eastAsia" w:ascii="仿宋_GB2312" w:hAnsi="仿宋_GB2312" w:eastAsia="仿宋_GB2312" w:cs="仿宋_GB2312"/>
          <w:color w:val="auto"/>
          <w:sz w:val="32"/>
          <w:szCs w:val="32"/>
        </w:rPr>
        <w:t>各相关</w:t>
      </w:r>
      <w:r>
        <w:rPr>
          <w:rFonts w:hint="eastAsia" w:ascii="仿宋_GB2312" w:hAnsi="仿宋_GB2312" w:cs="仿宋_GB2312"/>
          <w:color w:val="auto"/>
          <w:sz w:val="32"/>
          <w:szCs w:val="32"/>
          <w:lang w:eastAsia="zh-CN"/>
        </w:rPr>
        <w:t>科室</w:t>
      </w:r>
      <w:r>
        <w:rPr>
          <w:rFonts w:hint="eastAsia" w:ascii="仿宋_GB2312" w:hAnsi="仿宋_GB2312" w:eastAsia="仿宋_GB2312" w:cs="仿宋_GB2312"/>
          <w:color w:val="auto"/>
          <w:sz w:val="32"/>
          <w:szCs w:val="32"/>
        </w:rPr>
        <w:t>和全体执法人员</w:t>
      </w:r>
      <w:r>
        <w:rPr>
          <w:rFonts w:hint="eastAsia" w:ascii="仿宋_GB2312" w:hAnsi="新宋体" w:eastAsia="仿宋_GB2312"/>
          <w:color w:val="auto"/>
          <w:sz w:val="32"/>
          <w:szCs w:val="32"/>
        </w:rPr>
        <w:t>要严格依据法律法规和上级有关规定开展执法活动，按照《安全生产执法手册》</w:t>
      </w:r>
      <w:r>
        <w:rPr>
          <w:rFonts w:hint="eastAsia" w:ascii="仿宋_GB2312" w:hAnsi="新宋体"/>
          <w:color w:val="auto"/>
          <w:sz w:val="32"/>
          <w:szCs w:val="32"/>
          <w:lang w:eastAsia="zh-CN"/>
        </w:rPr>
        <w:t>（</w:t>
      </w:r>
      <w:r>
        <w:rPr>
          <w:rFonts w:hint="eastAsia" w:ascii="仿宋_GB2312" w:hAnsi="新宋体"/>
          <w:color w:val="auto"/>
          <w:sz w:val="32"/>
          <w:szCs w:val="32"/>
          <w:lang w:val="en-US" w:eastAsia="zh-CN"/>
        </w:rPr>
        <w:t>2025年版</w:t>
      </w:r>
      <w:r>
        <w:rPr>
          <w:rFonts w:hint="eastAsia" w:ascii="仿宋_GB2312" w:hAnsi="新宋体"/>
          <w:color w:val="auto"/>
          <w:sz w:val="32"/>
          <w:szCs w:val="32"/>
          <w:lang w:eastAsia="zh-CN"/>
        </w:rPr>
        <w:t>）</w:t>
      </w:r>
      <w:r>
        <w:rPr>
          <w:rFonts w:hint="eastAsia" w:ascii="仿宋_GB2312" w:hAnsi="新宋体" w:eastAsia="仿宋_GB2312"/>
          <w:color w:val="auto"/>
          <w:sz w:val="32"/>
          <w:szCs w:val="32"/>
          <w:lang w:eastAsia="zh-CN"/>
        </w:rPr>
        <w:t>等</w:t>
      </w:r>
      <w:r>
        <w:rPr>
          <w:rFonts w:hint="eastAsia" w:ascii="仿宋_GB2312" w:hAnsi="新宋体" w:eastAsia="仿宋_GB2312"/>
          <w:color w:val="auto"/>
          <w:sz w:val="32"/>
          <w:szCs w:val="32"/>
        </w:rPr>
        <w:t>有关要求，使用</w:t>
      </w:r>
      <w:r>
        <w:rPr>
          <w:rFonts w:hint="eastAsia" w:ascii="仿宋_GB2312" w:hAnsi="新宋体" w:eastAsia="仿宋_GB2312"/>
          <w:color w:val="auto"/>
          <w:sz w:val="32"/>
          <w:szCs w:val="32"/>
          <w:lang w:eastAsia="zh-CN"/>
        </w:rPr>
        <w:t>市</w:t>
      </w:r>
      <w:r>
        <w:rPr>
          <w:rFonts w:hint="eastAsia" w:ascii="仿宋_GB2312" w:hAnsi="新宋体" w:eastAsia="仿宋_GB2312"/>
          <w:color w:val="auto"/>
          <w:sz w:val="32"/>
          <w:szCs w:val="32"/>
        </w:rPr>
        <w:t>执法信息系统开展监督检查和案件办理，全面规范</w:t>
      </w:r>
      <w:r>
        <w:rPr>
          <w:rFonts w:hint="eastAsia" w:ascii="仿宋_GB2312" w:hAnsi="仿宋_GB2312" w:eastAsia="仿宋_GB2312" w:cs="仿宋_GB2312"/>
          <w:color w:val="auto"/>
          <w:sz w:val="32"/>
          <w:szCs w:val="32"/>
        </w:rPr>
        <w:t>“双随机、一公开”</w:t>
      </w:r>
      <w:r>
        <w:rPr>
          <w:rFonts w:hint="eastAsia" w:ascii="仿宋_GB2312" w:hAnsi="新宋体" w:eastAsia="仿宋_GB2312"/>
          <w:color w:val="auto"/>
          <w:sz w:val="32"/>
          <w:szCs w:val="32"/>
        </w:rPr>
        <w:t>行政执法程序，提高执法工作水平，有效防范执法办案的法律风险。</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00"/>
    <w:family w:val="auto"/>
    <w:pitch w:val="default"/>
    <w:sig w:usb0="00000000" w:usb1="00000000" w:usb2="00000000" w:usb3="00000000" w:csb0="00000000" w:csb1="00000000"/>
  </w:font>
  <w:font w:name="新宋体">
    <w:altName w:val="方正书宋_GBK"/>
    <w:panose1 w:val="02010609030101010101"/>
    <w:charset w:val="00"/>
    <w:family w:val="auto"/>
    <w:pitch w:val="default"/>
    <w:sig w:usb0="00000000" w:usb1="00000000" w:usb2="00000000" w:usb3="00000000" w:csb0="00000000" w:csb1="00000000"/>
  </w:font>
  <w:font w:name="楷体">
    <w:altName w:val="方正楷体_GBK"/>
    <w:panose1 w:val="02010609060101010101"/>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9EF527"/>
    <w:multiLevelType w:val="multilevel"/>
    <w:tmpl w:val="7F9EF527"/>
    <w:lvl w:ilvl="0" w:tentative="0">
      <w:start w:val="3"/>
      <w:numFmt w:val="chineseCountingThousand"/>
      <w:suff w:val="nothing"/>
      <w:lvlText w:val="%1、"/>
      <w:lvlJc w:val="left"/>
      <w:pPr>
        <w:ind w:left="640" w:firstLine="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2EFE78AF"/>
    <w:rsid w:val="4A194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FFFFFF" w:fill="auto"/>
      <w:spacing w:before="0" w:beforeAutospacing="0" w:after="0" w:afterAutospacing="0" w:line="240" w:lineRule="auto"/>
      <w:ind w:left="0" w:right="0" w:firstLine="0"/>
      <w:jc w:val="both"/>
    </w:pPr>
    <w:rPr>
      <w:rFonts w:hint="default" w:ascii="Calibri" w:hAnsi="Calibri" w:eastAsia="仿宋_GB2312" w:cs="宋体"/>
      <w:color w:val="auto"/>
      <w:spacing w:val="0"/>
      <w:kern w:val="2"/>
      <w:position w:val="0"/>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cs="Times New Roman"/>
      <w:szCs w:val="24"/>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yjglj</cp:lastModifiedBy>
  <dcterms:modified xsi:type="dcterms:W3CDTF">2026-02-10T15:25:18Z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