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adjustRightInd/>
        <w:spacing w:line="560" w:lineRule="exact"/>
        <w:textAlignment w:val="auto"/>
      </w:pPr>
      <w:r>
        <w:rPr>
          <w:rFonts w:ascii="方正小标宋简体" w:eastAsia="方正小标宋简体"/>
          <w:color w:val="FF0000"/>
        </w:rPr>
        <w:pict>
          <v:shape id="_x0000_s1040" o:spid="_x0000_s1040" o:spt="136" type="#_x0000_t136" style="position:absolute;left:0pt;margin-left:0.45pt;margin-top:98.2pt;height:31.95pt;width:441.3pt;mso-position-horizontal-relative:margin;mso-position-vertical-relative:page;z-index:251660288;mso-width-relative:page;mso-height-relative:page;" fillcolor="#FF0000" filled="t" stroked="t" coordsize="21600,21600" adj="10800">
            <v:path/>
            <v:fill on="t" color2="#FFFFFF" focussize="0,0"/>
            <v:stroke color="#FF0000"/>
            <v:imagedata o:title=""/>
            <o:lock v:ext="edit" aspectratio="f"/>
            <v:textpath on="t" fitshape="t" fitpath="t" trim="t" xscale="f" string="深圳市深汕特别合作区管理委员会" style="font-family:方正小标宋简体;font-size:36pt;v-text-align:center;v-text-spacing:78650f;"/>
          </v:shape>
        </w:pict>
      </w:r>
      <w:r>
        <mc:AlternateContent>
          <mc:Choice Requires="wps">
            <w:drawing>
              <wp:anchor distT="0" distB="0" distL="114300" distR="114300" simplePos="0" relativeHeight="251661312" behindDoc="0" locked="0" layoutInCell="1" allowOverlap="1">
                <wp:simplePos x="0" y="0"/>
                <wp:positionH relativeFrom="margin">
                  <wp:posOffset>-250825</wp:posOffset>
                </wp:positionH>
                <wp:positionV relativeFrom="paragraph">
                  <wp:posOffset>410210</wp:posOffset>
                </wp:positionV>
                <wp:extent cx="6120130" cy="0"/>
                <wp:effectExtent l="0" t="19050" r="13970" b="38100"/>
                <wp:wrapNone/>
                <wp:docPr id="2" name="Line 2"/>
                <wp:cNvGraphicFramePr/>
                <a:graphic xmlns:a="http://schemas.openxmlformats.org/drawingml/2006/main">
                  <a:graphicData uri="http://schemas.microsoft.com/office/word/2010/wordprocessingShape">
                    <wps:wsp>
                      <wps:cNvCnPr>
                        <a:cxnSpLocks noChangeShapeType="true"/>
                      </wps:cNvCnPr>
                      <wps:spPr bwMode="auto">
                        <a:xfrm>
                          <a:off x="0" y="0"/>
                          <a:ext cx="6120130" cy="0"/>
                        </a:xfrm>
                        <a:prstGeom prst="line">
                          <a:avLst/>
                        </a:prstGeom>
                        <a:noFill/>
                        <a:ln w="57150" cmpd="thickThin">
                          <a:solidFill>
                            <a:srgbClr val="FF0000"/>
                          </a:solidFill>
                          <a:round/>
                        </a:ln>
                      </wps:spPr>
                      <wps:bodyPr/>
                    </wps:wsp>
                  </a:graphicData>
                </a:graphic>
              </wp:anchor>
            </w:drawing>
          </mc:Choice>
          <mc:Fallback>
            <w:pict>
              <v:line id="Line 2" o:spid="_x0000_s1026" o:spt="20" style="position:absolute;left:0pt;margin-left:-19.75pt;margin-top:32.3pt;height:0pt;width:481.9pt;mso-position-horizontal-relative:margin;z-index:251661312;mso-width-relative:page;mso-height-relative:page;" filled="f" stroked="t" coordsize="21600,21600" o:gfxdata="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PEW0QHVAAAACQEAAA8AAAAAAAAAAQAgAAAAOAAA&#10;AGRycy9kb3ducmV2LnhtbFBLAQIUABQAAAAIAIdO4kDOiDmuvAEAAGYDAAAOAAAAAAAAAAEAIAAA&#10;ADoBAABkcnMvZTJvRG9jLnhtbFBLBQYAAAAABgAGAFkBAABoBQAAAAA=&#10;">
                <v:fill on="f" focussize="0,0"/>
                <v:stroke weight="4.5pt" color="#FF0000" linestyle="thickThin" joinstyle="round"/>
                <v:imagedata o:title=""/>
                <o:lock v:ext="edit" aspectratio="f"/>
              </v:line>
            </w:pict>
          </mc:Fallback>
        </mc:AlternateContent>
      </w:r>
    </w:p>
    <w:p>
      <w:pPr>
        <w:keepNext w:val="0"/>
        <w:keepLines w:val="0"/>
        <w:pageBreakBefore w:val="0"/>
        <w:kinsoku/>
        <w:wordWrap/>
        <w:overflowPunct/>
        <w:topLinePunct w:val="0"/>
        <w:bidi w:val="0"/>
        <w:adjustRightInd/>
        <w:spacing w:line="560" w:lineRule="exact"/>
        <w:ind w:right="873"/>
        <w:jc w:val="center"/>
        <w:textAlignment w:val="auto"/>
        <w:rPr>
          <w:rFonts w:ascii="方正小标宋简体" w:eastAsia="方正小标宋简体"/>
          <w:sz w:val="44"/>
          <w:szCs w:val="44"/>
        </w:rPr>
      </w:pPr>
    </w:p>
    <w:p>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kinsoku/>
        <w:wordWrap/>
        <w:overflowPunct/>
        <w:topLinePunct w:val="0"/>
        <w:autoSpaceDE w:val="0"/>
        <w:autoSpaceDN w:val="0"/>
        <w:bidi w:val="0"/>
        <w:adjustRightInd/>
        <w:snapToGrid w:val="0"/>
        <w:spacing w:before="0" w:beforeAutospacing="0" w:after="0" w:afterAutospacing="0" w:line="560" w:lineRule="exact"/>
        <w:ind w:left="0" w:right="0" w:firstLine="0"/>
        <w:jc w:val="center"/>
        <w:textAlignment w:val="auto"/>
      </w:pPr>
      <w:r>
        <w:rPr>
          <w:rFonts w:ascii="仿宋_GB2312"/>
        </w:rPr>
        <mc:AlternateContent>
          <mc:Choice Requires="wps">
            <w:drawing>
              <wp:anchor distT="0" distB="0" distL="114300" distR="114300" simplePos="0" relativeHeight="251670528" behindDoc="0" locked="0" layoutInCell="1" allowOverlap="1">
                <wp:simplePos x="0" y="0"/>
                <wp:positionH relativeFrom="margin">
                  <wp:posOffset>-243840</wp:posOffset>
                </wp:positionH>
                <wp:positionV relativeFrom="bottomMargin">
                  <wp:posOffset>558800</wp:posOffset>
                </wp:positionV>
                <wp:extent cx="6119495" cy="0"/>
                <wp:effectExtent l="0" t="28575" r="14605" b="28575"/>
                <wp:wrapNone/>
                <wp:docPr id="1" name="Line 3"/>
                <wp:cNvGraphicFramePr/>
                <a:graphic xmlns:a="http://schemas.openxmlformats.org/drawingml/2006/main">
                  <a:graphicData uri="http://schemas.microsoft.com/office/word/2010/wordprocessingShape">
                    <wps:wsp>
                      <wps:cNvCnPr>
                        <a:cxnSpLocks noChangeShapeType="true"/>
                      </wps:cNvCnPr>
                      <wps:spPr bwMode="auto">
                        <a:xfrm>
                          <a:off x="0" y="0"/>
                          <a:ext cx="6119495" cy="0"/>
                        </a:xfrm>
                        <a:prstGeom prst="line">
                          <a:avLst/>
                        </a:prstGeom>
                        <a:noFill/>
                        <a:ln w="57150" cmpd="thinThick">
                          <a:solidFill>
                            <a:srgbClr val="FF0000"/>
                          </a:solidFill>
                          <a:round/>
                        </a:ln>
                      </wps:spPr>
                      <wps:bodyPr/>
                    </wps:wsp>
                  </a:graphicData>
                </a:graphic>
              </wp:anchor>
            </w:drawing>
          </mc:Choice>
          <mc:Fallback>
            <w:pict>
              <v:line id="Line 3" o:spid="_x0000_s1026" o:spt="20" style="position:absolute;left:0pt;margin-left:60.15pt;margin-top:786.75pt;height:0pt;width:481.85pt;mso-position-horizontal-relative:page;mso-position-vertical-relative:page;z-index:251670528;mso-width-relative:page;mso-height-relative:page;" filled="f" stroked="t" coordsize="21600,21600" o:gfxdata="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CpPSbTXAAAACQEAAA8AAAAAAAAAAQAg&#10;AAAAOAAAAGRycy9kb3ducmV2LnhtbFBLAQIUABQAAAAIAIdO4kAh3IRpwAEAAGYDAAAOAAAAAAAA&#10;AAEAIAAAADwBAABkcnMvZTJvRG9jLnhtbFBLBQYAAAAABgAGAFkBAABuBQAAAAA=&#10;">
                <v:fill on="f" focussize="0,0"/>
                <v:stroke weight="4.5pt" color="#FF0000" linestyle="thinThick" joinstyle="round"/>
                <v:imagedata o:title=""/>
                <o:lock v:ext="edit" aspectratio="f"/>
              </v:line>
            </w:pict>
          </mc:Fallback>
        </mc:AlternateContent>
      </w:r>
      <w:r>
        <w:rPr>
          <w:rFonts w:ascii="方正小标宋简体" w:hAnsi="方正小标宋简体" w:eastAsia="方正小标宋简体" w:cs="方正小标宋简体"/>
          <w:color w:val="000000"/>
          <w:sz w:val="44"/>
          <w:szCs w:val="44"/>
        </w:rPr>
        <w:t>深圳市深汕特别合作区征地补偿安置方案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60" w:lineRule="exact"/>
        <w:ind w:left="0" w:firstLine="632"/>
        <w:jc w:val="both"/>
        <w:textAlignment w:val="auto"/>
      </w:pPr>
      <w:r>
        <w:rPr>
          <w:rFonts w:ascii="Arial" w:hAnsi="Arial" w:cs="Arial"/>
          <w:color w:val="000000"/>
          <w:sz w:val="32"/>
          <w:szCs w:val="32"/>
        </w:rPr>
        <w:t>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60" w:lineRule="exact"/>
        <w:ind w:left="0" w:right="0" w:firstLine="632"/>
        <w:jc w:val="both"/>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根据《中华人民共和国土地管理法》第四十七条、第四十八条，《中华人民共和国土地管理法实施条例》第二十七条、第二十八条，《广东省土地管理条例》第三十条的规定，我区管委会组织编制了深汕生态环境科技产业园基础设施及配套项目—园区“七通一平”一期路网工程征地补偿安置方案，具体如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60" w:lineRule="exact"/>
        <w:ind w:left="0" w:firstLine="632"/>
        <w:jc w:val="both"/>
        <w:textAlignment w:val="auto"/>
        <w:rPr>
          <w:sz w:val="32"/>
          <w:szCs w:val="32"/>
        </w:rPr>
      </w:pPr>
      <w:r>
        <w:rPr>
          <w:rFonts w:ascii="黑体" w:hAnsi="宋体" w:eastAsia="黑体" w:cs="黑体"/>
          <w:color w:val="000000"/>
          <w:sz w:val="32"/>
          <w:szCs w:val="32"/>
        </w:rPr>
        <w:t>一、征收范围</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60" w:lineRule="exact"/>
        <w:ind w:left="0" w:firstLine="632"/>
        <w:jc w:val="both"/>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拟征收土地位于鹅埠镇西湖经济联合社、鹅埠镇西湖村格田经济合作社、鹅埠镇西湖村楼仔经济合作社、鹅</w:t>
      </w:r>
      <w:bookmarkStart w:id="0" w:name="_GoBack"/>
      <w:bookmarkEnd w:id="0"/>
      <w:r>
        <w:rPr>
          <w:rFonts w:hint="eastAsia" w:ascii="仿宋_GB2312" w:hAnsi="仿宋_GB2312" w:eastAsia="仿宋_GB2312" w:cs="仿宋_GB2312"/>
          <w:color w:val="000000"/>
          <w:sz w:val="32"/>
          <w:szCs w:val="32"/>
        </w:rPr>
        <w:t>埠镇西湖村庭寮背经济合作社、鹅埠镇西南村大塘经济合作社、鹅埠镇西南村桑园经济合作社、鹅埠镇西南村田心经济合作社、鹅埠镇西南村杨安经济合作社、鹅埠镇西南村桑园经济合作社/西南村田心经济合作社、鹅埠镇西南村杨安经济合作社/西南村田心经济合作社，具体位置详见附图。实际征收土地范围以最终批准文件为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60" w:lineRule="exact"/>
        <w:ind w:left="0" w:firstLine="632"/>
        <w:jc w:val="both"/>
        <w:textAlignment w:val="auto"/>
        <w:rPr>
          <w:rFonts w:ascii="黑体" w:hAnsi="宋体" w:eastAsia="黑体" w:cs="黑体"/>
          <w:color w:val="000000"/>
          <w:sz w:val="32"/>
          <w:szCs w:val="32"/>
        </w:rPr>
      </w:pPr>
      <w:r>
        <w:rPr>
          <w:rFonts w:hint="default" w:ascii="黑体" w:hAnsi="宋体" w:eastAsia="黑体" w:cs="黑体"/>
          <w:color w:val="000000"/>
          <w:sz w:val="32"/>
          <w:szCs w:val="32"/>
        </w:rPr>
        <w:t>二、征收目的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60" w:lineRule="exact"/>
        <w:ind w:left="0" w:firstLine="632"/>
        <w:jc w:val="both"/>
        <w:textAlignment w:val="auto"/>
        <w:rPr>
          <w:w w:val="98"/>
        </w:rPr>
      </w:pPr>
      <w:r>
        <w:rPr>
          <w:rFonts w:hint="eastAsia" w:ascii="仿宋_GB2312" w:eastAsia="仿宋_GB2312" w:cs="仿宋_GB2312"/>
          <w:color w:val="000000"/>
          <w:w w:val="98"/>
          <w:sz w:val="32"/>
          <w:szCs w:val="32"/>
        </w:rPr>
        <w:t>根据《中华人民共和国土地管理法》第四十五条的规定，本次征收土地目的为政府组织实施的交通等基础设施建设需要用地。</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60" w:lineRule="exact"/>
        <w:ind w:left="0" w:firstLine="632"/>
        <w:jc w:val="both"/>
        <w:textAlignment w:val="auto"/>
        <w:rPr>
          <w:rFonts w:ascii="黑体" w:hAnsi="宋体" w:eastAsia="黑体" w:cs="黑体"/>
          <w:color w:val="000000"/>
          <w:sz w:val="32"/>
          <w:szCs w:val="32"/>
        </w:rPr>
      </w:pPr>
      <w:r>
        <w:rPr>
          <w:rFonts w:hint="default" w:ascii="黑体" w:hAnsi="宋体" w:eastAsia="黑体" w:cs="黑体"/>
          <w:color w:val="000000"/>
          <w:sz w:val="32"/>
          <w:szCs w:val="32"/>
        </w:rPr>
        <w:t>三、土地现状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60" w:lineRule="exact"/>
        <w:ind w:left="0" w:firstLine="632"/>
        <w:jc w:val="both"/>
        <w:textAlignment w:val="auto"/>
      </w:pPr>
      <w:r>
        <w:rPr>
          <w:sz w:val="32"/>
        </w:rPr>
        <mc:AlternateContent>
          <mc:Choice Requires="wps">
            <w:drawing>
              <wp:anchor distT="0" distB="0" distL="114300" distR="114300" simplePos="0" relativeHeight="251671552" behindDoc="0" locked="0" layoutInCell="1" allowOverlap="1">
                <wp:simplePos x="0" y="0"/>
                <wp:positionH relativeFrom="column">
                  <wp:posOffset>4742815</wp:posOffset>
                </wp:positionH>
                <wp:positionV relativeFrom="paragraph">
                  <wp:posOffset>895985</wp:posOffset>
                </wp:positionV>
                <wp:extent cx="962025" cy="228600"/>
                <wp:effectExtent l="0" t="0" r="9525" b="0"/>
                <wp:wrapNone/>
                <wp:docPr id="3" name="文本框 3"/>
                <wp:cNvGraphicFramePr/>
                <a:graphic xmlns:a="http://schemas.openxmlformats.org/drawingml/2006/main">
                  <a:graphicData uri="http://schemas.microsoft.com/office/word/2010/wordprocessingShape">
                    <wps:wsp>
                      <wps:cNvSpPr txBox="true"/>
                      <wps:spPr>
                        <a:xfrm>
                          <a:off x="5750560" y="9657715"/>
                          <a:ext cx="962025" cy="2286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373.45pt;margin-top:70.55pt;height:18pt;width:75.75pt;z-index:251671552;mso-width-relative:page;mso-height-relative:page;" fillcolor="#FFFFFF [3201]" filled="t" stroked="f" coordsize="21600,21600" o:gfxdata="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WAAAAZHJzL1BLAQIUABQAAAAIAIdO4kD+&#10;i1nZ1gAAAAsBAAAPAAAAAAAAAAEAIAAAADgAAABkcnMvZG93bnJldi54bWxQSwECFAAUAAAACACH&#10;TuJAHjWVdEkCAABeBAAADgAAAAAAAAABACAAAAA7AQAAZHJzL2Uyb0RvYy54bWxQSwUGAAAAAAYA&#10;BgBZAQAA9gUAAAAA&#10;">
                <v:fill on="t" focussize="0,0"/>
                <v:stroke on="f" weight="0.5pt"/>
                <v:imagedata o:title=""/>
                <o:lock v:ext="edit" aspectratio="f"/>
                <v:textbox>
                  <w:txbxContent>
                    <w:p/>
                  </w:txbxContent>
                </v:textbox>
              </v:shape>
            </w:pict>
          </mc:Fallback>
        </mc:AlternateContent>
      </w:r>
      <w:r>
        <w:rPr>
          <w:rFonts w:hint="eastAsia" w:ascii="仿宋_GB2312" w:eastAsia="仿宋_GB2312" w:cs="仿宋_GB2312"/>
          <w:color w:val="000000"/>
          <w:sz w:val="32"/>
          <w:szCs w:val="32"/>
        </w:rPr>
        <w:t>根据拟征收土地现状调查结果，拟征收土地现状为：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60" w:lineRule="exact"/>
        <w:ind w:left="0" w:firstLine="632"/>
        <w:jc w:val="both"/>
        <w:textAlignment w:val="auto"/>
        <w:rPr>
          <w:w w:val="98"/>
        </w:rPr>
      </w:pPr>
      <w:r>
        <w:rPr>
          <w:rFonts w:hint="eastAsia" w:ascii="仿宋_GB2312" w:eastAsia="仿宋_GB2312" w:cs="仿宋_GB2312"/>
          <w:color w:val="000000"/>
          <w:w w:val="98"/>
          <w:sz w:val="32"/>
          <w:szCs w:val="32"/>
        </w:rPr>
        <w:t>（一）拟征收鹅埠镇西湖经济联合社集体所有土地3.7877公顷（56.8155亩），其中农用地2.7997公顷（41.9955亩），含耕地0.0521公顷（0.7815亩）；建设用地0.9880公顷（14.8200亩）。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60" w:lineRule="exact"/>
        <w:ind w:left="0" w:firstLine="632"/>
        <w:jc w:val="both"/>
        <w:textAlignment w:val="auto"/>
      </w:pPr>
      <w:r>
        <w:rPr>
          <w:rFonts w:hint="eastAsia" w:ascii="仿宋_GB2312" w:eastAsia="仿宋_GB2312" w:cs="仿宋_GB2312"/>
          <w:color w:val="000000"/>
          <w:sz w:val="32"/>
          <w:szCs w:val="32"/>
        </w:rPr>
        <w:t>（二）拟征收鹅埠镇西湖村格田经济合作社集体所有土地3.1802公顷（47.7030亩），其中农用地2.4953公顷（37.4295亩），含耕地0.0017公顷（0.0255亩）；建设用地0.6849公顷（10.2735亩）。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60" w:lineRule="exact"/>
        <w:ind w:left="0" w:firstLine="632"/>
        <w:jc w:val="both"/>
        <w:textAlignment w:val="auto"/>
      </w:pPr>
      <w:r>
        <w:rPr>
          <w:rFonts w:hint="eastAsia" w:ascii="仿宋_GB2312" w:eastAsia="仿宋_GB2312" w:cs="仿宋_GB2312"/>
          <w:color w:val="000000"/>
          <w:sz w:val="32"/>
          <w:szCs w:val="32"/>
        </w:rPr>
        <w:t>（三）拟征收鹅埠镇西湖村楼仔经济合作社集体所有土地4.0769公顷（61.1535亩），其中农用地3.8147公顷（57.2205亩），含耕地1.7836公顷（26.7540亩）；建设用地0.2622公顷（3.9330亩）。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60" w:lineRule="exact"/>
        <w:ind w:left="0" w:firstLine="632"/>
        <w:jc w:val="both"/>
        <w:textAlignment w:val="auto"/>
      </w:pPr>
      <w:r>
        <w:rPr>
          <w:rFonts w:hint="eastAsia" w:ascii="仿宋_GB2312" w:eastAsia="仿宋_GB2312" w:cs="仿宋_GB2312"/>
          <w:color w:val="000000"/>
          <w:sz w:val="32"/>
          <w:szCs w:val="32"/>
        </w:rPr>
        <w:t>（四）拟征收鹅埠镇西湖村庭寮背经济合作社集体所有土地1.6107公顷（24.1605亩），其中农用地1.6025公顷（24.0375亩），含耕地0.6202公顷（9.3030亩）；建设用地0.0082公顷（0.1230亩）。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60" w:lineRule="exact"/>
        <w:ind w:left="0" w:firstLine="632"/>
        <w:jc w:val="both"/>
        <w:textAlignment w:val="auto"/>
      </w:pPr>
      <w:r>
        <w:rPr>
          <w:rFonts w:hint="eastAsia" w:ascii="仿宋_GB2312" w:eastAsia="仿宋_GB2312" w:cs="仿宋_GB2312"/>
          <w:color w:val="000000"/>
          <w:sz w:val="32"/>
          <w:szCs w:val="32"/>
        </w:rPr>
        <w:t>（五）拟征收鹅埠镇西南村大塘经济合作社集体所有土地4.8433公顷（72.6495亩），均为农用地，含耕地0.0031公顷（0.0465亩）。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60" w:lineRule="exact"/>
        <w:ind w:left="0" w:firstLine="632"/>
        <w:jc w:val="both"/>
        <w:textAlignment w:val="auto"/>
      </w:pPr>
      <w:r>
        <w:rPr>
          <w:rFonts w:hint="eastAsia" w:ascii="仿宋_GB2312" w:eastAsia="仿宋_GB2312" w:cs="仿宋_GB2312"/>
          <w:color w:val="000000"/>
          <w:sz w:val="32"/>
          <w:szCs w:val="32"/>
        </w:rPr>
        <w:t>（六）拟征收鹅埠镇西南村桑园经济合作社集体所有土地2.3722公顷（35.5830亩），其中农用地2.0647公顷（30.9705亩），含耕地0.3560公顷（5.3400亩）；建设用地0.3075公顷（4.6125亩）。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60" w:lineRule="exact"/>
        <w:ind w:left="0" w:firstLine="632"/>
        <w:jc w:val="both"/>
        <w:textAlignment w:val="auto"/>
      </w:pPr>
      <w:r>
        <w:rPr>
          <w:rFonts w:hint="eastAsia" w:ascii="仿宋_GB2312" w:eastAsia="仿宋_GB2312" w:cs="仿宋_GB2312"/>
          <w:color w:val="000000"/>
          <w:sz w:val="32"/>
          <w:szCs w:val="32"/>
        </w:rPr>
        <w:t>（七）拟征收鹅埠镇西南村田心经济合作社集体所有土地2.9368公顷（44.0520亩），其中农用地2.9349公顷（44.0235亩），含耕地0.0869公顷（1.3035亩）；未利用地0.0019公顷（0.0285亩）；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pacing w:before="0" w:beforeAutospacing="0" w:after="0" w:afterAutospacing="0" w:line="560" w:lineRule="exact"/>
        <w:ind w:left="0" w:firstLine="632"/>
        <w:jc w:val="both"/>
        <w:textAlignment w:val="auto"/>
      </w:pPr>
      <w:r>
        <w:rPr>
          <w:rFonts w:hint="eastAsia" w:ascii="仿宋_GB2312" w:eastAsia="仿宋_GB2312" w:cs="仿宋_GB2312"/>
          <w:color w:val="000000"/>
          <w:sz w:val="32"/>
          <w:szCs w:val="32"/>
        </w:rPr>
        <w:t>（八）拟征收鹅埠镇西南村杨安经济合作社集体所有土地2.8516公顷（42.7740亩），其中农用地2.6328公顷（39.4920亩），含耕地0.1730公顷（2.5950亩）；建设用地0.2188公顷（3.2820亩）；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rPr>
        <w:t>（九）拟征收鹅埠镇西南村桑园经济合作社/西南村田心经济合作社集体所有土地0.6801公顷（10.2015亩），其中农用地0.6564公顷（9.8460亩），含耕地0.3355公顷（5.0325亩）；建设用地0.0237公顷(0.3555亩）；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32"/>
        <w:jc w:val="both"/>
        <w:textAlignment w:val="auto"/>
      </w:pPr>
      <w:r>
        <w:rPr>
          <w:rFonts w:hint="eastAsia" w:ascii="仿宋_GB2312" w:eastAsia="仿宋_GB2312" w:cs="仿宋_GB2312"/>
          <w:color w:val="000000"/>
          <w:sz w:val="32"/>
          <w:szCs w:val="32"/>
        </w:rPr>
        <w:t>（十）拟征收鹅埠镇西南村杨安经济合作社/西南村田心经济合作社集体所有土地0.0002公顷（0.0030亩），均为农用地，不涉及耕地。</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32"/>
        <w:jc w:val="both"/>
        <w:textAlignment w:val="auto"/>
        <w:rPr>
          <w:rFonts w:ascii="黑体" w:hAnsi="宋体" w:eastAsia="黑体" w:cs="黑体"/>
          <w:color w:val="000000"/>
          <w:sz w:val="32"/>
          <w:szCs w:val="32"/>
        </w:rPr>
      </w:pPr>
      <w:r>
        <w:rPr>
          <w:rFonts w:hint="default" w:ascii="黑体" w:hAnsi="宋体" w:eastAsia="黑体" w:cs="黑体"/>
          <w:color w:val="000000"/>
          <w:sz w:val="32"/>
          <w:szCs w:val="32"/>
        </w:rPr>
        <w:t>四、补偿方式和标准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32"/>
        <w:jc w:val="both"/>
        <w:textAlignment w:val="auto"/>
      </w:pPr>
      <w:r>
        <w:rPr>
          <w:rFonts w:ascii="楷体_GB2312" w:eastAsia="楷体_GB2312" w:cs="楷体_GB2312"/>
          <w:color w:val="000000"/>
          <w:sz w:val="32"/>
          <w:szCs w:val="32"/>
        </w:rPr>
        <w:t>（一）土地补偿费和安置补助费标准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32"/>
        <w:jc w:val="both"/>
        <w:textAlignment w:val="auto"/>
      </w:pPr>
      <w:r>
        <w:rPr>
          <w:rFonts w:hint="eastAsia" w:ascii="仿宋_GB2312" w:eastAsia="仿宋_GB2312" w:cs="仿宋_GB2312"/>
          <w:color w:val="000000"/>
          <w:sz w:val="32"/>
          <w:szCs w:val="32"/>
        </w:rPr>
        <w:t>根据《广东省自然资源厅关于深圳市征收农用地区片综合地价成果的批复》（粤自然资函〔2024〕216号）的规定，土地补偿费标准为30.6万元/公顷，安置补助费标准为71.4万元/公顷。</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32"/>
        <w:jc w:val="both"/>
        <w:textAlignment w:val="auto"/>
        <w:rPr>
          <w:rFonts w:ascii="楷体_GB2312" w:eastAsia="楷体_GB2312" w:cs="楷体_GB2312"/>
          <w:color w:val="000000"/>
          <w:sz w:val="32"/>
          <w:szCs w:val="32"/>
        </w:rPr>
      </w:pPr>
      <w:r>
        <w:rPr>
          <w:rFonts w:hint="eastAsia" w:ascii="楷体_GB2312" w:eastAsia="楷体_GB2312" w:cs="楷体_GB2312"/>
          <w:color w:val="000000"/>
          <w:sz w:val="32"/>
          <w:szCs w:val="32"/>
        </w:rPr>
        <w:t>（二）农村村民住宅补偿</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rPr>
        <w:t>按《深圳市深汕特别合作区党政办公室关于印发深圳市深汕特别合作区房屋征收拆迁补偿安置工作方案的通知》（深汕办函〔2020〕29号）的规定执行。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32"/>
        <w:jc w:val="both"/>
        <w:textAlignment w:val="auto"/>
        <w:rPr>
          <w:sz w:val="32"/>
          <w:szCs w:val="32"/>
        </w:rPr>
      </w:pPr>
      <w:r>
        <w:rPr>
          <w:rFonts w:hint="eastAsia" w:ascii="楷体_GB2312" w:eastAsia="楷体_GB2312" w:cs="楷体_GB2312"/>
          <w:color w:val="000000"/>
          <w:sz w:val="32"/>
          <w:szCs w:val="32"/>
        </w:rPr>
        <w:t>（三）其他地上附着物和青苗补偿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32"/>
        <w:jc w:val="both"/>
        <w:textAlignment w:val="auto"/>
      </w:pPr>
      <w:r>
        <w:rPr>
          <w:rFonts w:hint="eastAsia" w:ascii="仿宋_GB2312" w:eastAsia="仿宋_GB2312" w:cs="仿宋_GB2312"/>
          <w:color w:val="000000"/>
          <w:sz w:val="32"/>
          <w:szCs w:val="32"/>
        </w:rPr>
        <w:t>其他地上附着物和青苗补偿按《深圳市深汕特别合作区党政办公室关于重新发布〈深圳市深汕特别合作区集体土地征收补偿办法（试行）〉的通知》（深汕办规〔2024〕5号）的规定执行。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32"/>
        <w:jc w:val="both"/>
        <w:textAlignment w:val="auto"/>
        <w:rPr>
          <w:rFonts w:ascii="黑体" w:hAnsi="宋体" w:eastAsia="黑体" w:cs="黑体"/>
          <w:color w:val="000000"/>
          <w:sz w:val="32"/>
          <w:szCs w:val="32"/>
        </w:rPr>
      </w:pPr>
      <w:r>
        <w:rPr>
          <w:rFonts w:hint="default" w:ascii="黑体" w:hAnsi="宋体" w:eastAsia="黑体" w:cs="黑体"/>
          <w:color w:val="000000"/>
          <w:sz w:val="32"/>
          <w:szCs w:val="32"/>
        </w:rPr>
        <w:t>五、安置方式和社会保障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32"/>
        <w:jc w:val="both"/>
        <w:textAlignment w:val="auto"/>
      </w:pPr>
      <w:r>
        <w:rPr>
          <w:rFonts w:hint="eastAsia" w:ascii="仿宋_GB2312" w:eastAsia="仿宋_GB2312" w:cs="仿宋_GB2312"/>
          <w:color w:val="000000"/>
          <w:sz w:val="32"/>
          <w:szCs w:val="32"/>
        </w:rPr>
        <w:t>（一）留用地按照《深圳市深汕特别合作区党政办公室关于印发深圳市深汕特别合作区留用地管理办法修订的通知》（深汕办规〔2025〕1号）执行。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32"/>
        <w:jc w:val="both"/>
        <w:textAlignment w:val="auto"/>
      </w:pPr>
      <w:r>
        <w:rPr>
          <w:rFonts w:hint="eastAsia" w:ascii="仿宋_GB2312" w:eastAsia="仿宋_GB2312" w:cs="仿宋_GB2312"/>
          <w:color w:val="000000"/>
          <w:sz w:val="32"/>
          <w:szCs w:val="32"/>
        </w:rPr>
        <w:t>（二）社保按照《广东省人民政府办公厅转发省人力资源社会保障厅关于进一步完善我省被征地农民养老保障政策意见的通知》（粤府办〔2021〕22号）执行。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24"/>
        <w:jc w:val="both"/>
        <w:textAlignment w:val="auto"/>
      </w:pPr>
      <w:r>
        <w:rPr>
          <w:rFonts w:hint="eastAsia" w:ascii="仿宋_GB2312" w:eastAsia="仿宋_GB2312" w:cs="仿宋_GB2312"/>
          <w:color w:val="000000"/>
          <w:sz w:val="32"/>
          <w:szCs w:val="32"/>
        </w:rPr>
        <w:t>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pPr>
      <w:r>
        <w:rPr>
          <w:rFonts w:hint="default" w:ascii="&quot;Times New Roman&quot;" w:hAnsi="&quot;Times New Roman&quot;" w:eastAsia="&quot;Times New Roman&quot;" w:cs="&quot;Times New Roman&quot;"/>
          <w:color w:val="000000"/>
          <w:sz w:val="32"/>
          <w:szCs w:val="32"/>
        </w:rPr>
        <w:t>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24"/>
        <w:jc w:val="right"/>
        <w:textAlignment w:val="auto"/>
      </w:pPr>
      <w:r>
        <w:rPr>
          <w:rFonts w:hint="eastAsia" w:ascii="仿宋_GB2312" w:eastAsia="仿宋_GB2312" w:cs="仿宋_GB2312"/>
          <w:color w:val="000000"/>
          <w:sz w:val="32"/>
          <w:szCs w:val="32"/>
        </w:rPr>
        <w:t>  深圳市深汕特别合作区管理委员会</w:t>
      </w:r>
    </w:p>
    <w:p>
      <w:pPr>
        <w:keepNext w:val="0"/>
        <w:keepLines w:val="0"/>
        <w:pageBreakBefore w:val="0"/>
        <w:widowControl/>
        <w:suppressLineNumbers w:val="0"/>
        <w:kinsoku/>
        <w:wordWrap/>
        <w:overflowPunct/>
        <w:topLinePunct w:val="0"/>
        <w:autoSpaceDE/>
        <w:autoSpaceDN/>
        <w:bidi w:val="0"/>
        <w:adjustRightInd/>
        <w:snapToGrid/>
        <w:spacing w:line="560" w:lineRule="exact"/>
        <w:ind w:left="60" w:leftChars="19" w:firstLine="0" w:firstLineChars="0"/>
        <w:jc w:val="left"/>
        <w:textAlignment w:val="auto"/>
      </w:pPr>
      <w:r>
        <w:rPr>
          <w:rFonts w:hint="eastAsia" w:ascii="仿宋_GB2312" w:hAnsi="宋体" w:eastAsia="仿宋_GB2312" w:cs="仿宋_GB2312"/>
          <w:color w:val="000000"/>
          <w:kern w:val="0"/>
          <w:sz w:val="32"/>
          <w:szCs w:val="32"/>
          <w:lang w:val="en-US" w:eastAsia="zh-CN" w:bidi="ar"/>
        </w:rPr>
        <w:t xml:space="preserve">                                </w:t>
      </w:r>
      <w:r>
        <w:rPr>
          <w:rFonts w:hint="eastAsia" w:ascii="仿宋_GB2312" w:hAnsi="宋体" w:cs="仿宋_GB2312"/>
          <w:color w:val="000000"/>
          <w:kern w:val="0"/>
          <w:sz w:val="32"/>
          <w:szCs w:val="32"/>
          <w:lang w:val="en-US" w:eastAsia="zh-CN" w:bidi="ar"/>
        </w:rPr>
        <w:t xml:space="preserve">              </w:t>
      </w:r>
      <w:r>
        <w:rPr>
          <w:rFonts w:hint="eastAsia" w:ascii="仿宋_GB2312" w:hAnsi="宋体" w:eastAsia="仿宋_GB2312" w:cs="仿宋_GB2312"/>
          <w:color w:val="000000"/>
          <w:kern w:val="0"/>
          <w:sz w:val="32"/>
          <w:szCs w:val="32"/>
          <w:lang w:val="en-US" w:eastAsia="zh-CN" w:bidi="ar"/>
        </w:rPr>
        <w:t>2025年11月</w:t>
      </w:r>
      <w:r>
        <w:rPr>
          <w:rFonts w:hint="eastAsia" w:ascii="仿宋_GB2312" w:hAnsi="宋体" w:cs="仿宋_GB2312"/>
          <w:color w:val="000000"/>
          <w:kern w:val="0"/>
          <w:sz w:val="32"/>
          <w:szCs w:val="32"/>
          <w:lang w:val="en-US" w:eastAsia="zh-CN" w:bidi="ar"/>
        </w:rPr>
        <w:t>7</w:t>
      </w:r>
      <w:r>
        <w:rPr>
          <w:rFonts w:hint="eastAsia" w:ascii="仿宋_GB2312" w:hAnsi="宋体" w:eastAsia="仿宋_GB2312" w:cs="仿宋_GB2312"/>
          <w:color w:val="000000"/>
          <w:kern w:val="0"/>
          <w:sz w:val="32"/>
          <w:szCs w:val="32"/>
          <w:lang w:val="en-US" w:eastAsia="zh-CN" w:bidi="ar"/>
        </w:rPr>
        <w:t>日</w:t>
      </w:r>
    </w:p>
    <w:p>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ascii="仿宋_GB2312"/>
        </w:rPr>
      </w:pPr>
    </w:p>
    <w:sectPr>
      <w:footerReference r:id="rId3" w:type="default"/>
      <w:footerReference r:id="rId4" w:type="even"/>
      <w:pgSz w:w="11907" w:h="16840"/>
      <w:pgMar w:top="2098" w:right="1474" w:bottom="1985" w:left="1587" w:header="720" w:footer="1361" w:gutter="0"/>
      <w:pgNumType w:fmt="decimal"/>
      <w:cols w:space="72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quot;Times New Roman&quot;">
    <w:altName w:val="DejaVu Sans"/>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１</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１</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true"/>
  <w:drawingGridHorizontalSpacing w:val="158"/>
  <w:drawingGridVerticalSpacing w:val="579"/>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A2F"/>
    <w:rsid w:val="00011028"/>
    <w:rsid w:val="00024544"/>
    <w:rsid w:val="00047658"/>
    <w:rsid w:val="000639C7"/>
    <w:rsid w:val="00085B6A"/>
    <w:rsid w:val="000B4B50"/>
    <w:rsid w:val="000D570E"/>
    <w:rsid w:val="000E5EDB"/>
    <w:rsid w:val="000F6252"/>
    <w:rsid w:val="000F7ADB"/>
    <w:rsid w:val="0011401D"/>
    <w:rsid w:val="00114EA3"/>
    <w:rsid w:val="00115403"/>
    <w:rsid w:val="00134CB1"/>
    <w:rsid w:val="00140251"/>
    <w:rsid w:val="00140644"/>
    <w:rsid w:val="001452AE"/>
    <w:rsid w:val="00157B7F"/>
    <w:rsid w:val="001B26F6"/>
    <w:rsid w:val="001B556D"/>
    <w:rsid w:val="001C60F5"/>
    <w:rsid w:val="001C7E13"/>
    <w:rsid w:val="001D4B44"/>
    <w:rsid w:val="001E0908"/>
    <w:rsid w:val="001E3469"/>
    <w:rsid w:val="001E57D4"/>
    <w:rsid w:val="001E7F59"/>
    <w:rsid w:val="00203CC2"/>
    <w:rsid w:val="00224C56"/>
    <w:rsid w:val="00272BAA"/>
    <w:rsid w:val="00275170"/>
    <w:rsid w:val="002769D6"/>
    <w:rsid w:val="00280F16"/>
    <w:rsid w:val="00283566"/>
    <w:rsid w:val="00290FCF"/>
    <w:rsid w:val="002A1895"/>
    <w:rsid w:val="002C16CA"/>
    <w:rsid w:val="002C1ABE"/>
    <w:rsid w:val="002E01C8"/>
    <w:rsid w:val="002F5C65"/>
    <w:rsid w:val="00315089"/>
    <w:rsid w:val="0031659D"/>
    <w:rsid w:val="003239E0"/>
    <w:rsid w:val="00325511"/>
    <w:rsid w:val="00331CA8"/>
    <w:rsid w:val="0033354F"/>
    <w:rsid w:val="0033456E"/>
    <w:rsid w:val="00355E37"/>
    <w:rsid w:val="00373D05"/>
    <w:rsid w:val="003742E0"/>
    <w:rsid w:val="00375024"/>
    <w:rsid w:val="00380914"/>
    <w:rsid w:val="00386ACF"/>
    <w:rsid w:val="0038725E"/>
    <w:rsid w:val="0039029C"/>
    <w:rsid w:val="003A093C"/>
    <w:rsid w:val="003A6A9B"/>
    <w:rsid w:val="003F442A"/>
    <w:rsid w:val="004002FC"/>
    <w:rsid w:val="004122AA"/>
    <w:rsid w:val="004435AB"/>
    <w:rsid w:val="00461096"/>
    <w:rsid w:val="004654CE"/>
    <w:rsid w:val="00472B52"/>
    <w:rsid w:val="00473960"/>
    <w:rsid w:val="004767CE"/>
    <w:rsid w:val="0048688F"/>
    <w:rsid w:val="004951F8"/>
    <w:rsid w:val="004B79ED"/>
    <w:rsid w:val="004C00DF"/>
    <w:rsid w:val="004D13B9"/>
    <w:rsid w:val="004D6ECA"/>
    <w:rsid w:val="004E3FD6"/>
    <w:rsid w:val="004E3FF3"/>
    <w:rsid w:val="0051341F"/>
    <w:rsid w:val="00515BA3"/>
    <w:rsid w:val="00520A07"/>
    <w:rsid w:val="005337C3"/>
    <w:rsid w:val="00567093"/>
    <w:rsid w:val="00583885"/>
    <w:rsid w:val="0058529E"/>
    <w:rsid w:val="005A17F4"/>
    <w:rsid w:val="005A461F"/>
    <w:rsid w:val="005A562D"/>
    <w:rsid w:val="005B6934"/>
    <w:rsid w:val="00626F49"/>
    <w:rsid w:val="00646C14"/>
    <w:rsid w:val="00657B37"/>
    <w:rsid w:val="00687DC4"/>
    <w:rsid w:val="006A217D"/>
    <w:rsid w:val="006B4F5F"/>
    <w:rsid w:val="006C735D"/>
    <w:rsid w:val="006D014C"/>
    <w:rsid w:val="006E3EC7"/>
    <w:rsid w:val="006E403C"/>
    <w:rsid w:val="006F7DF7"/>
    <w:rsid w:val="007124B1"/>
    <w:rsid w:val="00724F14"/>
    <w:rsid w:val="007568DD"/>
    <w:rsid w:val="00766C4D"/>
    <w:rsid w:val="00781042"/>
    <w:rsid w:val="00781508"/>
    <w:rsid w:val="00783260"/>
    <w:rsid w:val="00790367"/>
    <w:rsid w:val="007A1CDD"/>
    <w:rsid w:val="007C1AA2"/>
    <w:rsid w:val="007E4B0C"/>
    <w:rsid w:val="00813A1D"/>
    <w:rsid w:val="0082148E"/>
    <w:rsid w:val="00832535"/>
    <w:rsid w:val="00835ABF"/>
    <w:rsid w:val="00841C2C"/>
    <w:rsid w:val="008564B3"/>
    <w:rsid w:val="008A19AE"/>
    <w:rsid w:val="008A2010"/>
    <w:rsid w:val="008A52B4"/>
    <w:rsid w:val="008B2DD7"/>
    <w:rsid w:val="008B4FE6"/>
    <w:rsid w:val="008C0B87"/>
    <w:rsid w:val="008D176C"/>
    <w:rsid w:val="008D4789"/>
    <w:rsid w:val="008E2D77"/>
    <w:rsid w:val="008E2F47"/>
    <w:rsid w:val="008F010A"/>
    <w:rsid w:val="00904C00"/>
    <w:rsid w:val="00910F25"/>
    <w:rsid w:val="00912E13"/>
    <w:rsid w:val="0097515B"/>
    <w:rsid w:val="009B4470"/>
    <w:rsid w:val="009D5FA7"/>
    <w:rsid w:val="009F1469"/>
    <w:rsid w:val="009F3BBB"/>
    <w:rsid w:val="009F5212"/>
    <w:rsid w:val="00A20FAB"/>
    <w:rsid w:val="00A2367A"/>
    <w:rsid w:val="00A32812"/>
    <w:rsid w:val="00A62E22"/>
    <w:rsid w:val="00A731F2"/>
    <w:rsid w:val="00A824B6"/>
    <w:rsid w:val="00AA10C3"/>
    <w:rsid w:val="00AC0A90"/>
    <w:rsid w:val="00AC65C6"/>
    <w:rsid w:val="00AD104C"/>
    <w:rsid w:val="00AE28D2"/>
    <w:rsid w:val="00AF50D5"/>
    <w:rsid w:val="00B101A9"/>
    <w:rsid w:val="00B13E6E"/>
    <w:rsid w:val="00B257AF"/>
    <w:rsid w:val="00B30CF8"/>
    <w:rsid w:val="00B72D2A"/>
    <w:rsid w:val="00B7393A"/>
    <w:rsid w:val="00B74DA9"/>
    <w:rsid w:val="00B76AF3"/>
    <w:rsid w:val="00B801EF"/>
    <w:rsid w:val="00B80A54"/>
    <w:rsid w:val="00B92E99"/>
    <w:rsid w:val="00BA588F"/>
    <w:rsid w:val="00BC165A"/>
    <w:rsid w:val="00BD0203"/>
    <w:rsid w:val="00C0565D"/>
    <w:rsid w:val="00C05F80"/>
    <w:rsid w:val="00C05FA4"/>
    <w:rsid w:val="00C10095"/>
    <w:rsid w:val="00C10905"/>
    <w:rsid w:val="00C133BE"/>
    <w:rsid w:val="00C3146D"/>
    <w:rsid w:val="00C60407"/>
    <w:rsid w:val="00C74BC1"/>
    <w:rsid w:val="00C83583"/>
    <w:rsid w:val="00C87108"/>
    <w:rsid w:val="00CA2B4F"/>
    <w:rsid w:val="00CB19CA"/>
    <w:rsid w:val="00CB3F2D"/>
    <w:rsid w:val="00CC4CDB"/>
    <w:rsid w:val="00CD60B0"/>
    <w:rsid w:val="00CD637C"/>
    <w:rsid w:val="00CE33F6"/>
    <w:rsid w:val="00CE4E1E"/>
    <w:rsid w:val="00D07484"/>
    <w:rsid w:val="00D126B4"/>
    <w:rsid w:val="00D17EB3"/>
    <w:rsid w:val="00D241B6"/>
    <w:rsid w:val="00D265E2"/>
    <w:rsid w:val="00D54A2F"/>
    <w:rsid w:val="00D81042"/>
    <w:rsid w:val="00D82CE3"/>
    <w:rsid w:val="00D94B0E"/>
    <w:rsid w:val="00D96BDF"/>
    <w:rsid w:val="00DD379D"/>
    <w:rsid w:val="00DE7C2C"/>
    <w:rsid w:val="00DF7C0F"/>
    <w:rsid w:val="00E300C3"/>
    <w:rsid w:val="00E475AC"/>
    <w:rsid w:val="00E506A0"/>
    <w:rsid w:val="00E7297B"/>
    <w:rsid w:val="00E73701"/>
    <w:rsid w:val="00E73BDE"/>
    <w:rsid w:val="00E742E4"/>
    <w:rsid w:val="00EB2182"/>
    <w:rsid w:val="00EB34ED"/>
    <w:rsid w:val="00EB76E2"/>
    <w:rsid w:val="00ED30AF"/>
    <w:rsid w:val="00EE75BB"/>
    <w:rsid w:val="00EF10E3"/>
    <w:rsid w:val="00F045E4"/>
    <w:rsid w:val="00F06580"/>
    <w:rsid w:val="00F149E8"/>
    <w:rsid w:val="00F41003"/>
    <w:rsid w:val="00F721DA"/>
    <w:rsid w:val="00FD08FE"/>
    <w:rsid w:val="00FF6FC6"/>
    <w:rsid w:val="1FFB0BBC"/>
    <w:rsid w:val="20DB453B"/>
    <w:rsid w:val="3779066F"/>
    <w:rsid w:val="3DBAC889"/>
    <w:rsid w:val="3F3F9994"/>
    <w:rsid w:val="3FBC869D"/>
    <w:rsid w:val="3FFE79EF"/>
    <w:rsid w:val="4CCE7EF9"/>
    <w:rsid w:val="5FBCB167"/>
    <w:rsid w:val="63EDB1E8"/>
    <w:rsid w:val="6BF5500D"/>
    <w:rsid w:val="72FB677F"/>
    <w:rsid w:val="79EE146A"/>
    <w:rsid w:val="7B3F5EBA"/>
    <w:rsid w:val="7EFE7A1D"/>
    <w:rsid w:val="7F5FB9F4"/>
    <w:rsid w:val="7FFE53D5"/>
    <w:rsid w:val="8FFFD2A2"/>
    <w:rsid w:val="9FDFB5A8"/>
    <w:rsid w:val="9FEFB599"/>
    <w:rsid w:val="9FFF9FD4"/>
    <w:rsid w:val="BBFD9680"/>
    <w:rsid w:val="E7F7251C"/>
    <w:rsid w:val="EEFF41FC"/>
    <w:rsid w:val="F69D248C"/>
    <w:rsid w:val="FB6F07A2"/>
    <w:rsid w:val="FDEB8B57"/>
    <w:rsid w:val="FFBB0B24"/>
    <w:rsid w:val="FFF7BB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line="500" w:lineRule="exact"/>
      <w:jc w:val="center"/>
    </w:pPr>
    <w:rPr>
      <w:rFonts w:hint="eastAsia" w:eastAsia="仿宋_GB2312"/>
    </w:rPr>
  </w:style>
  <w:style w:type="paragraph" w:styleId="3">
    <w:name w:val="Title"/>
    <w:basedOn w:val="1"/>
    <w:next w:val="1"/>
    <w:qFormat/>
    <w:uiPriority w:val="99"/>
    <w:pPr>
      <w:spacing w:before="240" w:after="60"/>
      <w:jc w:val="center"/>
      <w:outlineLvl w:val="0"/>
    </w:pPr>
    <w:rPr>
      <w:rFonts w:ascii="Cambria" w:hAnsi="Cambria"/>
      <w:b/>
      <w:sz w:val="32"/>
      <w:szCs w:val="20"/>
    </w:rPr>
  </w:style>
  <w:style w:type="paragraph" w:styleId="4">
    <w:name w:val="Date"/>
    <w:basedOn w:val="1"/>
    <w:next w:val="1"/>
    <w:qFormat/>
    <w:uiPriority w:val="0"/>
    <w:pPr>
      <w:ind w:left="100" w:leftChars="25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character" w:styleId="10">
    <w:name w:val="page number"/>
    <w:basedOn w:val="9"/>
    <w:qFormat/>
    <w:uiPriority w:val="0"/>
  </w:style>
  <w:style w:type="paragraph" w:customStyle="1" w:styleId="11">
    <w:name w:val="Char Char1 Char Char Char Char Char Char"/>
    <w:basedOn w:val="1"/>
    <w:qFormat/>
    <w:uiPriority w:val="0"/>
    <w:pPr>
      <w:widowControl/>
      <w:spacing w:after="160" w:line="240" w:lineRule="exact"/>
      <w:jc w:val="left"/>
    </w:pPr>
    <w:rPr>
      <w:rFonts w:eastAsia="宋体"/>
      <w:sz w:val="21"/>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1</Pages>
  <Words>0</Words>
  <Characters>5</Characters>
  <Lines>1</Lines>
  <Paragraphs>1</Paragraphs>
  <TotalTime>15</TotalTime>
  <ScaleCrop>false</ScaleCrop>
  <LinksUpToDate>false</LinksUpToDate>
  <CharactersWithSpaces>5</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2016-11-20T17:45:00Z</dcterms:created>
  <dc:creator>Administrator</dc:creator>
  <cp:lastModifiedBy>sssuper</cp:lastModifiedBy>
  <cp:lastPrinted>2025-11-07T01:54:00Z</cp:lastPrinted>
  <dcterms:modified xsi:type="dcterms:W3CDTF">2025-11-07T10:18:37Z</dcterms:modified>
  <dc:title>发文字号〔2013〕1号                  签发人：张××</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