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pPr>
    </w:p>
    <w:p>
      <w:pPr>
        <w:spacing w:line="680" w:lineRule="exact"/>
        <w:ind w:right="873"/>
        <w:jc w:val="center"/>
        <w:rPr>
          <w:rFonts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after="0" w:line="520" w:lineRule="exact"/>
        <w:ind w:firstLineChars="0"/>
        <w:jc w:val="center"/>
        <w:textAlignment w:val="auto"/>
        <w:rPr>
          <w:sz w:val="21"/>
        </w:rPr>
      </w:pPr>
      <w:r>
        <w:rPr>
          <w:rFonts w:ascii="方正小标宋简体" w:hAnsi="方正小标宋简体" w:eastAsia="方正小标宋简体" w:cs="方正小标宋简体"/>
          <w:color w:val="000000"/>
          <w:sz w:val="44"/>
        </w:rPr>
        <w:t>深圳市深汕特别合作区征地补偿安置方案</w:t>
      </w:r>
    </w:p>
    <w:p>
      <w:pPr>
        <w:keepNext w:val="0"/>
        <w:keepLines w:val="0"/>
        <w:pageBreakBefore w:val="0"/>
        <w:widowControl w:val="0"/>
        <w:kinsoku/>
        <w:wordWrap/>
        <w:overflowPunct/>
        <w:topLinePunct w:val="0"/>
        <w:autoSpaceDE/>
        <w:autoSpaceDN/>
        <w:bidi w:val="0"/>
        <w:adjustRightInd/>
        <w:snapToGrid/>
        <w:spacing w:after="0" w:line="520" w:lineRule="exact"/>
        <w:ind w:firstLineChars="0"/>
        <w:jc w:val="both"/>
        <w:textAlignment w:val="auto"/>
        <w:rPr>
          <w:sz w:val="21"/>
        </w:rPr>
      </w:pPr>
      <w:r>
        <w:rPr>
          <w:rFonts w:ascii="Arial" w:hAnsi="Arial" w:eastAsia="Arial" w:cs="Arial"/>
          <w:color w:val="000000"/>
          <w:sz w:val="32"/>
        </w:rPr>
        <w:t xml:space="preserve"> </w:t>
      </w:r>
      <w:bookmarkStart w:id="0" w:name="_GoBack"/>
      <w:bookmarkEnd w:id="0"/>
    </w:p>
    <w:p>
      <w:pPr>
        <w:keepNext w:val="0"/>
        <w:keepLines w:val="0"/>
        <w:pageBreakBefore w:val="0"/>
        <w:widowControl w:val="0"/>
        <w:kinsoku/>
        <w:wordWrap/>
        <w:overflowPunct/>
        <w:topLinePunct w:val="0"/>
        <w:autoSpaceDE/>
        <w:autoSpaceDN/>
        <w:bidi w:val="0"/>
        <w:adjustRightInd/>
        <w:snapToGrid/>
        <w:spacing w:after="0" w:line="520" w:lineRule="exact"/>
        <w:ind w:firstLine="642" w:firstLineChars="0"/>
        <w:jc w:val="both"/>
        <w:textAlignment w:val="auto"/>
        <w:rPr>
          <w:sz w:val="21"/>
        </w:rPr>
      </w:pPr>
      <w:r>
        <w:rPr>
          <w:rFonts w:ascii="仿宋_GB2312" w:hAnsi="仿宋_GB2312" w:eastAsia="仿宋_GB2312" w:cs="仿宋_GB2312"/>
          <w:color w:val="000000"/>
          <w:spacing w:val="4"/>
          <w:sz w:val="32"/>
        </w:rPr>
        <w:t>根据《中华人民共和国土地管理法》第四十七条、第四十</w:t>
      </w:r>
      <w:r>
        <w:rPr>
          <w:rFonts w:ascii="仿宋_GB2312" w:hAnsi="仿宋_GB2312" w:eastAsia="仿宋_GB2312" w:cs="仿宋_GB2312"/>
          <w:color w:val="000000"/>
          <w:spacing w:val="7"/>
          <w:sz w:val="32"/>
        </w:rPr>
        <w:t>八条，《中华人民共和国土地管理法实施条例》第二十七条、</w:t>
      </w:r>
      <w:r>
        <w:rPr>
          <w:rFonts w:ascii="仿宋_GB2312" w:hAnsi="仿宋_GB2312" w:eastAsia="仿宋_GB2312" w:cs="仿宋_GB2312"/>
          <w:color w:val="000000"/>
          <w:spacing w:val="4"/>
          <w:sz w:val="32"/>
        </w:rPr>
        <w:t>第二</w:t>
      </w:r>
      <w:r>
        <w:rPr>
          <w:rFonts w:ascii="仿宋_GB2312" w:hAnsi="仿宋_GB2312" w:eastAsia="仿宋_GB2312" w:cs="仿宋_GB2312"/>
          <w:color w:val="000000"/>
          <w:spacing w:val="7"/>
          <w:sz w:val="32"/>
        </w:rPr>
        <w:t>十八条，《广东省土地管理条例》第三十条的规定，我区组织编制了深圳市深汕特别合作区2025年度第一批次城镇建设用地征地补偿安置方案，具体如下</w:t>
      </w:r>
      <w:r>
        <w:rPr>
          <w:rFonts w:ascii="仿宋_GB2312" w:hAnsi="仿宋_GB2312" w:eastAsia="仿宋_GB2312" w:cs="仿宋_GB2312"/>
          <w:color w:val="000000"/>
          <w:spacing w:val="9"/>
          <w:sz w:val="32"/>
        </w:rPr>
        <w:t>：</w:t>
      </w:r>
    </w:p>
    <w:p>
      <w:pPr>
        <w:keepNext w:val="0"/>
        <w:keepLines w:val="0"/>
        <w:pageBreakBefore w:val="0"/>
        <w:widowControl w:val="0"/>
        <w:kinsoku/>
        <w:wordWrap/>
        <w:overflowPunct/>
        <w:topLinePunct w:val="0"/>
        <w:autoSpaceDE/>
        <w:autoSpaceDN/>
        <w:bidi w:val="0"/>
        <w:adjustRightInd/>
        <w:snapToGrid/>
        <w:spacing w:after="0" w:line="520" w:lineRule="exact"/>
        <w:ind w:firstLine="616" w:firstLineChars="0"/>
        <w:jc w:val="both"/>
        <w:textAlignment w:val="auto"/>
        <w:rPr>
          <w:sz w:val="21"/>
        </w:rPr>
      </w:pPr>
      <w:r>
        <w:rPr>
          <w:rFonts w:ascii="黑体" w:hAnsi="黑体" w:eastAsia="黑体" w:cs="黑体"/>
          <w:color w:val="000000"/>
          <w:spacing w:val="-6"/>
          <w:sz w:val="32"/>
        </w:rPr>
        <w:t>一、征收范围</w:t>
      </w:r>
    </w:p>
    <w:p>
      <w:pPr>
        <w:keepNext w:val="0"/>
        <w:keepLines w:val="0"/>
        <w:pageBreakBefore w:val="0"/>
        <w:widowControl w:val="0"/>
        <w:kinsoku/>
        <w:wordWrap/>
        <w:overflowPunct/>
        <w:topLinePunct w:val="0"/>
        <w:autoSpaceDE/>
        <w:autoSpaceDN/>
        <w:bidi w:val="0"/>
        <w:adjustRightInd/>
        <w:snapToGrid/>
        <w:spacing w:after="0" w:line="520" w:lineRule="exact"/>
        <w:ind w:firstLine="648" w:firstLineChars="0"/>
        <w:jc w:val="both"/>
        <w:textAlignment w:val="auto"/>
        <w:rPr>
          <w:sz w:val="21"/>
        </w:rPr>
      </w:pPr>
      <w:r>
        <w:rPr>
          <w:rFonts w:ascii="仿宋_GB2312" w:hAnsi="仿宋_GB2312" w:eastAsia="仿宋_GB2312" w:cs="仿宋_GB2312"/>
          <w:color w:val="000000"/>
          <w:spacing w:val="-2"/>
          <w:sz w:val="32"/>
        </w:rPr>
        <w:t>拟</w:t>
      </w:r>
      <w:r>
        <w:rPr>
          <w:rFonts w:ascii="仿宋_GB2312" w:hAnsi="仿宋_GB2312" w:eastAsia="仿宋_GB2312" w:cs="仿宋_GB2312"/>
          <w:color w:val="000000"/>
          <w:spacing w:val="7"/>
          <w:sz w:val="32"/>
        </w:rPr>
        <w:t>征收土地位于鲘门街道红源村，具体位置详</w:t>
      </w:r>
      <w:r>
        <w:rPr>
          <w:rFonts w:ascii="仿宋_GB2312" w:hAnsi="仿宋_GB2312" w:eastAsia="仿宋_GB2312" w:cs="仿宋_GB2312"/>
          <w:color w:val="000000"/>
          <w:spacing w:val="6"/>
          <w:sz w:val="32"/>
        </w:rPr>
        <w:t>见附图。</w:t>
      </w:r>
      <w:r>
        <w:rPr>
          <w:rFonts w:ascii="仿宋_GB2312" w:hAnsi="仿宋_GB2312" w:eastAsia="仿宋_GB2312" w:cs="仿宋_GB2312"/>
          <w:color w:val="000000"/>
          <w:spacing w:val="7"/>
          <w:sz w:val="32"/>
        </w:rPr>
        <w:t>实际征收土地范围以最终批准文件为准。</w:t>
      </w:r>
    </w:p>
    <w:p>
      <w:pPr>
        <w:keepNext w:val="0"/>
        <w:keepLines w:val="0"/>
        <w:pageBreakBefore w:val="0"/>
        <w:widowControl w:val="0"/>
        <w:kinsoku/>
        <w:wordWrap/>
        <w:overflowPunct/>
        <w:topLinePunct w:val="0"/>
        <w:autoSpaceDE/>
        <w:autoSpaceDN/>
        <w:bidi w:val="0"/>
        <w:adjustRightInd/>
        <w:snapToGrid/>
        <w:spacing w:after="0" w:line="520" w:lineRule="exact"/>
        <w:ind w:firstLine="668" w:firstLineChars="0"/>
        <w:jc w:val="both"/>
        <w:textAlignment w:val="auto"/>
        <w:rPr>
          <w:sz w:val="21"/>
        </w:rPr>
      </w:pPr>
      <w:r>
        <w:rPr>
          <w:rFonts w:ascii="黑体" w:hAnsi="黑体" w:eastAsia="黑体" w:cs="黑体"/>
          <w:color w:val="000000"/>
          <w:spacing w:val="7"/>
          <w:sz w:val="32"/>
        </w:rPr>
        <w:t>二、征收目的</w:t>
      </w:r>
    </w:p>
    <w:p>
      <w:pPr>
        <w:keepNext w:val="0"/>
        <w:keepLines w:val="0"/>
        <w:pageBreakBefore w:val="0"/>
        <w:widowControl w:val="0"/>
        <w:kinsoku/>
        <w:wordWrap/>
        <w:overflowPunct/>
        <w:topLinePunct w:val="0"/>
        <w:autoSpaceDE/>
        <w:autoSpaceDN/>
        <w:bidi w:val="0"/>
        <w:adjustRightInd/>
        <w:snapToGrid/>
        <w:spacing w:after="0" w:line="520" w:lineRule="exact"/>
        <w:ind w:firstLine="634" w:firstLineChars="0"/>
        <w:jc w:val="both"/>
        <w:textAlignment w:val="auto"/>
        <w:rPr>
          <w:sz w:val="21"/>
        </w:rPr>
      </w:pPr>
      <w:r>
        <w:rPr>
          <w:rFonts w:ascii="仿宋_GB2312" w:hAnsi="仿宋_GB2312" w:eastAsia="仿宋_GB2312" w:cs="仿宋_GB2312"/>
          <w:color w:val="000000"/>
          <w:spacing w:val="6"/>
          <w:sz w:val="32"/>
        </w:rPr>
        <w:t>根据《中华人民共和国土地管理法》第四十五条的规定，本次征收土地目的为</w:t>
      </w:r>
      <w:r>
        <w:rPr>
          <w:rFonts w:hint="eastAsia" w:ascii="仿宋_GB2312" w:hAnsi="仿宋_GB2312" w:eastAsia="仿宋_GB2312" w:cs="仿宋_GB2312"/>
          <w:color w:val="000000"/>
          <w:spacing w:val="6"/>
          <w:sz w:val="32"/>
          <w:lang w:eastAsia="zh-CN"/>
        </w:rPr>
        <w:t>由</w:t>
      </w:r>
      <w:r>
        <w:rPr>
          <w:rFonts w:ascii="仿宋_GB2312" w:hAnsi="仿宋_GB2312" w:eastAsia="仿宋_GB2312" w:cs="仿宋_GB2312"/>
          <w:color w:val="000000"/>
          <w:spacing w:val="6"/>
          <w:sz w:val="32"/>
        </w:rPr>
        <w:t>政府组织实施的能源、交通、水利、通信、邮政等基础设施建设用地需要。</w:t>
      </w:r>
    </w:p>
    <w:p>
      <w:pPr>
        <w:keepNext w:val="0"/>
        <w:keepLines w:val="0"/>
        <w:pageBreakBefore w:val="0"/>
        <w:widowControl w:val="0"/>
        <w:kinsoku/>
        <w:wordWrap/>
        <w:overflowPunct/>
        <w:topLinePunct w:val="0"/>
        <w:autoSpaceDE/>
        <w:autoSpaceDN/>
        <w:bidi w:val="0"/>
        <w:adjustRightInd/>
        <w:snapToGrid/>
        <w:spacing w:after="0" w:line="520" w:lineRule="exact"/>
        <w:ind w:firstLine="620" w:firstLineChars="0"/>
        <w:jc w:val="both"/>
        <w:textAlignment w:val="auto"/>
        <w:rPr>
          <w:sz w:val="21"/>
        </w:rPr>
      </w:pPr>
      <w:r>
        <w:rPr>
          <w:rFonts w:ascii="黑体" w:hAnsi="黑体" w:eastAsia="黑体" w:cs="黑体"/>
          <w:color w:val="000000"/>
          <w:spacing w:val="-5"/>
          <w:sz w:val="32"/>
        </w:rPr>
        <w:t>三、土地现状</w:t>
      </w:r>
    </w:p>
    <w:p>
      <w:pPr>
        <w:keepNext w:val="0"/>
        <w:keepLines w:val="0"/>
        <w:pageBreakBefore w:val="0"/>
        <w:widowControl w:val="0"/>
        <w:kinsoku/>
        <w:wordWrap/>
        <w:overflowPunct/>
        <w:topLinePunct w:val="0"/>
        <w:autoSpaceDE/>
        <w:autoSpaceDN/>
        <w:bidi w:val="0"/>
        <w:adjustRightInd/>
        <w:snapToGrid/>
        <w:spacing w:after="0" w:line="520" w:lineRule="exact"/>
        <w:ind w:firstLine="642" w:firstLineChars="0"/>
        <w:jc w:val="both"/>
        <w:textAlignment w:val="auto"/>
        <w:rPr>
          <w:sz w:val="21"/>
        </w:rPr>
      </w:pPr>
      <w:r>
        <w:rPr>
          <w:rFonts w:ascii="仿宋_GB2312" w:hAnsi="仿宋_GB2312" w:eastAsia="仿宋_GB2312" w:cs="仿宋_GB2312"/>
          <w:color w:val="000000"/>
          <w:spacing w:val="7"/>
          <w:sz w:val="32"/>
        </w:rPr>
        <w:t>根据拟征收土地现状调查结果，拟征收土地现状为：</w:t>
      </w:r>
    </w:p>
    <w:p>
      <w:pPr>
        <w:keepNext w:val="0"/>
        <w:keepLines w:val="0"/>
        <w:pageBreakBefore w:val="0"/>
        <w:widowControl w:val="0"/>
        <w:kinsoku/>
        <w:wordWrap/>
        <w:overflowPunct/>
        <w:topLinePunct w:val="0"/>
        <w:autoSpaceDE/>
        <w:autoSpaceDN/>
        <w:bidi w:val="0"/>
        <w:adjustRightInd/>
        <w:snapToGrid/>
        <w:spacing w:after="0" w:line="520" w:lineRule="exact"/>
        <w:ind w:firstLine="642" w:firstLineChars="0"/>
        <w:jc w:val="both"/>
        <w:textAlignment w:val="auto"/>
        <w:rPr>
          <w:sz w:val="21"/>
        </w:rPr>
      </w:pPr>
      <w:r>
        <w:rPr>
          <w:rFonts w:ascii="仿宋_GB2312" w:hAnsi="仿宋_GB2312" w:eastAsia="仿宋_GB2312" w:cs="仿宋_GB2312"/>
          <w:color w:val="000000"/>
          <w:spacing w:val="7"/>
          <w:sz w:val="32"/>
        </w:rPr>
        <w:t>拟征收鲘门镇红源村新乡经济合作社、鲘门镇红源村塘尾经济合作社集</w:t>
      </w:r>
      <w:r>
        <w:rPr>
          <w:rFonts w:ascii="仿宋_GB2312" w:hAnsi="仿宋_GB2312" w:eastAsia="仿宋_GB2312" w:cs="仿宋_GB2312"/>
          <w:color w:val="000000"/>
          <w:spacing w:val="6"/>
          <w:sz w:val="32"/>
        </w:rPr>
        <w:t>体所</w:t>
      </w:r>
      <w:r>
        <w:rPr>
          <w:rFonts w:ascii="仿宋_GB2312" w:hAnsi="仿宋_GB2312" w:eastAsia="仿宋_GB2312" w:cs="仿宋_GB2312"/>
          <w:color w:val="000000"/>
          <w:sz w:val="32"/>
        </w:rPr>
        <w:t>有土地1.9663公顷（29.4945亩）。其中，农用地</w:t>
      </w:r>
      <w:r>
        <w:rPr>
          <w:rFonts w:ascii="仿宋_GB2312" w:hAnsi="仿宋_GB2312" w:eastAsia="仿宋_GB2312" w:cs="仿宋_GB2312"/>
          <w:color w:val="000000"/>
          <w:spacing w:val="6"/>
          <w:sz w:val="32"/>
        </w:rPr>
        <w:t>1.8208</w:t>
      </w:r>
      <w:r>
        <w:rPr>
          <w:rFonts w:ascii="仿宋_GB2312" w:hAnsi="仿宋_GB2312" w:eastAsia="仿宋_GB2312" w:cs="仿宋_GB2312"/>
          <w:color w:val="000000"/>
          <w:sz w:val="32"/>
        </w:rPr>
        <w:t>公顷（27.312亩），含耕地0.0527公顷（0.7905</w:t>
      </w:r>
    </w:p>
    <w:p>
      <w:pPr>
        <w:keepNext w:val="0"/>
        <w:keepLines w:val="0"/>
        <w:pageBreakBefore w:val="0"/>
        <w:widowControl w:val="0"/>
        <w:kinsoku/>
        <w:wordWrap/>
        <w:overflowPunct/>
        <w:topLinePunct w:val="0"/>
        <w:autoSpaceDE/>
        <w:autoSpaceDN/>
        <w:bidi w:val="0"/>
        <w:adjustRightInd/>
        <w:snapToGrid/>
        <w:spacing w:after="0" w:line="520" w:lineRule="exact"/>
        <w:ind w:firstLineChars="0"/>
        <w:jc w:val="both"/>
        <w:textAlignment w:val="auto"/>
        <w:rPr>
          <w:sz w:val="21"/>
        </w:rPr>
      </w:pPr>
      <w:r>
        <w:rPr>
          <w:rFonts w:ascii="仿宋_GB2312" w:hAnsi="仿宋_GB2312" w:eastAsia="仿宋_GB2312" w:cs="仿宋_GB2312"/>
          <w:color w:val="000000"/>
          <w:sz w:val="32"/>
        </w:rPr>
        <w:t>亩）</w:t>
      </w:r>
      <w:r>
        <w:rPr>
          <w:rFonts w:ascii="仿宋_GB2312" w:hAnsi="仿宋_GB2312" w:eastAsia="仿宋_GB2312" w:cs="仿宋_GB2312"/>
          <w:color w:val="000000"/>
          <w:spacing w:val="-6"/>
          <w:sz w:val="32"/>
        </w:rPr>
        <w:t>；</w:t>
      </w:r>
      <w:r>
        <w:rPr>
          <w:rFonts w:ascii="仿宋_GB2312" w:hAnsi="仿宋_GB2312" w:eastAsia="仿宋_GB2312" w:cs="仿宋_GB2312"/>
          <w:color w:val="000000"/>
          <w:sz w:val="32"/>
        </w:rPr>
        <w:t>未利用地</w:t>
      </w:r>
      <w:r>
        <w:rPr>
          <w:rFonts w:ascii="仿宋_GB2312" w:hAnsi="仿宋_GB2312" w:eastAsia="仿宋_GB2312" w:cs="仿宋_GB2312"/>
          <w:color w:val="000000"/>
          <w:spacing w:val="6"/>
          <w:sz w:val="32"/>
        </w:rPr>
        <w:t>0.1455</w:t>
      </w:r>
      <w:r>
        <w:rPr>
          <w:rFonts w:ascii="仿宋_GB2312" w:hAnsi="仿宋_GB2312" w:eastAsia="仿宋_GB2312" w:cs="仿宋_GB2312"/>
          <w:color w:val="000000"/>
          <w:sz w:val="32"/>
        </w:rPr>
        <w:t>公顷（2.1825亩）。</w:t>
      </w:r>
    </w:p>
    <w:p>
      <w:pPr>
        <w:keepNext w:val="0"/>
        <w:keepLines w:val="0"/>
        <w:pageBreakBefore w:val="0"/>
        <w:widowControl w:val="0"/>
        <w:kinsoku/>
        <w:wordWrap/>
        <w:overflowPunct/>
        <w:topLinePunct w:val="0"/>
        <w:autoSpaceDE/>
        <w:autoSpaceDN/>
        <w:bidi w:val="0"/>
        <w:adjustRightInd/>
        <w:snapToGrid/>
        <w:spacing w:after="0" w:line="520" w:lineRule="exact"/>
        <w:ind w:firstLine="664" w:firstLineChars="0"/>
        <w:jc w:val="both"/>
        <w:textAlignment w:val="auto"/>
        <w:rPr>
          <w:sz w:val="21"/>
        </w:rPr>
      </w:pPr>
      <w:r>
        <w:rPr>
          <w:rFonts w:ascii="黑体" w:hAnsi="黑体" w:eastAsia="黑体" w:cs="黑体"/>
          <w:color w:val="000000"/>
          <w:spacing w:val="6"/>
          <w:sz w:val="32"/>
        </w:rPr>
        <w:t>四、补偿方式和标准</w:t>
      </w:r>
    </w:p>
    <w:p>
      <w:pPr>
        <w:keepNext w:val="0"/>
        <w:keepLines w:val="0"/>
        <w:pageBreakBefore w:val="0"/>
        <w:widowControl w:val="0"/>
        <w:kinsoku/>
        <w:wordWrap/>
        <w:overflowPunct/>
        <w:topLinePunct w:val="0"/>
        <w:autoSpaceDE/>
        <w:autoSpaceDN/>
        <w:bidi w:val="0"/>
        <w:adjustRightInd/>
        <w:snapToGrid/>
        <w:spacing w:after="0" w:line="520" w:lineRule="exact"/>
        <w:ind w:firstLine="672" w:firstLineChars="0"/>
        <w:jc w:val="both"/>
        <w:textAlignment w:val="auto"/>
        <w:rPr>
          <w:sz w:val="21"/>
        </w:rPr>
      </w:pPr>
      <w:r>
        <w:rPr>
          <w:sz w:val="32"/>
        </w:rPr>
        <mc:AlternateContent>
          <mc:Choice Requires="wps">
            <w:drawing>
              <wp:anchor distT="0" distB="0" distL="114300" distR="114300" simplePos="0" relativeHeight="251659264" behindDoc="0" locked="0" layoutInCell="1" allowOverlap="1">
                <wp:simplePos x="0" y="0"/>
                <wp:positionH relativeFrom="column">
                  <wp:posOffset>4803140</wp:posOffset>
                </wp:positionH>
                <wp:positionV relativeFrom="paragraph">
                  <wp:posOffset>560070</wp:posOffset>
                </wp:positionV>
                <wp:extent cx="952500" cy="440690"/>
                <wp:effectExtent l="0" t="0" r="0" b="16510"/>
                <wp:wrapNone/>
                <wp:docPr id="5" name="文本框 5"/>
                <wp:cNvGraphicFramePr/>
                <a:graphic xmlns:a="http://schemas.openxmlformats.org/drawingml/2006/main">
                  <a:graphicData uri="http://schemas.microsoft.com/office/word/2010/wordprocessingShape">
                    <wps:wsp>
                      <wps:cNvSpPr txBox="1"/>
                      <wps:spPr>
                        <a:xfrm>
                          <a:off x="0" y="0"/>
                          <a:ext cx="952500" cy="440690"/>
                        </a:xfrm>
                        <a:prstGeom prst="rect">
                          <a:avLst/>
                        </a:prstGeom>
                        <a:solidFill>
                          <a:srgbClr val="FFFFFF"/>
                        </a:solidFill>
                        <a:ln>
                          <a:noFill/>
                        </a:ln>
                      </wps:spPr>
                      <wps:txbx>
                        <w:txbxContent>
                          <w:p/>
                        </w:txbxContent>
                      </wps:txbx>
                      <wps:bodyPr upright="1"/>
                    </wps:wsp>
                  </a:graphicData>
                </a:graphic>
              </wp:anchor>
            </w:drawing>
          </mc:Choice>
          <mc:Fallback>
            <w:pict>
              <v:shape id="_x0000_s1026" o:spid="_x0000_s1026" o:spt="202" type="#_x0000_t202" style="position:absolute;left:0pt;margin-left:378.2pt;margin-top:44.1pt;height:34.7pt;width:75pt;z-index:251659264;mso-width-relative:page;mso-height-relative:page;" fillcolor="#FFFFFF" filled="t" stroked="f" coordsize="21600,21600" o:gfxdata="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WH/CMtcAAAAKAQAADwAAAAAAAAAB&#10;ACAAAAA4AAAAZHJzL2Rvd25yZXYueG1sUEsBAhQAFAAAAAgAh07iQCDAOfPCAQAAdgMAAA4AAAAA&#10;AAAAAQAgAAAAPAEAAGRycy9lMm9Eb2MueG1sUEsFBgAAAAAGAAYAWQEAAHAFAAAAAA==&#10;">
                <v:fill on="t" focussize="0,0"/>
                <v:stroke on="f"/>
                <v:imagedata o:title=""/>
                <o:lock v:ext="edit" aspectratio="f"/>
                <v:textbox>
                  <w:txbxContent>
                    <w:p/>
                  </w:txbxContent>
                </v:textbox>
              </v:shape>
            </w:pict>
          </mc:Fallback>
        </mc:AlternateContent>
      </w:r>
      <w:r>
        <w:rPr>
          <w:rFonts w:ascii="楷体_GB2312" w:hAnsi="楷体_GB2312" w:eastAsia="楷体_GB2312" w:cs="楷体_GB2312"/>
          <w:color w:val="000000"/>
          <w:spacing w:val="8"/>
          <w:sz w:val="32"/>
        </w:rPr>
        <w:t>（一）土地补偿费和安置补助费标准</w:t>
      </w:r>
    </w:p>
    <w:p>
      <w:pPr>
        <w:keepNext w:val="0"/>
        <w:keepLines w:val="0"/>
        <w:pageBreakBefore w:val="0"/>
        <w:widowControl w:val="0"/>
        <w:kinsoku/>
        <w:wordWrap/>
        <w:overflowPunct/>
        <w:topLinePunct w:val="0"/>
        <w:autoSpaceDE/>
        <w:autoSpaceDN/>
        <w:bidi w:val="0"/>
        <w:adjustRightInd/>
        <w:snapToGrid/>
        <w:spacing w:after="0" w:line="520" w:lineRule="exact"/>
        <w:ind w:firstLine="672" w:firstLineChars="0"/>
        <w:jc w:val="both"/>
        <w:textAlignment w:val="auto"/>
        <w:rPr>
          <w:sz w:val="21"/>
        </w:rPr>
      </w:pPr>
      <w:r>
        <w:rPr>
          <w:rFonts w:ascii="仿宋_GB2312" w:hAnsi="仿宋_GB2312" w:eastAsia="仿宋_GB2312" w:cs="仿宋_GB2312"/>
          <w:color w:val="000000"/>
          <w:spacing w:val="8"/>
          <w:sz w:val="32"/>
        </w:rPr>
        <w:t>根据《广东省自然资源厅关于深圳市征收农用地区片综合地价成果的批复》（粤自然资函〔2024〕216号）的规定，土地补偿费标准为30.6万元/公顷，安置补助费标准为71.4万元/公顷。</w:t>
      </w:r>
    </w:p>
    <w:p>
      <w:pPr>
        <w:keepNext w:val="0"/>
        <w:keepLines w:val="0"/>
        <w:pageBreakBefore w:val="0"/>
        <w:widowControl w:val="0"/>
        <w:kinsoku/>
        <w:wordWrap/>
        <w:overflowPunct/>
        <w:topLinePunct w:val="0"/>
        <w:autoSpaceDE/>
        <w:autoSpaceDN/>
        <w:bidi w:val="0"/>
        <w:adjustRightInd/>
        <w:snapToGrid/>
        <w:spacing w:after="0" w:line="520" w:lineRule="exact"/>
        <w:ind w:firstLine="676" w:firstLineChars="0"/>
        <w:jc w:val="both"/>
        <w:textAlignment w:val="auto"/>
        <w:rPr>
          <w:sz w:val="21"/>
        </w:rPr>
      </w:pPr>
      <w:r>
        <w:rPr>
          <w:rFonts w:ascii="楷体_GB2312" w:hAnsi="楷体_GB2312" w:eastAsia="楷体_GB2312" w:cs="楷体_GB2312"/>
          <w:color w:val="000000"/>
          <w:spacing w:val="9"/>
          <w:sz w:val="32"/>
        </w:rPr>
        <w:t>（二）农村村民住宅补偿</w:t>
      </w:r>
    </w:p>
    <w:p>
      <w:pPr>
        <w:keepNext w:val="0"/>
        <w:keepLines w:val="0"/>
        <w:pageBreakBefore w:val="0"/>
        <w:widowControl w:val="0"/>
        <w:kinsoku/>
        <w:wordWrap/>
        <w:overflowPunct/>
        <w:topLinePunct w:val="0"/>
        <w:autoSpaceDE/>
        <w:autoSpaceDN/>
        <w:bidi w:val="0"/>
        <w:adjustRightInd/>
        <w:snapToGrid/>
        <w:spacing w:after="0" w:line="520" w:lineRule="exact"/>
        <w:ind w:firstLine="672" w:firstLineChars="0"/>
        <w:jc w:val="both"/>
        <w:textAlignment w:val="auto"/>
        <w:rPr>
          <w:sz w:val="21"/>
        </w:rPr>
      </w:pPr>
      <w:r>
        <w:rPr>
          <w:rFonts w:ascii="仿宋_GB2312" w:hAnsi="仿宋_GB2312" w:eastAsia="仿宋_GB2312" w:cs="仿宋_GB2312"/>
          <w:color w:val="000000"/>
          <w:spacing w:val="8"/>
          <w:sz w:val="32"/>
        </w:rPr>
        <w:t>按《深圳市深汕特别合作区党政办公室关于印发深圳市深汕特别合作区房屋征收拆迁补偿安置工作方案的通知》（深汕办函〔2020〕29号）的规定执行。</w:t>
      </w:r>
    </w:p>
    <w:p>
      <w:pPr>
        <w:keepNext w:val="0"/>
        <w:keepLines w:val="0"/>
        <w:pageBreakBefore w:val="0"/>
        <w:widowControl w:val="0"/>
        <w:kinsoku/>
        <w:wordWrap/>
        <w:overflowPunct/>
        <w:topLinePunct w:val="0"/>
        <w:autoSpaceDE/>
        <w:autoSpaceDN/>
        <w:bidi w:val="0"/>
        <w:adjustRightInd/>
        <w:snapToGrid/>
        <w:spacing w:after="0" w:line="520" w:lineRule="exact"/>
        <w:ind w:firstLine="676" w:firstLineChars="0"/>
        <w:jc w:val="both"/>
        <w:textAlignment w:val="auto"/>
        <w:rPr>
          <w:sz w:val="21"/>
        </w:rPr>
      </w:pPr>
      <w:r>
        <w:rPr>
          <w:rFonts w:ascii="楷体_GB2312" w:hAnsi="楷体_GB2312" w:eastAsia="楷体_GB2312" w:cs="楷体_GB2312"/>
          <w:color w:val="000000"/>
          <w:spacing w:val="9"/>
          <w:sz w:val="32"/>
        </w:rPr>
        <w:t>（三）其他地上附着物和青苗补偿</w:t>
      </w:r>
    </w:p>
    <w:p>
      <w:pPr>
        <w:keepNext w:val="0"/>
        <w:keepLines w:val="0"/>
        <w:pageBreakBefore w:val="0"/>
        <w:widowControl w:val="0"/>
        <w:kinsoku/>
        <w:wordWrap/>
        <w:overflowPunct/>
        <w:topLinePunct w:val="0"/>
        <w:autoSpaceDE/>
        <w:autoSpaceDN/>
        <w:bidi w:val="0"/>
        <w:adjustRightInd/>
        <w:snapToGrid/>
        <w:spacing w:after="0" w:line="520" w:lineRule="exact"/>
        <w:ind w:firstLine="672" w:firstLineChars="0"/>
        <w:jc w:val="both"/>
        <w:textAlignment w:val="auto"/>
        <w:rPr>
          <w:sz w:val="21"/>
        </w:rPr>
      </w:pPr>
      <w:r>
        <w:rPr>
          <w:rFonts w:ascii="仿宋_GB2312" w:hAnsi="仿宋_GB2312" w:eastAsia="仿宋_GB2312" w:cs="仿宋_GB2312"/>
          <w:color w:val="000000"/>
          <w:spacing w:val="8"/>
          <w:sz w:val="32"/>
        </w:rPr>
        <w:t>青苗及其他地上附着物补偿按《深圳市深汕特别合作区党政办公室关于重新发布〈深圳市深汕特别合作区集体土地征收补偿办法（试行）〉的通知》(深汕办规〔2024〕5号）的规定执行。</w:t>
      </w:r>
    </w:p>
    <w:p>
      <w:pPr>
        <w:keepNext w:val="0"/>
        <w:keepLines w:val="0"/>
        <w:pageBreakBefore w:val="0"/>
        <w:widowControl w:val="0"/>
        <w:kinsoku/>
        <w:wordWrap/>
        <w:overflowPunct/>
        <w:topLinePunct w:val="0"/>
        <w:autoSpaceDE/>
        <w:autoSpaceDN/>
        <w:bidi w:val="0"/>
        <w:adjustRightInd/>
        <w:snapToGrid/>
        <w:spacing w:after="0" w:line="520" w:lineRule="exact"/>
        <w:ind w:firstLine="668" w:firstLineChars="0"/>
        <w:jc w:val="both"/>
        <w:textAlignment w:val="auto"/>
        <w:rPr>
          <w:sz w:val="21"/>
        </w:rPr>
      </w:pPr>
      <w:r>
        <w:rPr>
          <w:rFonts w:ascii="黑体" w:hAnsi="黑体" w:eastAsia="黑体" w:cs="黑体"/>
          <w:color w:val="000000"/>
          <w:spacing w:val="7"/>
          <w:sz w:val="32"/>
        </w:rPr>
        <w:t>五、安置方式和社会保障</w:t>
      </w:r>
    </w:p>
    <w:p>
      <w:pPr>
        <w:keepNext w:val="0"/>
        <w:keepLines w:val="0"/>
        <w:pageBreakBefore w:val="0"/>
        <w:widowControl w:val="0"/>
        <w:kinsoku/>
        <w:wordWrap/>
        <w:overflowPunct/>
        <w:topLinePunct w:val="0"/>
        <w:autoSpaceDE/>
        <w:autoSpaceDN/>
        <w:bidi w:val="0"/>
        <w:adjustRightInd/>
        <w:snapToGrid/>
        <w:spacing w:after="0" w:line="520" w:lineRule="exact"/>
        <w:ind w:firstLine="640" w:firstLineChars="0"/>
        <w:jc w:val="both"/>
        <w:textAlignment w:val="auto"/>
        <w:rPr>
          <w:sz w:val="21"/>
        </w:rPr>
      </w:pPr>
      <w:r>
        <w:rPr>
          <w:rFonts w:ascii="仿宋_GB2312" w:hAnsi="仿宋_GB2312" w:eastAsia="仿宋_GB2312" w:cs="仿宋_GB2312"/>
          <w:color w:val="000000"/>
          <w:sz w:val="32"/>
        </w:rPr>
        <w:t>（一）留用地按照《深圳市深汕特别合作区党政办公室关于印发〈深圳市深汕特别合作区留用地管理办法（修订）〉的通知》（深汕办规〔2025〕1号）执行。</w:t>
      </w:r>
    </w:p>
    <w:p>
      <w:pPr>
        <w:keepNext w:val="0"/>
        <w:keepLines w:val="0"/>
        <w:pageBreakBefore w:val="0"/>
        <w:widowControl w:val="0"/>
        <w:kinsoku/>
        <w:wordWrap/>
        <w:overflowPunct/>
        <w:topLinePunct w:val="0"/>
        <w:autoSpaceDE/>
        <w:autoSpaceDN/>
        <w:bidi w:val="0"/>
        <w:adjustRightInd/>
        <w:snapToGrid/>
        <w:spacing w:after="0" w:line="520" w:lineRule="exact"/>
        <w:ind w:firstLine="640" w:firstLineChars="0"/>
        <w:jc w:val="both"/>
        <w:textAlignment w:val="auto"/>
        <w:rPr>
          <w:sz w:val="21"/>
        </w:rPr>
      </w:pPr>
      <w:r>
        <w:rPr>
          <w:rFonts w:ascii="仿宋_GB2312" w:hAnsi="仿宋_GB2312" w:eastAsia="仿宋_GB2312" w:cs="仿宋_GB2312"/>
          <w:color w:val="000000"/>
          <w:sz w:val="32"/>
        </w:rPr>
        <w:t>（二）社保按照《广东省人民政府办公厅转发省人力资源社会保障厅关于进一步完善我省被征地农民养老保障政策意见的通知》（粤府办〔2021〕22号）执行。</w:t>
      </w:r>
    </w:p>
    <w:p>
      <w:pPr>
        <w:keepNext w:val="0"/>
        <w:keepLines w:val="0"/>
        <w:pageBreakBefore w:val="0"/>
        <w:widowControl w:val="0"/>
        <w:kinsoku/>
        <w:wordWrap/>
        <w:overflowPunct/>
        <w:topLinePunct w:val="0"/>
        <w:autoSpaceDE/>
        <w:autoSpaceDN/>
        <w:bidi w:val="0"/>
        <w:adjustRightInd/>
        <w:snapToGrid/>
        <w:spacing w:after="0" w:line="520" w:lineRule="exact"/>
        <w:ind w:firstLine="648" w:firstLineChars="0"/>
        <w:jc w:val="both"/>
        <w:textAlignment w:val="auto"/>
        <w:rPr>
          <w:sz w:val="21"/>
        </w:rPr>
      </w:pPr>
      <w:r>
        <w:rPr>
          <w:rFonts w:ascii="仿宋_GB2312" w:hAnsi="仿宋_GB2312" w:eastAsia="仿宋_GB2312" w:cs="仿宋_GB2312"/>
          <w:color w:val="000000"/>
          <w:spacing w:val="-2"/>
          <w:sz w:val="32"/>
        </w:rPr>
        <w:t xml:space="preserve"> </w:t>
      </w:r>
    </w:p>
    <w:p>
      <w:pPr>
        <w:keepNext w:val="0"/>
        <w:keepLines w:val="0"/>
        <w:pageBreakBefore w:val="0"/>
        <w:widowControl w:val="0"/>
        <w:kinsoku/>
        <w:wordWrap/>
        <w:overflowPunct/>
        <w:topLinePunct w:val="0"/>
        <w:autoSpaceDE/>
        <w:autoSpaceDN/>
        <w:bidi w:val="0"/>
        <w:adjustRightInd/>
        <w:snapToGrid/>
        <w:spacing w:after="0" w:line="520" w:lineRule="exact"/>
        <w:ind w:firstLine="648" w:firstLineChars="0"/>
        <w:jc w:val="both"/>
        <w:textAlignment w:val="auto"/>
        <w:rPr>
          <w:sz w:val="21"/>
        </w:rPr>
      </w:pPr>
      <w:r>
        <w:rPr>
          <w:rFonts w:ascii="仿宋_GB2312" w:hAnsi="仿宋_GB2312" w:eastAsia="仿宋_GB2312" w:cs="仿宋_GB2312"/>
          <w:color w:val="000000"/>
          <w:spacing w:val="-2"/>
          <w:sz w:val="32"/>
        </w:rPr>
        <w:t xml:space="preserve"> </w:t>
      </w:r>
    </w:p>
    <w:p>
      <w:pPr>
        <w:keepNext w:val="0"/>
        <w:keepLines w:val="0"/>
        <w:pageBreakBefore w:val="0"/>
        <w:widowControl w:val="0"/>
        <w:kinsoku/>
        <w:wordWrap/>
        <w:overflowPunct/>
        <w:topLinePunct w:val="0"/>
        <w:autoSpaceDE/>
        <w:autoSpaceDN/>
        <w:bidi w:val="0"/>
        <w:adjustRightInd/>
        <w:snapToGrid/>
        <w:spacing w:after="0" w:line="520" w:lineRule="exact"/>
        <w:ind w:firstLine="648" w:firstLineChars="0"/>
        <w:jc w:val="right"/>
        <w:textAlignment w:val="auto"/>
        <w:rPr>
          <w:sz w:val="21"/>
        </w:rPr>
      </w:pPr>
      <w:r>
        <w:rPr>
          <w:rFonts w:ascii="仿宋_GB2312" w:hAnsi="仿宋_GB2312" w:eastAsia="仿宋_GB2312" w:cs="仿宋_GB2312"/>
          <w:color w:val="000000"/>
          <w:spacing w:val="-2"/>
          <w:sz w:val="32"/>
        </w:rPr>
        <w:t xml:space="preserve">  深圳市深汕特别合作区管理委员会</w:t>
      </w:r>
    </w:p>
    <w:p>
      <w:pPr>
        <w:keepNext w:val="0"/>
        <w:keepLines w:val="0"/>
        <w:pageBreakBefore w:val="0"/>
        <w:widowControl w:val="0"/>
        <w:kinsoku/>
        <w:wordWrap/>
        <w:overflowPunct/>
        <w:topLinePunct w:val="0"/>
        <w:autoSpaceDE/>
        <w:autoSpaceDN/>
        <w:bidi w:val="0"/>
        <w:adjustRightInd/>
        <w:snapToGrid/>
        <w:spacing w:after="0" w:line="520" w:lineRule="exact"/>
        <w:ind w:firstLineChars="0"/>
        <w:jc w:val="both"/>
        <w:textAlignment w:val="auto"/>
        <w:rPr>
          <w:rFonts w:ascii="仿宋_GB2312"/>
        </w:rPr>
      </w:pPr>
      <w:r>
        <w:rPr>
          <w:rFonts w:ascii="仿宋_GB2312" w:hAnsi="仿宋_GB2312" w:eastAsia="仿宋_GB2312" w:cs="仿宋_GB2312"/>
          <w:color w:val="000000"/>
          <w:spacing w:val="-2"/>
          <w:sz w:val="32"/>
        </w:rPr>
        <w:t xml:space="preserve">                    </w:t>
      </w:r>
      <w:r>
        <w:rPr>
          <w:rFonts w:ascii="仿宋_GB2312" w:hAnsi="仿宋_GB2312" w:eastAsia="仿宋_GB2312" w:cs="仿宋_GB2312"/>
          <w:color w:val="000000"/>
          <w:sz w:val="32"/>
        </w:rPr>
        <w:t xml:space="preserve">          </w:t>
      </w:r>
      <w:r>
        <w:rPr>
          <w:rFonts w:hint="eastAsia" w:ascii="仿宋_GB2312" w:hAnsi="仿宋_GB2312" w:cs="仿宋_GB2312"/>
          <w:color w:val="000000"/>
          <w:sz w:val="32"/>
          <w:lang w:val="en-US" w:eastAsia="zh-CN"/>
        </w:rPr>
        <w:t xml:space="preserve">  </w:t>
      </w:r>
      <w:r>
        <w:rPr>
          <w:rFonts w:ascii="仿宋_GB2312" w:hAnsi="仿宋_GB2312" w:eastAsia="仿宋_GB2312" w:cs="仿宋_GB2312"/>
          <w:color w:val="000000"/>
          <w:sz w:val="32"/>
        </w:rPr>
        <w:t xml:space="preserve">  2025年</w:t>
      </w:r>
      <w:r>
        <w:rPr>
          <w:rFonts w:hint="eastAsia" w:ascii="仿宋_GB2312" w:hAnsi="仿宋_GB2312" w:eastAsia="仿宋_GB2312" w:cs="仿宋_GB2312"/>
          <w:color w:val="000000"/>
          <w:sz w:val="32"/>
          <w:lang w:val="en-US" w:eastAsia="zh-CN"/>
        </w:rPr>
        <w:t>6</w:t>
      </w:r>
      <w:r>
        <w:rPr>
          <w:rFonts w:ascii="仿宋_GB2312" w:hAnsi="仿宋_GB2312" w:eastAsia="仿宋_GB2312" w:cs="仿宋_GB2312"/>
          <w:color w:val="000000"/>
          <w:sz w:val="32"/>
        </w:rPr>
        <w:t>月</w:t>
      </w:r>
      <w:r>
        <w:rPr>
          <w:rFonts w:hint="eastAsia" w:ascii="仿宋_GB2312" w:hAnsi="仿宋_GB2312" w:eastAsia="仿宋_GB2312" w:cs="仿宋_GB2312"/>
          <w:color w:val="000000"/>
          <w:sz w:val="32"/>
          <w:lang w:val="en-US" w:eastAsia="zh-CN"/>
        </w:rPr>
        <w:t>3</w:t>
      </w:r>
      <w:r>
        <w:rPr>
          <w:rFonts w:ascii="仿宋_GB2312" w:hAnsi="仿宋_GB2312" w:eastAsia="仿宋_GB2312" w:cs="仿宋_GB2312"/>
          <w:color w:val="000000"/>
          <w:sz w:val="32"/>
        </w:rPr>
        <w:t>日</w:t>
      </w:r>
    </w:p>
    <w:sectPr>
      <w:footerReference r:id="rId3" w:type="default"/>
      <w:footerReference r:id="rId4" w:type="even"/>
      <w:pgSz w:w="11907" w:h="16840"/>
      <w:pgMar w:top="2098" w:right="1474" w:bottom="1871" w:left="1587" w:header="720" w:footer="1361" w:gutter="0"/>
      <w:pgNumType w:fmt="decimal"/>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MIkSXj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１</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58"/>
  <w:drawingGridVerticalSpacing w:val="579"/>
  <w:displayHorizontalDrawingGridEvery w:val="0"/>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4A2F"/>
    <w:rsid w:val="00011028"/>
    <w:rsid w:val="00024544"/>
    <w:rsid w:val="00047658"/>
    <w:rsid w:val="000639C7"/>
    <w:rsid w:val="00085B6A"/>
    <w:rsid w:val="000B4B50"/>
    <w:rsid w:val="000D570E"/>
    <w:rsid w:val="000E5EDB"/>
    <w:rsid w:val="000F6252"/>
    <w:rsid w:val="000F7ADB"/>
    <w:rsid w:val="0011401D"/>
    <w:rsid w:val="00114EA3"/>
    <w:rsid w:val="00115403"/>
    <w:rsid w:val="00134CB1"/>
    <w:rsid w:val="00140251"/>
    <w:rsid w:val="00140644"/>
    <w:rsid w:val="001452AE"/>
    <w:rsid w:val="00157B7F"/>
    <w:rsid w:val="001B26F6"/>
    <w:rsid w:val="001B556D"/>
    <w:rsid w:val="001C60F5"/>
    <w:rsid w:val="001C7E13"/>
    <w:rsid w:val="001D4B44"/>
    <w:rsid w:val="001E0908"/>
    <w:rsid w:val="001E3469"/>
    <w:rsid w:val="001E57D4"/>
    <w:rsid w:val="001E7F59"/>
    <w:rsid w:val="00203CC2"/>
    <w:rsid w:val="00224C56"/>
    <w:rsid w:val="00272BAA"/>
    <w:rsid w:val="00275170"/>
    <w:rsid w:val="002769D6"/>
    <w:rsid w:val="00280F16"/>
    <w:rsid w:val="00283566"/>
    <w:rsid w:val="00290FCF"/>
    <w:rsid w:val="002A1895"/>
    <w:rsid w:val="002C16CA"/>
    <w:rsid w:val="002C1ABE"/>
    <w:rsid w:val="002E01C8"/>
    <w:rsid w:val="002F5C65"/>
    <w:rsid w:val="00315089"/>
    <w:rsid w:val="0031659D"/>
    <w:rsid w:val="003239E0"/>
    <w:rsid w:val="00325511"/>
    <w:rsid w:val="00331CA8"/>
    <w:rsid w:val="0033354F"/>
    <w:rsid w:val="0033456E"/>
    <w:rsid w:val="00355E37"/>
    <w:rsid w:val="00373D05"/>
    <w:rsid w:val="003742E0"/>
    <w:rsid w:val="00375024"/>
    <w:rsid w:val="00380914"/>
    <w:rsid w:val="00386ACF"/>
    <w:rsid w:val="0038725E"/>
    <w:rsid w:val="0039029C"/>
    <w:rsid w:val="003A093C"/>
    <w:rsid w:val="003A6A9B"/>
    <w:rsid w:val="003F442A"/>
    <w:rsid w:val="004002FC"/>
    <w:rsid w:val="004122AA"/>
    <w:rsid w:val="004435AB"/>
    <w:rsid w:val="00461096"/>
    <w:rsid w:val="004654CE"/>
    <w:rsid w:val="00472B52"/>
    <w:rsid w:val="00473960"/>
    <w:rsid w:val="004767CE"/>
    <w:rsid w:val="0048688F"/>
    <w:rsid w:val="004951F8"/>
    <w:rsid w:val="004B79ED"/>
    <w:rsid w:val="004C00DF"/>
    <w:rsid w:val="004D13B9"/>
    <w:rsid w:val="004D6ECA"/>
    <w:rsid w:val="004E3FD6"/>
    <w:rsid w:val="004E3FF3"/>
    <w:rsid w:val="0051341F"/>
    <w:rsid w:val="00515BA3"/>
    <w:rsid w:val="00520A07"/>
    <w:rsid w:val="005337C3"/>
    <w:rsid w:val="00567093"/>
    <w:rsid w:val="00583885"/>
    <w:rsid w:val="0058529E"/>
    <w:rsid w:val="005A17F4"/>
    <w:rsid w:val="005A461F"/>
    <w:rsid w:val="005A562D"/>
    <w:rsid w:val="005B6934"/>
    <w:rsid w:val="00626F49"/>
    <w:rsid w:val="00646C14"/>
    <w:rsid w:val="00657B37"/>
    <w:rsid w:val="00687DC4"/>
    <w:rsid w:val="006A217D"/>
    <w:rsid w:val="006B4F5F"/>
    <w:rsid w:val="006C735D"/>
    <w:rsid w:val="006D014C"/>
    <w:rsid w:val="006E3EC7"/>
    <w:rsid w:val="006E403C"/>
    <w:rsid w:val="006F7DF7"/>
    <w:rsid w:val="007124B1"/>
    <w:rsid w:val="00724F14"/>
    <w:rsid w:val="007568DD"/>
    <w:rsid w:val="00766C4D"/>
    <w:rsid w:val="00781042"/>
    <w:rsid w:val="00781508"/>
    <w:rsid w:val="00783260"/>
    <w:rsid w:val="00790367"/>
    <w:rsid w:val="007A1CDD"/>
    <w:rsid w:val="007C1AA2"/>
    <w:rsid w:val="007E4B0C"/>
    <w:rsid w:val="00813A1D"/>
    <w:rsid w:val="0082148E"/>
    <w:rsid w:val="00832535"/>
    <w:rsid w:val="00835ABF"/>
    <w:rsid w:val="00841C2C"/>
    <w:rsid w:val="008564B3"/>
    <w:rsid w:val="008A19AE"/>
    <w:rsid w:val="008A2010"/>
    <w:rsid w:val="008A52B4"/>
    <w:rsid w:val="008B2DD7"/>
    <w:rsid w:val="008B4FE6"/>
    <w:rsid w:val="008C0B87"/>
    <w:rsid w:val="008D176C"/>
    <w:rsid w:val="008D4789"/>
    <w:rsid w:val="008E2D77"/>
    <w:rsid w:val="008E2F47"/>
    <w:rsid w:val="008F010A"/>
    <w:rsid w:val="00904C00"/>
    <w:rsid w:val="00910F25"/>
    <w:rsid w:val="00912E13"/>
    <w:rsid w:val="0097515B"/>
    <w:rsid w:val="009B4470"/>
    <w:rsid w:val="009D5FA7"/>
    <w:rsid w:val="009F1469"/>
    <w:rsid w:val="009F3BBB"/>
    <w:rsid w:val="009F5212"/>
    <w:rsid w:val="00A20FAB"/>
    <w:rsid w:val="00A2367A"/>
    <w:rsid w:val="00A32812"/>
    <w:rsid w:val="00A62E22"/>
    <w:rsid w:val="00A731F2"/>
    <w:rsid w:val="00A824B6"/>
    <w:rsid w:val="00AA10C3"/>
    <w:rsid w:val="00AC0A90"/>
    <w:rsid w:val="00AC65C6"/>
    <w:rsid w:val="00AD104C"/>
    <w:rsid w:val="00AE28D2"/>
    <w:rsid w:val="00AF50D5"/>
    <w:rsid w:val="00B101A9"/>
    <w:rsid w:val="00B13E6E"/>
    <w:rsid w:val="00B257AF"/>
    <w:rsid w:val="00B30CF8"/>
    <w:rsid w:val="00B72D2A"/>
    <w:rsid w:val="00B7393A"/>
    <w:rsid w:val="00B74DA9"/>
    <w:rsid w:val="00B76AF3"/>
    <w:rsid w:val="00B801EF"/>
    <w:rsid w:val="00B80A54"/>
    <w:rsid w:val="00B92E99"/>
    <w:rsid w:val="00BA588F"/>
    <w:rsid w:val="00BC165A"/>
    <w:rsid w:val="00BD0203"/>
    <w:rsid w:val="00C0565D"/>
    <w:rsid w:val="00C05F80"/>
    <w:rsid w:val="00C05FA4"/>
    <w:rsid w:val="00C10095"/>
    <w:rsid w:val="00C10905"/>
    <w:rsid w:val="00C133BE"/>
    <w:rsid w:val="00C3146D"/>
    <w:rsid w:val="00C60407"/>
    <w:rsid w:val="00C74BC1"/>
    <w:rsid w:val="00C83583"/>
    <w:rsid w:val="00C87108"/>
    <w:rsid w:val="00CA2B4F"/>
    <w:rsid w:val="00CB19CA"/>
    <w:rsid w:val="00CB3F2D"/>
    <w:rsid w:val="00CC4CDB"/>
    <w:rsid w:val="00CD60B0"/>
    <w:rsid w:val="00CD637C"/>
    <w:rsid w:val="00CE33F6"/>
    <w:rsid w:val="00CE4E1E"/>
    <w:rsid w:val="00D07484"/>
    <w:rsid w:val="00D126B4"/>
    <w:rsid w:val="00D17EB3"/>
    <w:rsid w:val="00D241B6"/>
    <w:rsid w:val="00D265E2"/>
    <w:rsid w:val="00D54A2F"/>
    <w:rsid w:val="00D81042"/>
    <w:rsid w:val="00D82CE3"/>
    <w:rsid w:val="00D94B0E"/>
    <w:rsid w:val="00D96BDF"/>
    <w:rsid w:val="00DD379D"/>
    <w:rsid w:val="00DE7C2C"/>
    <w:rsid w:val="00DF7C0F"/>
    <w:rsid w:val="00E300C3"/>
    <w:rsid w:val="00E475AC"/>
    <w:rsid w:val="00E506A0"/>
    <w:rsid w:val="00E7297B"/>
    <w:rsid w:val="00E73701"/>
    <w:rsid w:val="00E73BDE"/>
    <w:rsid w:val="00E742E4"/>
    <w:rsid w:val="00EB2182"/>
    <w:rsid w:val="00EB34ED"/>
    <w:rsid w:val="00EB76E2"/>
    <w:rsid w:val="00ED30AF"/>
    <w:rsid w:val="00EE75BB"/>
    <w:rsid w:val="00EF10E3"/>
    <w:rsid w:val="00F045E4"/>
    <w:rsid w:val="00F06580"/>
    <w:rsid w:val="00F149E8"/>
    <w:rsid w:val="00F41003"/>
    <w:rsid w:val="00F721DA"/>
    <w:rsid w:val="00FD08FE"/>
    <w:rsid w:val="00FF6FC6"/>
    <w:rsid w:val="3F3F9994"/>
    <w:rsid w:val="5B9FAEC6"/>
    <w:rsid w:val="7B3F5EBA"/>
    <w:rsid w:val="7EFB6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1"/>
    <w:qFormat/>
    <w:uiPriority w:val="0"/>
    <w:rPr>
      <w:rFonts w:hint="eastAsia" w:hAnsi="Courier New" w:eastAsia="宋体"/>
      <w:sz w:val="21"/>
    </w:rPr>
  </w:style>
  <w:style w:type="paragraph" w:styleId="3">
    <w:name w:val="Date"/>
    <w:basedOn w:val="1"/>
    <w:next w:val="1"/>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Char Char1 Char Char Char Char Char Char"/>
    <w:basedOn w:val="1"/>
    <w:qFormat/>
    <w:uiPriority w:val="0"/>
    <w:pPr>
      <w:widowControl/>
      <w:spacing w:after="160" w:line="240" w:lineRule="exact"/>
      <w:jc w:val="left"/>
    </w:pPr>
    <w:rPr>
      <w:rFonts w:eastAsia="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0</Words>
  <Characters>5</Characters>
  <Lines>1</Lines>
  <Paragraphs>1</Paragraphs>
  <TotalTime>1</TotalTime>
  <ScaleCrop>false</ScaleCrop>
  <LinksUpToDate>false</LinksUpToDate>
  <CharactersWithSpaces>5</CharactersWithSpaces>
  <Application>WPS Office_11.8.2.12303_F1E327BC-269C-435d-A152-05C5408002CA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2016-11-18T09:45:00Z</dcterms:created>
  <dc:creator>Administrator</dc:creator>
  <cp:lastModifiedBy>sssuper</cp:lastModifiedBy>
  <cp:lastPrinted>2019-04-10T11:25:00Z</cp:lastPrinted>
  <dcterms:modified xsi:type="dcterms:W3CDTF">2026-09-04T15:32:20Z</dcterms:modified>
  <dc:title>发文字号〔2013〕1号                  签发人：张××</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2052-11.8.2.12303</vt:lpwstr>
  </property>
  <property fmtid="{D5CDD505-2E9C-101B-9397-08002B2CF9AE}" pid="3" name="ICV">
    <vt:lpwstr>768253E02C50362704749A6AC7FCA969</vt:lpwstr>
  </property>
</Properties>
</file>